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22225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46990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9" w:lineRule="exact"/>
        <w:rPr>
          <w:sz w:val="24"/>
          <w:szCs w:val="24"/>
          <w:color w:val="auto"/>
        </w:rPr>
      </w:pPr>
    </w:p>
    <w:p>
      <w:pPr>
        <w:ind w:left="760" w:right="4740" w:hanging="752"/>
        <w:spacing w:after="0" w:line="283" w:lineRule="auto"/>
        <w:tabs>
          <w:tab w:leader="none" w:pos="74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2018</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6" w:lineRule="exact"/>
        <w:rPr>
          <w:sz w:val="24"/>
          <w:szCs w:val="24"/>
          <w:color w:val="auto"/>
        </w:rPr>
      </w:pPr>
    </w:p>
    <w:p>
      <w:pPr>
        <w:ind w:left="760" w:right="4420" w:hanging="752"/>
        <w:spacing w:after="0" w:line="328" w:lineRule="auto"/>
        <w:tabs>
          <w:tab w:leader="none" w:pos="757"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bl>
      <w:tblPr>
        <w:tblLayout w:type="fixed"/>
        <w:tblInd w:w="4220" w:type="dxa"/>
        <w:tblCellMar>
          <w:top w:w="0" w:type="dxa"/>
          <w:left w:w="0" w:type="dxa"/>
          <w:bottom w:w="0" w:type="dxa"/>
          <w:right w:w="0" w:type="dxa"/>
        </w:tblCellMar>
      </w:tblPr>
      <w:tr>
        <w:trPr>
          <w:trHeight w:val="161"/>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171"/>
        </w:trPr>
        <w:tc>
          <w:tcPr>
            <w:tcW w:w="1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001-32492</w:t>
            </w: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190"/>
        </w:trPr>
        <w:tc>
          <w:tcPr>
            <w:tcW w:w="27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49530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422"/>
        </w:trPr>
        <w:tc>
          <w:tcPr>
            <w:tcW w:w="4400" w:type="dxa"/>
            <w:vAlign w:val="bottom"/>
          </w:tcPr>
          <w:p>
            <w:pPr>
              <w:spacing w:after="0"/>
              <w:rPr>
                <w:sz w:val="24"/>
                <w:szCs w:val="24"/>
                <w:color w:val="auto"/>
              </w:rPr>
            </w:pPr>
          </w:p>
        </w:tc>
        <w:tc>
          <w:tcPr>
            <w:tcW w:w="3060" w:type="dxa"/>
            <w:vAlign w:val="bottom"/>
            <w:gridSpan w:val="4"/>
          </w:tcPr>
          <w:p>
            <w:pPr>
              <w:jc w:val="center"/>
              <w:ind w:right="420"/>
              <w:spacing w:after="0"/>
              <w:rPr>
                <w:sz w:val="20"/>
                <w:szCs w:val="20"/>
                <w:color w:val="auto"/>
              </w:rPr>
            </w:pPr>
            <w:r>
              <w:rPr>
                <w:rFonts w:ascii="Times New Roman" w:cs="Times New Roman" w:eastAsia="Times New Roman" w:hAnsi="Times New Roman"/>
                <w:sz w:val="34"/>
                <w:szCs w:val="34"/>
                <w:b w:val="1"/>
                <w:bCs w:val="1"/>
                <w:color w:val="auto"/>
                <w:w w:val="99"/>
              </w:rPr>
              <w:t>LAZARD LTD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rPr>
                <w:sz w:val="13"/>
                <w:szCs w:val="13"/>
                <w:color w:val="auto"/>
              </w:rPr>
            </w:pPr>
          </w:p>
        </w:tc>
        <w:tc>
          <w:tcPr>
            <w:tcW w:w="3060" w:type="dxa"/>
            <w:vAlign w:val="bottom"/>
            <w:gridSpan w:val="4"/>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7"/>
              </w:rPr>
              <w:t>(Exact name of registrant as specified in its charter)</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40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7460" w:type="dxa"/>
            <w:vAlign w:val="bottom"/>
            <w:gridSpan w:val="5"/>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Bermuda</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jc w:val="right"/>
              <w:ind w:right="2368"/>
              <w:spacing w:after="0"/>
              <w:rPr>
                <w:sz w:val="20"/>
                <w:szCs w:val="20"/>
                <w:color w:val="auto"/>
              </w:rPr>
            </w:pPr>
            <w:r>
              <w:rPr>
                <w:rFonts w:ascii="Times New Roman" w:cs="Times New Roman" w:eastAsia="Times New Roman" w:hAnsi="Times New Roman"/>
                <w:sz w:val="14"/>
                <w:szCs w:val="14"/>
                <w:b w:val="1"/>
                <w:bCs w:val="1"/>
                <w:color w:val="auto"/>
              </w:rPr>
              <w:t>98-0437848</w:t>
            </w:r>
          </w:p>
        </w:tc>
        <w:tc>
          <w:tcPr>
            <w:tcW w:w="0" w:type="dxa"/>
            <w:vAlign w:val="bottom"/>
          </w:tcPr>
          <w:p>
            <w:pPr>
              <w:spacing w:after="0"/>
              <w:rPr>
                <w:sz w:val="1"/>
                <w:szCs w:val="1"/>
                <w:color w:val="auto"/>
              </w:rPr>
            </w:pPr>
          </w:p>
        </w:tc>
      </w:tr>
      <w:tr>
        <w:trPr>
          <w:trHeight w:val="135"/>
        </w:trPr>
        <w:tc>
          <w:tcPr>
            <w:tcW w:w="7460" w:type="dxa"/>
            <w:vAlign w:val="bottom"/>
            <w:gridSpan w:val="5"/>
          </w:tcPr>
          <w:p>
            <w:pPr>
              <w:jc w:val="center"/>
              <w:ind w:right="17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(State or Other Jurisdiction of Incorporation</w:t>
            </w:r>
          </w:p>
        </w:tc>
        <w:tc>
          <w:tcPr>
            <w:tcW w:w="3960" w:type="dxa"/>
            <w:vAlign w:val="bottom"/>
            <w:gridSpan w:val="3"/>
          </w:tcPr>
          <w:p>
            <w:pPr>
              <w:jc w:val="right"/>
              <w:ind w:right="1888"/>
              <w:spacing w:after="0" w:line="135" w:lineRule="exact"/>
              <w:rPr>
                <w:sz w:val="20"/>
                <w:szCs w:val="20"/>
                <w:color w:val="auto"/>
              </w:rPr>
            </w:pPr>
            <w:r>
              <w:rPr>
                <w:rFonts w:ascii="Times New Roman" w:cs="Times New Roman" w:eastAsia="Times New Roman" w:hAnsi="Times New Roman"/>
                <w:sz w:val="12"/>
                <w:szCs w:val="12"/>
                <w:b w:val="1"/>
                <w:bCs w:val="1"/>
                <w:color w:val="auto"/>
              </w:rPr>
              <w:t>(I.R.S. Employer Identification No.)</w:t>
            </w:r>
          </w:p>
        </w:tc>
        <w:tc>
          <w:tcPr>
            <w:tcW w:w="0" w:type="dxa"/>
            <w:vAlign w:val="bottom"/>
          </w:tcPr>
          <w:p>
            <w:pPr>
              <w:spacing w:after="0"/>
              <w:rPr>
                <w:sz w:val="1"/>
                <w:szCs w:val="1"/>
                <w:color w:val="auto"/>
              </w:rPr>
            </w:pPr>
          </w:p>
        </w:tc>
      </w:tr>
      <w:tr>
        <w:trPr>
          <w:trHeight w:val="152"/>
        </w:trPr>
        <w:tc>
          <w:tcPr>
            <w:tcW w:w="7460" w:type="dxa"/>
            <w:vAlign w:val="bottom"/>
            <w:gridSpan w:val="5"/>
          </w:tcPr>
          <w:p>
            <w:pPr>
              <w:jc w:val="center"/>
              <w:ind w:right="1740"/>
              <w:spacing w:after="0"/>
              <w:rPr>
                <w:sz w:val="20"/>
                <w:szCs w:val="20"/>
                <w:color w:val="auto"/>
              </w:rPr>
            </w:pPr>
            <w:r>
              <w:rPr>
                <w:rFonts w:ascii="Times New Roman" w:cs="Times New Roman" w:eastAsia="Times New Roman" w:hAnsi="Times New Roman"/>
                <w:sz w:val="12"/>
                <w:szCs w:val="12"/>
                <w:b w:val="1"/>
                <w:bCs w:val="1"/>
                <w:color w:val="auto"/>
                <w:w w:val="97"/>
              </w:rPr>
              <w:t>or Organization)</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30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Clarendon House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06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2 Church Street</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06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Hamilton HM11, Bermuda</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30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60" w:type="dxa"/>
            <w:vAlign w:val="bottom"/>
            <w:gridSpan w:val="5"/>
          </w:tcPr>
          <w:p>
            <w:pPr>
              <w:jc w:val="center"/>
              <w:ind w:left="3912"/>
              <w:spacing w:after="0"/>
              <w:rPr>
                <w:sz w:val="20"/>
                <w:szCs w:val="20"/>
                <w:color w:val="auto"/>
              </w:rPr>
            </w:pPr>
            <w:r>
              <w:rPr>
                <w:rFonts w:ascii="Times New Roman" w:cs="Times New Roman" w:eastAsia="Times New Roman" w:hAnsi="Times New Roman"/>
                <w:sz w:val="14"/>
                <w:szCs w:val="14"/>
                <w:b w:val="1"/>
                <w:bCs w:val="1"/>
                <w:color w:val="auto"/>
              </w:rPr>
              <w:t>Registrant’s telephone number: (441) 295-1422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440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7460" w:type="dxa"/>
            <w:vAlign w:val="bottom"/>
            <w:gridSpan w:val="5"/>
          </w:tcPr>
          <w:p>
            <w:pPr>
              <w:jc w:val="center"/>
              <w:ind w:left="3892"/>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460" w:type="dxa"/>
            <w:vAlign w:val="bottom"/>
            <w:gridSpan w:val="5"/>
          </w:tcPr>
          <w:p>
            <w:pPr>
              <w:jc w:val="center"/>
              <w:ind w:right="1860"/>
              <w:spacing w:after="0"/>
              <w:rPr>
                <w:sz w:val="20"/>
                <w:szCs w:val="20"/>
                <w:color w:val="auto"/>
              </w:rPr>
            </w:pPr>
            <w:r>
              <w:rPr>
                <w:rFonts w:ascii="Times New Roman" w:cs="Times New Roman" w:eastAsia="Times New Roman" w:hAnsi="Times New Roman"/>
                <w:sz w:val="12"/>
                <w:szCs w:val="12"/>
                <w:b w:val="1"/>
                <w:bCs w:val="1"/>
                <w:color w:val="auto"/>
                <w:w w:val="97"/>
              </w:rPr>
              <w:t>Title of each class</w:t>
            </w:r>
          </w:p>
        </w:tc>
        <w:tc>
          <w:tcPr>
            <w:tcW w:w="3960" w:type="dxa"/>
            <w:vAlign w:val="bottom"/>
            <w:gridSpan w:val="3"/>
          </w:tcPr>
          <w:p>
            <w:pPr>
              <w:jc w:val="right"/>
              <w:ind w:right="1568"/>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5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240" w:type="dxa"/>
            <w:vAlign w:val="bottom"/>
          </w:tcPr>
          <w:p>
            <w:pPr>
              <w:spacing w:after="0"/>
              <w:rPr>
                <w:sz w:val="15"/>
                <w:szCs w:val="15"/>
                <w:color w:val="auto"/>
              </w:rPr>
            </w:pPr>
          </w:p>
        </w:tc>
        <w:tc>
          <w:tcPr>
            <w:tcW w:w="1620" w:type="dxa"/>
            <w:vAlign w:val="bottom"/>
            <w:tcBorders>
              <w:top w:val="single" w:sz="8" w:color="auto"/>
            </w:tcBorders>
            <w:gridSpan w:val="2"/>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232"/>
        </w:trPr>
        <w:tc>
          <w:tcPr>
            <w:tcW w:w="7760" w:type="dxa"/>
            <w:vAlign w:val="bottom"/>
            <w:gridSpan w:val="6"/>
          </w:tcPr>
          <w:p>
            <w:pPr>
              <w:jc w:val="center"/>
              <w:ind w:left="3612"/>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2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3440" w:type="dxa"/>
            <w:vAlign w:val="bottom"/>
            <w:vMerge w:val="restart"/>
          </w:tcPr>
          <w:p>
            <w:pPr>
              <w:jc w:val="right"/>
              <w:ind w:right="2868"/>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7"/>
        </w:trPr>
        <w:tc>
          <w:tcPr>
            <w:tcW w:w="746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1"/>
              </w:rPr>
              <w:t>Yes</w:t>
            </w:r>
          </w:p>
        </w:tc>
        <w:tc>
          <w:tcPr>
            <w:tcW w:w="220" w:type="dxa"/>
            <w:vAlign w:val="bottom"/>
            <w:vMerge w:val="continue"/>
          </w:tcPr>
          <w:p>
            <w:pPr>
              <w:spacing w:after="0"/>
              <w:rPr>
                <w:sz w:val="18"/>
                <w:szCs w:val="18"/>
                <w:color w:val="auto"/>
              </w:rPr>
            </w:pPr>
          </w:p>
        </w:tc>
        <w:tc>
          <w:tcPr>
            <w:tcW w:w="3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3440" w:type="dxa"/>
            <w:vAlign w:val="bottom"/>
          </w:tcPr>
          <w:p>
            <w:pPr>
              <w:jc w:val="right"/>
              <w:ind w:right="32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ind w:right="160" w:firstLine="59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80" w:firstLine="598"/>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9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180" w:firstLine="598"/>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95" w:right="239" w:bottom="1440" w:gutter="0" w:footer="0" w:header="0"/>
        </w:sectPr>
      </w:pPr>
    </w:p>
    <w:p>
      <w:pPr>
        <w:spacing w:after="0" w:line="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4">
            <w:col w:w="1900" w:space="60"/>
            <w:col w:w="2000" w:space="720"/>
            <w:col w:w="960" w:space="80"/>
            <w:col w:w="5700"/>
          </w:cols>
          <w:pgMar w:left="240" w:top="295" w:right="2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9" w:lineRule="exact"/>
        <w:rPr>
          <w:sz w:val="24"/>
          <w:szCs w:val="24"/>
          <w:color w:val="auto"/>
        </w:rPr>
      </w:pPr>
    </w:p>
    <w:p>
      <w:pPr>
        <w:sectPr>
          <w:pgSz w:w="11900" w:h="16838" w:orient="portrait"/>
          <w:cols w:equalWidth="0" w:num="4">
            <w:col w:w="1820" w:space="80"/>
            <w:col w:w="2060" w:space="720"/>
            <w:col w:w="1580" w:space="60"/>
            <w:col w:w="5100"/>
          </w:cols>
          <w:pgMar w:left="240" w:top="295" w:right="239" w:bottom="1440" w:gutter="0" w:footer="0" w:header="0"/>
          <w:type w:val="continuous"/>
        </w:sectPr>
      </w:pPr>
    </w:p>
    <w:p>
      <w:pPr>
        <w:ind w:right="140" w:firstLine="598"/>
        <w:spacing w:after="0" w:line="193" w:lineRule="exact"/>
        <w:rPr>
          <w:sz w:val="20"/>
          <w:szCs w:val="20"/>
          <w:color w:val="auto"/>
        </w:rPr>
      </w:pPr>
      <w:r>
        <w:rPr>
          <w:rFonts w:ascii="Times New Roman" w:cs="Times New Roman" w:eastAsia="Times New Roman" w:hAnsi="Times New Roman"/>
          <w:sz w:val="14"/>
          <w:szCs w:val="14"/>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spacing w:after="0" w:line="161" w:lineRule="exact"/>
        <w:tabs>
          <w:tab w:leader="none" w:pos="7320" w:val="left"/>
          <w:tab w:leader="none" w:pos="78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as of June 30, 2018 was approximately $5,784,416,520.</w:t>
      </w:r>
    </w:p>
    <w:p>
      <w:pPr>
        <w:spacing w:after="0" w:line="2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color w:val="auto"/>
        </w:rPr>
        <w:t>As of January 30, 2019, there were 129,766,091 shares of the Registrant’s Class A common stock outstanding (including 19,763,704 shares held by subsidiaries).</w:t>
      </w:r>
    </w:p>
    <w:p>
      <w:pPr>
        <w:spacing w:after="0" w:line="2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5"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4"/>
          <w:szCs w:val="14"/>
          <w:color w:val="auto"/>
        </w:rPr>
        <w:t>Portions of the Registrant’s proxy statement for its 2019 annual general meeting of shareholders are incorporated by reference in this Form 10-K in response to Part III Items 10, 11, 12, 13</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626745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type w:val="continuous"/>
        </w:sectPr>
      </w:pPr>
    </w:p>
    <w:bookmarkStart w:id="1" w:name="page2"/>
    <w:bookmarkEnd w:id="1"/>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2018</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gridSpan w:val="29"/>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 10-K Item Number</w:t>
            </w: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480" w:type="dxa"/>
            <w:vAlign w:val="bottom"/>
            <w:gridSpan w:val="29"/>
            <w:vMerge w:val="continue"/>
          </w:tcPr>
          <w:p>
            <w:pPr>
              <w:spacing w:after="0"/>
              <w:rPr>
                <w:sz w:val="15"/>
                <w:szCs w:val="15"/>
                <w:color w:val="auto"/>
              </w:rPr>
            </w:pPr>
          </w:p>
        </w:tc>
        <w:tc>
          <w:tcPr>
            <w:tcW w:w="9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gridSpan w:val="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w:t>
              </w:r>
            </w:hyperlink>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8920" w:type="dxa"/>
            <w:vAlign w:val="bottom"/>
            <w:gridSpan w:val="21"/>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24"/>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Executive Officers of the Registrant</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Risk Factors</w:t>
              </w:r>
            </w:hyperlink>
          </w:p>
        </w:tc>
        <w:tc>
          <w:tcPr>
            <w:tcW w:w="1680" w:type="dxa"/>
            <w:vAlign w:val="bottom"/>
            <w:tcBorders>
              <w:top w:val="single" w:sz="8" w:color="0000EE"/>
            </w:tcBorders>
            <w:gridSpan w:val="7"/>
          </w:tcPr>
          <w:p>
            <w:pPr>
              <w:spacing w:after="0"/>
              <w:rPr>
                <w:sz w:val="24"/>
                <w:szCs w:val="24"/>
                <w:color w:val="auto"/>
              </w:rPr>
            </w:pPr>
          </w:p>
        </w:tc>
        <w:tc>
          <w:tcPr>
            <w:tcW w:w="6980" w:type="dxa"/>
            <w:vAlign w:val="bottom"/>
            <w:gridSpan w:val="12"/>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Unresolved Staff Comments</w:t>
              </w:r>
            </w:hyperlink>
          </w:p>
        </w:tc>
        <w:tc>
          <w:tcPr>
            <w:tcW w:w="7520" w:type="dxa"/>
            <w:vAlign w:val="bottom"/>
            <w:gridSpan w:val="13"/>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24"/>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Properties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24"/>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Legal Proceedings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24"/>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Mine Safety Disclosures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920" w:type="dxa"/>
            <w:vAlign w:val="bottom"/>
            <w:gridSpan w:val="5"/>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PART II</w:t>
              </w:r>
            </w:hyperlink>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66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Market for Registrant’s Common Equity, Related Stockholder Matters and Issuer Purchases</w:t>
              </w:r>
            </w:hyperlink>
          </w:p>
        </w:tc>
        <w:tc>
          <w:tcPr>
            <w:tcW w:w="29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gridSpan w:val="22"/>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of Equity Securities</w:t>
              </w:r>
            </w:hyperlink>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24"/>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Selected Financial Data</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10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Quantitative and Qualitative Disclosures About Market Risk</w:t>
              </w:r>
            </w:hyperlink>
          </w:p>
        </w:tc>
        <w:tc>
          <w:tcPr>
            <w:tcW w:w="520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9560" w:type="dxa"/>
            <w:vAlign w:val="bottom"/>
            <w:gridSpan w:val="24"/>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Financial Statements and Supplementary Data</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w:anchor="page132">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308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9560" w:type="dxa"/>
            <w:vAlign w:val="bottom"/>
            <w:gridSpan w:val="24"/>
          </w:tcPr>
          <w:p>
            <w:pPr>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Controls and Procedures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Other Information</w:t>
              </w:r>
            </w:hyperlink>
          </w:p>
        </w:tc>
        <w:tc>
          <w:tcPr>
            <w:tcW w:w="7800" w:type="dxa"/>
            <w:vAlign w:val="bottom"/>
            <w:gridSpan w:val="15"/>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318"/>
        </w:trPr>
        <w:tc>
          <w:tcPr>
            <w:tcW w:w="920" w:type="dxa"/>
            <w:vAlign w:val="bottom"/>
            <w:gridSpan w:val="5"/>
          </w:tcPr>
          <w:p>
            <w:pPr>
              <w:spacing w:after="0"/>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PART III</w:t>
              </w:r>
            </w:hyperlink>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9560" w:type="dxa"/>
            <w:vAlign w:val="bottom"/>
            <w:gridSpan w:val="24"/>
          </w:tcPr>
          <w:p>
            <w:pPr>
              <w:spacing w:after="0"/>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Directors, Executive Officers and Corporate Governance</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134">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48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58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Security Ownership of Certain Beneficial Owners and Management and Related</w:t>
              </w:r>
            </w:hyperlink>
          </w:p>
        </w:tc>
        <w:tc>
          <w:tcPr>
            <w:tcW w:w="3740" w:type="dxa"/>
            <w:vAlign w:val="bottom"/>
            <w:gridSpan w:val="5"/>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134">
              <w:r>
                <w:rPr>
                  <w:rFonts w:ascii="Times New Roman" w:cs="Times New Roman" w:eastAsia="Times New Roman" w:hAnsi="Times New Roman"/>
                  <w:sz w:val="18"/>
                  <w:szCs w:val="18"/>
                  <w:color w:val="0000EE"/>
                  <w:w w:val="98"/>
                </w:rPr>
                <w:t>Stockholder Matters</w:t>
              </w:r>
            </w:hyperlink>
          </w:p>
        </w:tc>
        <w:tc>
          <w:tcPr>
            <w:tcW w:w="7860" w:type="dxa"/>
            <w:vAlign w:val="bottom"/>
            <w:gridSpan w:val="1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9560" w:type="dxa"/>
            <w:vAlign w:val="bottom"/>
            <w:gridSpan w:val="24"/>
          </w:tcPr>
          <w:p>
            <w:pPr>
              <w:spacing w:after="0"/>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Certain Relationships and Related Transactions, and Director Independence</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Principal Accounting Fees and Services</w:t>
              </w:r>
            </w:hyperlink>
          </w:p>
        </w:tc>
        <w:tc>
          <w:tcPr>
            <w:tcW w:w="412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318"/>
        </w:trPr>
        <w:tc>
          <w:tcPr>
            <w:tcW w:w="6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4"/>
              </w:rPr>
            </w:pPr>
            <w:hyperlink w:anchor="page136">
              <w:r>
                <w:rPr>
                  <w:rFonts w:ascii="Times New Roman" w:cs="Times New Roman" w:eastAsia="Times New Roman" w:hAnsi="Times New Roman"/>
                  <w:sz w:val="18"/>
                  <w:szCs w:val="18"/>
                  <w:color w:val="0000EE"/>
                  <w:w w:val="94"/>
                </w:rPr>
                <w:t>PART IV</w:t>
              </w:r>
            </w:hyperlink>
          </w:p>
        </w:tc>
        <w:tc>
          <w:tcPr>
            <w:tcW w:w="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136">
              <w:r>
                <w:rPr>
                  <w:rFonts w:ascii="Times New Roman" w:cs="Times New Roman" w:eastAsia="Times New Roman" w:hAnsi="Times New Roman"/>
                  <w:sz w:val="18"/>
                  <w:szCs w:val="18"/>
                  <w:color w:val="0000EE"/>
                  <w:w w:val="99"/>
                </w:rPr>
                <w:t>Exhibits and Financial Statement Schedules</w:t>
              </w:r>
            </w:hyperlink>
          </w:p>
        </w:tc>
        <w:tc>
          <w:tcPr>
            <w:tcW w:w="640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24"/>
          </w:tcPr>
          <w:p>
            <w:pPr>
              <w:spacing w:after="0"/>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Index to Financial Statements and Financial Statement Schedule Items 15(a)(1) and 15(a)(2)</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920" w:type="dxa"/>
            <w:vAlign w:val="bottom"/>
            <w:gridSpan w:val="5"/>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60" w:type="dxa"/>
            <w:vAlign w:val="bottom"/>
            <w:gridSpan w:val="21"/>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80" w:type="dxa"/>
            <w:vAlign w:val="bottom"/>
            <w:gridSpan w:val="29"/>
          </w:tcPr>
          <w:p>
            <w:pPr>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SIGNATURES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December 31, 2018 of all of the common membership interests in Lazard Group and its controlling interest in Lazard Group.</w:t>
      </w:r>
    </w:p>
    <w:p>
      <w:pPr>
        <w:spacing w:after="0" w:line="28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21" w:lineRule="exact"/>
        <w:rPr>
          <w:sz w:val="20"/>
          <w:szCs w:val="20"/>
          <w:color w:val="auto"/>
        </w:rPr>
      </w:pPr>
    </w:p>
    <w:p>
      <w:pPr>
        <w:ind w:right="100" w:firstLine="598"/>
        <w:spacing w:after="0" w:line="261" w:lineRule="auto"/>
        <w:rPr>
          <w:sz w:val="20"/>
          <w:szCs w:val="20"/>
          <w:color w:val="auto"/>
        </w:rPr>
      </w:pPr>
      <w:r>
        <w:rPr>
          <w:rFonts w:ascii="Times New Roman" w:cs="Times New Roman" w:eastAsia="Times New Roman" w:hAnsi="Times New Roman"/>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Business Lines</w:t>
      </w:r>
    </w:p>
    <w:p>
      <w:pPr>
        <w:spacing w:after="0" w:line="121" w:lineRule="exact"/>
        <w:rPr>
          <w:sz w:val="20"/>
          <w:szCs w:val="20"/>
          <w:color w:val="auto"/>
        </w:rPr>
      </w:pPr>
    </w:p>
    <w:p>
      <w:pPr>
        <w:ind w:right="180" w:firstLine="598"/>
        <w:spacing w:after="0" w:line="282" w:lineRule="auto"/>
        <w:rPr>
          <w:sz w:val="20"/>
          <w:szCs w:val="20"/>
          <w:color w:val="auto"/>
        </w:rPr>
      </w:pPr>
      <w:r>
        <w:rPr>
          <w:rFonts w:ascii="Times New Roman" w:cs="Times New Roman" w:eastAsia="Times New Roman" w:hAnsi="Times New Roman"/>
          <w:sz w:val="18"/>
          <w:szCs w:val="18"/>
          <w:color w:val="auto"/>
        </w:rPr>
        <w:t>We focus primarily on two business segments: Financial Advisory and Asset Management. We believe that the mix of our activities across business segments, geographic regions, industries and investment strategies helps to diversify and stabilize our revenue stream.</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w:t>
      </w:r>
    </w:p>
    <w:p>
      <w:pPr>
        <w:spacing w:after="0" w:line="121" w:lineRule="exact"/>
        <w:rPr>
          <w:sz w:val="20"/>
          <w:szCs w:val="20"/>
          <w:color w:val="auto"/>
        </w:rPr>
      </w:pPr>
    </w:p>
    <w:p>
      <w:pPr>
        <w:ind w:right="140" w:firstLine="598"/>
        <w:spacing w:after="0" w:line="258" w:lineRule="auto"/>
        <w:rPr>
          <w:sz w:val="20"/>
          <w:szCs w:val="20"/>
          <w:color w:val="auto"/>
        </w:rPr>
      </w:pPr>
      <w:r>
        <w:rPr>
          <w:rFonts w:ascii="Times New Roman" w:cs="Times New Roman" w:eastAsia="Times New Roman" w:hAnsi="Times New Roman"/>
          <w:sz w:val="18"/>
          <w:szCs w:val="18"/>
          <w:color w:val="auto"/>
        </w:rPr>
        <w:t>Our Financial Advisory business offers corporate, partnership, institutional, government, sovereign and individual clients across the globe a wide array of financial advisory services regarding mergers and acquisitions (“M&amp;A”) and other strategic matters, restructurings, capital structure, shareholder advisory, capital raising and various other financial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84" w:lineRule="exact"/>
        <w:rPr>
          <w:sz w:val="20"/>
          <w:szCs w:val="20"/>
          <w:color w:val="auto"/>
        </w:rPr>
      </w:pPr>
    </w:p>
    <w:p>
      <w:pPr>
        <w:ind w:right="360" w:firstLine="598"/>
        <w:spacing w:after="0" w:line="261" w:lineRule="auto"/>
        <w:rPr>
          <w:sz w:val="20"/>
          <w:szCs w:val="20"/>
          <w:color w:val="auto"/>
        </w:rPr>
      </w:pPr>
      <w:r>
        <w:rPr>
          <w:rFonts w:ascii="Times New Roman" w:cs="Times New Roman" w:eastAsia="Times New Roman" w:hAnsi="Times New Roman"/>
          <w:sz w:val="18"/>
          <w:szCs w:val="18"/>
          <w:color w:val="auto"/>
        </w:rPr>
        <w:t>We continue to build our Financial Advisory business by fostering long-term, senior level relationships with existing and new clients as their independent advisor on strategic transactions and other matters.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analysis and execution.</w:t>
      </w:r>
    </w:p>
    <w:p>
      <w:pPr>
        <w:spacing w:after="0" w:line="180"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89" w:lineRule="exact"/>
        <w:rPr>
          <w:sz w:val="20"/>
          <w:szCs w:val="20"/>
          <w:color w:val="auto"/>
        </w:rPr>
      </w:pPr>
    </w:p>
    <w:p>
      <w:pPr>
        <w:ind w:right="100" w:firstLine="598"/>
        <w:spacing w:after="0" w:line="266" w:lineRule="auto"/>
        <w:rPr>
          <w:sz w:val="20"/>
          <w:szCs w:val="20"/>
          <w:color w:val="auto"/>
        </w:rPr>
      </w:pPr>
      <w:r>
        <w:rPr>
          <w:rFonts w:ascii="Times New Roman" w:cs="Times New Roman" w:eastAsia="Times New Roman" w:hAnsi="Times New Roman"/>
          <w:sz w:val="18"/>
          <w:szCs w:val="18"/>
          <w:color w:val="auto"/>
        </w:rPr>
        <w:t>We earned $1 million or more from 287 clients, 304 clients and 276 clients for the years ended December 31, 2018, 2017 and 2016, respectively. For the years ended December 31, 2018, 2017 and 2016, the ten largest fee paying clients constituted approximately 19%, 22% and 23%, respectively, of our Financial Advisory segment net revenue, with no client individually contributing more than 10% of segment net revenue during any of these years.</w:t>
      </w:r>
    </w:p>
    <w:p>
      <w:pPr>
        <w:spacing w:after="0" w:line="176" w:lineRule="exact"/>
        <w:rPr>
          <w:sz w:val="20"/>
          <w:szCs w:val="20"/>
          <w:color w:val="auto"/>
        </w:rPr>
      </w:pPr>
    </w:p>
    <w:p>
      <w:pPr>
        <w:ind w:right="20" w:firstLine="598"/>
        <w:spacing w:after="0" w:line="282" w:lineRule="auto"/>
        <w:rPr>
          <w:sz w:val="20"/>
          <w:szCs w:val="20"/>
          <w:color w:val="auto"/>
        </w:rPr>
      </w:pPr>
      <w:r>
        <w:rPr>
          <w:rFonts w:ascii="Times New Roman" w:cs="Times New Roman" w:eastAsia="Times New Roman" w:hAnsi="Times New Roman"/>
          <w:sz w:val="18"/>
          <w:szCs w:val="18"/>
          <w:color w:val="auto"/>
        </w:rPr>
        <w:t>We believe that we have been pioneers in offering financial advisory services on an international basis, with the establishment of our New York, Paris and London offices dating back to the nineteenth century. We maintain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ind w:right="140"/>
        <w:spacing w:after="0" w:line="266" w:lineRule="auto"/>
        <w:rPr>
          <w:sz w:val="20"/>
          <w:szCs w:val="20"/>
          <w:color w:val="auto"/>
        </w:rPr>
      </w:pPr>
      <w:r>
        <w:rPr>
          <w:rFonts w:ascii="Times New Roman" w:cs="Times New Roman" w:eastAsia="Times New Roman" w:hAnsi="Times New Roman"/>
          <w:sz w:val="18"/>
          <w:szCs w:val="18"/>
          <w:color w:val="auto"/>
        </w:rPr>
        <w:t>major local presence in the United States (the “U.S.”), the United Kingdom (the “U.K.”) and France, including a network of regional branch offices in the U.S., as well as a presence in Argentina, Australia, Belgium, Brazil, Canada, Chile, China, Colombia, Germany, Hong Kong, India, Italy, Japan, Mexico, the Netherlands, Panama, Peru, Singapore, Spain, Sweden, Switzerland and the Middle East region.</w:t>
      </w:r>
    </w:p>
    <w:p>
      <w:pPr>
        <w:spacing w:after="0" w:line="176" w:lineRule="exact"/>
        <w:rPr>
          <w:sz w:val="20"/>
          <w:szCs w:val="20"/>
          <w:color w:val="auto"/>
        </w:rPr>
      </w:pPr>
    </w:p>
    <w:p>
      <w:pPr>
        <w:ind w:right="120" w:firstLine="598"/>
        <w:spacing w:after="0" w:line="258" w:lineRule="auto"/>
        <w:rPr>
          <w:sz w:val="20"/>
          <w:szCs w:val="20"/>
          <w:color w:val="auto"/>
        </w:rPr>
      </w:pPr>
      <w:r>
        <w:rPr>
          <w:rFonts w:ascii="Times New Roman" w:cs="Times New Roman" w:eastAsia="Times New Roman" w:hAnsi="Times New Roman"/>
          <w:sz w:val="18"/>
          <w:szCs w:val="18"/>
          <w:color w:val="auto"/>
        </w:rPr>
        <w:t>In addition to seeking business centered in the regions described above, we historically have focused in particular on advising clients with respect to cross-border transactions. We believe that we are particularly well known for our legacy of offering broad teams of professionals who are indigenous to their respective regions, who have long-term client relationships, capabilities and know-how in their respective regions, and who will coordinate with our professionals who have global sector expertise. We also believe that this positioning affords us insight around the globe into key industry, economic, governmental and regulatory issues and developments, which we can bring to bear on behalf of our clients.</w:t>
      </w:r>
    </w:p>
    <w:p>
      <w:pPr>
        <w:spacing w:after="0" w:line="184" w:lineRule="exact"/>
        <w:rPr>
          <w:sz w:val="20"/>
          <w:szCs w:val="20"/>
          <w:color w:val="auto"/>
        </w:rPr>
      </w:pPr>
    </w:p>
    <w:p>
      <w:pPr>
        <w:ind w:right="60" w:firstLine="598"/>
        <w:spacing w:after="0" w:line="266" w:lineRule="auto"/>
        <w:rPr>
          <w:sz w:val="20"/>
          <w:szCs w:val="20"/>
          <w:color w:val="auto"/>
        </w:rPr>
      </w:pPr>
      <w:r>
        <w:rPr>
          <w:rFonts w:ascii="Times New Roman" w:cs="Times New Roman" w:eastAsia="Times New Roman" w:hAnsi="Times New Roman"/>
          <w:sz w:val="18"/>
          <w:szCs w:val="18"/>
          <w:color w:val="auto"/>
        </w:rPr>
        <w:t>Our Financial Advisory business has made certain business acquisitions and entered into other strategic business relationships. For example, in 2016, we expanded our North American Financial Advisory business through the acquisition of an independent financial advisory firm based in Canada, and we acquired the portion of MBA Lazard that we did not previously own, thereby fully integrating our Latin American operations.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Services Offered</w:t>
      </w:r>
    </w:p>
    <w:p>
      <w:pPr>
        <w:spacing w:after="0" w:line="119"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structural alternatives, and rendering, if appropriate, fairness opinions. We also may advise as to the timing,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84"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When we advise clients that are contemplating the sale of certain businesses, assets or an entire company, our services include advising on the sale process for the situation, providing valuation analyses, assisting in preparing an information memorandum or other appropriate sale materials and rendering, if appropriate, fairness opinions. We also identify and contact selected qualified acquirors and assist in negotiating and closing the proposed sale. As appropriate, we also advise our clients regarding potential financial and strategic alternatives to a sale, including recapitalizations, spin-offs, carve-outs and split-offs. We frequently provide advice with respect to the structure, timing and pricing of these alternatives.</w:t>
      </w:r>
    </w:p>
    <w:p>
      <w:pPr>
        <w:spacing w:after="0" w:line="184"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financial and strategic alternatives.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89" w:lineRule="exact"/>
        <w:rPr>
          <w:sz w:val="20"/>
          <w:szCs w:val="20"/>
          <w:color w:val="auto"/>
        </w:rPr>
      </w:pPr>
    </w:p>
    <w:p>
      <w:pPr>
        <w:ind w:right="80" w:firstLine="598"/>
        <w:spacing w:after="0" w:line="261" w:lineRule="auto"/>
        <w:rPr>
          <w:sz w:val="20"/>
          <w:szCs w:val="20"/>
          <w:color w:val="auto"/>
        </w:rPr>
      </w:pPr>
      <w:r>
        <w:rPr>
          <w:rFonts w:ascii="Times New Roman" w:cs="Times New Roman" w:eastAsia="Times New Roman" w:hAnsi="Times New Roman"/>
          <w:sz w:val="18"/>
          <w:szCs w:val="18"/>
          <w:color w:val="auto"/>
        </w:rPr>
        <w:t>When we assist clients in connection with shareholder advisory and corporate preparedness matters, our services may include reviewing and analyzing the business and financial condition of the company, providing insights on the company’s shareholders, assisting in the evaluation of corporate governance matters, and advising on defense measures and strategic alternatives potentially available to the company. Our advice may relate to a broad range of matters including M&amp;A, capital markets, corporate governance and data analytics.</w:t>
      </w:r>
    </w:p>
    <w:p>
      <w:pPr>
        <w:spacing w:after="0" w:line="180" w:lineRule="exact"/>
        <w:rPr>
          <w:sz w:val="20"/>
          <w:szCs w:val="20"/>
          <w:color w:val="auto"/>
        </w:rPr>
      </w:pPr>
    </w:p>
    <w:p>
      <w:pPr>
        <w:ind w:right="260" w:firstLine="598"/>
        <w:spacing w:after="0" w:line="282" w:lineRule="auto"/>
        <w:rPr>
          <w:sz w:val="20"/>
          <w:szCs w:val="20"/>
          <w:color w:val="auto"/>
        </w:rPr>
      </w:pPr>
      <w:r>
        <w:rPr>
          <w:rFonts w:ascii="Times New Roman" w:cs="Times New Roman" w:eastAsia="Times New Roman" w:hAnsi="Times New Roman"/>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right="80" w:firstLine="598"/>
        <w:spacing w:after="0" w:line="261" w:lineRule="auto"/>
        <w:rPr>
          <w:sz w:val="20"/>
          <w:szCs w:val="20"/>
          <w:color w:val="auto"/>
        </w:rPr>
      </w:pPr>
      <w:r>
        <w:rPr>
          <w:rFonts w:ascii="Times New Roman" w:cs="Times New Roman" w:eastAsia="Times New Roman" w:hAnsi="Times New Roman"/>
          <w:sz w:val="18"/>
          <w:szCs w:val="18"/>
          <w:color w:val="auto"/>
        </w:rPr>
        <w:t>When we assist clients in raising private or public market financing or capital, our services include assisting clients in connection with securing, refinancing or restructuring bank loans or other debt, originating and executing, or participating in, public underwritings and private placements of securities, and originating and executing private placements of partnership and similar interests in alternative investment funds such as leveraged buyout, mezzanine or real estate focused funds.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are at the forefront of providing independent advice to governments and governmental agencies in connection with economic developments.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Lazard’s Sovereign Advisory Group has advised a number of countries and institutions with respect to sovereign debt and other financial matters.</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Staffing</w:t>
      </w:r>
    </w:p>
    <w:p>
      <w:pPr>
        <w:spacing w:after="0" w:line="119"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We staff each of our assignments with a team of quality professionals who have appropriate product, industry and geographic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advice and services. Our managing directors have significant experience, and many of them are able to use this experience to advise on M&amp;A, financings, restructurings, capital structure, shareholder advisory and other transactions or financial matters, depending on our clients’ needs. Many of our managing directors and senior employees come from diverse backgrounds, such as senior leadership positions in corporations, government, law and strategic consulting, which we believe enhances our ability to offer sophisticated advice and customized solutions to our clients. As of December 31, 2018, our Financial Advisory segment had 166 managing directors and 1,312 other professionals and support staff.</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Industries Served</w:t>
      </w:r>
    </w:p>
    <w:p>
      <w:pPr>
        <w:spacing w:after="0" w:line="119" w:lineRule="exact"/>
        <w:rPr>
          <w:sz w:val="20"/>
          <w:szCs w:val="20"/>
          <w:color w:val="auto"/>
        </w:rPr>
      </w:pPr>
    </w:p>
    <w:p>
      <w:pPr>
        <w:ind w:right="740" w:firstLine="598"/>
        <w:spacing w:after="0" w:line="282" w:lineRule="auto"/>
        <w:rPr>
          <w:sz w:val="20"/>
          <w:szCs w:val="20"/>
          <w:color w:val="auto"/>
        </w:rPr>
      </w:pPr>
      <w:r>
        <w:rPr>
          <w:rFonts w:ascii="Times New Roman" w:cs="Times New Roman" w:eastAsia="Times New Roman" w:hAnsi="Times New Roman"/>
          <w:sz w:val="18"/>
          <w:szCs w:val="18"/>
          <w:color w:val="auto"/>
        </w:rPr>
        <w:t>We seek to offer our services across most major industry groups, including, in many cases, sub-industry specialties. Managing directors and professionals in our Mergers and Acquisitions practice are organized to provide advice in the following major industry practice areas:</w:t>
      </w:r>
    </w:p>
    <w:p>
      <w:pPr>
        <w:spacing w:after="0" w:line="54" w:lineRule="exact"/>
        <w:rPr>
          <w:sz w:val="20"/>
          <w:szCs w:val="20"/>
          <w:color w:val="auto"/>
        </w:rPr>
      </w:pPr>
    </w:p>
    <w:p>
      <w:pPr>
        <w:ind w:left="1200" w:hanging="598"/>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and life sciences;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and energy/infrastructure;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media and telecommunications.</w:t>
      </w:r>
    </w:p>
    <w:p>
      <w:pPr>
        <w:spacing w:after="0" w:line="225" w:lineRule="exact"/>
        <w:rPr>
          <w:sz w:val="20"/>
          <w:szCs w:val="20"/>
          <w:color w:val="auto"/>
        </w:rPr>
      </w:pPr>
    </w:p>
    <w:p>
      <w:pPr>
        <w:jc w:val="both"/>
        <w:ind w:right="220" w:firstLine="598"/>
        <w:spacing w:after="0" w:line="266" w:lineRule="auto"/>
        <w:rPr>
          <w:sz w:val="20"/>
          <w:szCs w:val="20"/>
          <w:color w:val="auto"/>
        </w:rPr>
      </w:pPr>
      <w:r>
        <w:rPr>
          <w:rFonts w:ascii="Times New Roman" w:cs="Times New Roman" w:eastAsia="Times New Roman" w:hAnsi="Times New Roman"/>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scope and the quality of the advice that we can offer, which improves our ability to market our capabilities to clients.</w:t>
      </w:r>
    </w:p>
    <w:p>
      <w:pPr>
        <w:spacing w:after="0" w:line="176" w:lineRule="exact"/>
        <w:rPr>
          <w:sz w:val="20"/>
          <w:szCs w:val="20"/>
          <w:color w:val="auto"/>
        </w:rPr>
      </w:pPr>
    </w:p>
    <w:p>
      <w:pPr>
        <w:jc w:val="both"/>
        <w:ind w:right="240" w:firstLine="598"/>
        <w:spacing w:after="0" w:line="282" w:lineRule="auto"/>
        <w:rPr>
          <w:sz w:val="20"/>
          <w:szCs w:val="20"/>
          <w:color w:val="auto"/>
        </w:rPr>
      </w:pPr>
      <w:r>
        <w:rPr>
          <w:rFonts w:ascii="Times New Roman" w:cs="Times New Roman" w:eastAsia="Times New Roman" w:hAnsi="Times New Roman"/>
          <w:sz w:val="18"/>
          <w:szCs w:val="18"/>
          <w:color w:val="auto"/>
        </w:rPr>
        <w:t>In addition to our Mergers and Acquisitions and Restructuring practices, we also maintain specialties in the following distinct practice areas within our Financial Advisory business:</w:t>
      </w:r>
    </w:p>
    <w:p>
      <w:pPr>
        <w:spacing w:after="0" w:line="54" w:lineRule="exact"/>
        <w:rPr>
          <w:sz w:val="20"/>
          <w:szCs w:val="20"/>
          <w:color w:val="auto"/>
        </w:rPr>
      </w:pPr>
    </w:p>
    <w:p>
      <w:pPr>
        <w:ind w:left="1200" w:hanging="598"/>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sovereign advisory;</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 and debt advisory;</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and corporate preparedness advisory;</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fund-raising for alternative investment funds;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1200" w:right="340" w:hanging="598"/>
        <w:spacing w:after="0" w:line="282" w:lineRule="auto"/>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finance and other services, including private placements, underwritten offerings related to our Financial Advisory business and transactions involving the exchange or issuance of securities.</w:t>
      </w:r>
    </w:p>
    <w:p>
      <w:pPr>
        <w:spacing w:after="0" w:line="162" w:lineRule="exact"/>
        <w:rPr>
          <w:sz w:val="20"/>
          <w:szCs w:val="20"/>
          <w:color w:val="auto"/>
        </w:rPr>
      </w:pPr>
    </w:p>
    <w:p>
      <w:pPr>
        <w:ind w:right="280" w:firstLine="598"/>
        <w:spacing w:after="0" w:line="282" w:lineRule="auto"/>
        <w:rPr>
          <w:sz w:val="20"/>
          <w:szCs w:val="20"/>
          <w:color w:val="auto"/>
        </w:rPr>
      </w:pPr>
      <w:r>
        <w:rPr>
          <w:rFonts w:ascii="Times New Roman" w:cs="Times New Roman" w:eastAsia="Times New Roman" w:hAnsi="Times New Roman"/>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focus in our Financial Advisory business is on:</w:t>
      </w:r>
    </w:p>
    <w:p>
      <w:pPr>
        <w:spacing w:after="0" w:line="117" w:lineRule="exact"/>
        <w:rPr>
          <w:sz w:val="20"/>
          <w:szCs w:val="20"/>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intellectual capital through senior professionals who we believe have strong client relationships and industry expertise;</w:t>
      </w:r>
    </w:p>
    <w:p>
      <w:pPr>
        <w:spacing w:after="0" w:line="117" w:lineRule="exact"/>
        <w:rPr>
          <w:rFonts w:ascii="Times New Roman" w:cs="Times New Roman" w:eastAsia="Times New Roman" w:hAnsi="Times New Roman"/>
          <w:sz w:val="18"/>
          <w:szCs w:val="18"/>
          <w:color w:val="auto"/>
        </w:rPr>
      </w:pPr>
    </w:p>
    <w:p>
      <w:pPr>
        <w:ind w:left="1200" w:right="760" w:hanging="598"/>
        <w:spacing w:after="0" w:line="282"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contacts with existing clients to further enhance our long-term relationships and our efforts in developing new client relationships;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client relationships;</w:t>
      </w:r>
    </w:p>
    <w:p>
      <w:pPr>
        <w:spacing w:after="0" w:line="117" w:lineRule="exact"/>
        <w:rPr>
          <w:rFonts w:ascii="Times New Roman" w:cs="Times New Roman" w:eastAsia="Times New Roman" w:hAnsi="Times New Roman"/>
          <w:sz w:val="18"/>
          <w:szCs w:val="18"/>
          <w:color w:val="auto"/>
        </w:rPr>
      </w:pPr>
    </w:p>
    <w:p>
      <w:pPr>
        <w:ind w:left="1200" w:right="100" w:hanging="598"/>
        <w:spacing w:after="0" w:line="282"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breadth and depth of our industry expertise and selectively adding or reinforcing practice areas, such as our Capital Advisory, Shareholder Advisory and Sovereign Advisory groups;</w:t>
      </w:r>
    </w:p>
    <w:p>
      <w:pPr>
        <w:spacing w:after="0" w:line="53" w:lineRule="exact"/>
        <w:rPr>
          <w:rFonts w:ascii="Times New Roman" w:cs="Times New Roman" w:eastAsia="Times New Roman" w:hAnsi="Times New Roman"/>
          <w:sz w:val="18"/>
          <w:szCs w:val="18"/>
          <w:color w:val="auto"/>
        </w:rPr>
      </w:pPr>
    </w:p>
    <w:p>
      <w:pPr>
        <w:ind w:left="1200" w:right="760" w:hanging="598"/>
        <w:spacing w:after="0" w:line="282"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our industry specialty activities on a global basis and increasing the integration of our industry experts in Mergers and Acquisitions with our other professionals;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bolstering our existing presence in certain local markets;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broadening our geographic presence by adding new offices;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technology infrastructure and data science capabilities to enhance our business;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deploying our intellectual capital, strong client relationships and other assets to generate new revenue streams.</w:t>
      </w:r>
    </w:p>
    <w:p>
      <w:pPr>
        <w:spacing w:after="0" w:line="225" w:lineRule="exact"/>
        <w:rPr>
          <w:sz w:val="20"/>
          <w:szCs w:val="20"/>
          <w:color w:val="auto"/>
        </w:rPr>
      </w:pPr>
    </w:p>
    <w:p>
      <w:pPr>
        <w:ind w:firstLine="598"/>
        <w:spacing w:after="0" w:line="282" w:lineRule="auto"/>
        <w:rPr>
          <w:sz w:val="20"/>
          <w:szCs w:val="20"/>
          <w:color w:val="auto"/>
        </w:rPr>
      </w:pPr>
      <w:r>
        <w:rPr>
          <w:rFonts w:ascii="Times New Roman" w:cs="Times New Roman" w:eastAsia="Times New Roman" w:hAnsi="Times New Roman"/>
          <w:sz w:val="18"/>
          <w:szCs w:val="18"/>
          <w:color w:val="auto"/>
        </w:rPr>
        <w:t>In addition to the investments made as part of this strategy, we believe that our Financial Advisory business may benefit from external market factors, including:</w:t>
      </w:r>
    </w:p>
    <w:p>
      <w:pPr>
        <w:spacing w:after="0" w:line="54" w:lineRule="exact"/>
        <w:rPr>
          <w:sz w:val="20"/>
          <w:szCs w:val="20"/>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independent, sophisticated financial advice;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and related activities in developed and emerging markets;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low interest rates and high corporate cash balances;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levels of cross-border M&amp;A and large capitalization M&amp;A, two of our areas of historical specialization;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M&amp;A activity that may result from tax, regulatory and similar reform in certain regions, including the U.S.</w:t>
      </w:r>
    </w:p>
    <w:p>
      <w:pPr>
        <w:spacing w:after="0" w:line="225" w:lineRule="exact"/>
        <w:rPr>
          <w:sz w:val="20"/>
          <w:szCs w:val="20"/>
          <w:color w:val="auto"/>
        </w:rPr>
      </w:pPr>
    </w:p>
    <w:p>
      <w:pPr>
        <w:ind w:right="280" w:firstLine="598"/>
        <w:spacing w:after="0" w:line="266" w:lineRule="auto"/>
        <w:rPr>
          <w:sz w:val="20"/>
          <w:szCs w:val="20"/>
          <w:color w:val="auto"/>
        </w:rPr>
      </w:pPr>
      <w:r>
        <w:rPr>
          <w:rFonts w:ascii="Times New Roman" w:cs="Times New Roman" w:eastAsia="Times New Roman" w:hAnsi="Times New Roman"/>
          <w:sz w:val="18"/>
          <w:szCs w:val="18"/>
          <w:color w:val="auto"/>
        </w:rPr>
        <w:t>Going forward, our strategic emphasis in our Financial Advisory business is to leverage the investments we have made to grow our business and drive our productivity. We continue to seek to opportunistically attract outstanding individuals to our business. We routinely reassess our strategic position and may in the future seek opportunities to further enhance our competitive position.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121"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Our Asset Management business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 Our goal in our Asset Management business is to produce superior risk-adjusted investment returns and provide customized investment solutions for our clients through the active management of their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ind w:right="180"/>
        <w:spacing w:after="0" w:line="282" w:lineRule="auto"/>
        <w:rPr>
          <w:sz w:val="20"/>
          <w:szCs w:val="20"/>
          <w:color w:val="auto"/>
        </w:rPr>
      </w:pPr>
      <w:r>
        <w:rPr>
          <w:rFonts w:ascii="Times New Roman" w:cs="Times New Roman" w:eastAsia="Times New Roman" w:hAnsi="Times New Roman"/>
          <w:sz w:val="18"/>
          <w:szCs w:val="18"/>
          <w:color w:val="auto"/>
        </w:rPr>
        <w:t>portfolios. Our investment teams construct and manage portfolios using various techniques and investment philosophies, including traditional fundamental research and analysis and quantitative tools.</w:t>
      </w:r>
    </w:p>
    <w:p>
      <w:pPr>
        <w:spacing w:after="0" w:line="162"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Our top ten clients accounted for 26%, 25% and 21% of our total assets under management (“AUM”) for the years ended December 31, 2018, 2017 and 2016, respectively, with no client individually contributing more than 10% of our Asset Management segment net revenue during any of the respective years. Approximately 88% of our AUM as of December 31, 2018 was managed on behalf of institutional clients, including corporations, labor unions, public pension funds, insurance companies and banks, and through sub-advisory relationships, mutual fund sponsors, broker-dealers and registered advisors, and approximately 12% of our AUM was managed on behalf of individual client relationships, which are principally with family offices and high-net worth individuals.</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charts below illustrate the mix of our AUM as of December 31, 2018,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154940</wp:posOffset>
            </wp:positionV>
            <wp:extent cx="4725035" cy="132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2503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40" w:firstLine="598"/>
        <w:spacing w:after="0" w:line="261" w:lineRule="auto"/>
        <w:rPr>
          <w:sz w:val="20"/>
          <w:szCs w:val="20"/>
          <w:color w:val="auto"/>
        </w:rPr>
      </w:pPr>
      <w:r>
        <w:rPr>
          <w:rFonts w:ascii="Times New Roman" w:cs="Times New Roman" w:eastAsia="Times New Roman" w:hAnsi="Times New Roman"/>
          <w:sz w:val="18"/>
          <w:szCs w:val="18"/>
          <w:color w:val="auto"/>
        </w:rPr>
        <w:t>Our Asset Management business maintains offices in New York, Amsterdam, Bordeaux, Boston, Brussels, Chicago, Dubai, Dublin, Frankfurt, Geneva, Hamburg, Hong Kong, London, Lyon, Madrid, Melbourne, Milan, Montreal, Nantes, Paris, San Francisco, Seoul, Singapore, Sydney, Tokyo, Toronto and Zurich. These operations, with 102 managing directors and 1,014 other professionals and support staff as of December 31, 2018, provide our Asset Management business with both a global presence and a local identity.</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Primary distinguishing features of these operations include:</w:t>
      </w:r>
    </w:p>
    <w:p>
      <w:pPr>
        <w:spacing w:after="0" w:line="117" w:lineRule="exact"/>
        <w:rPr>
          <w:sz w:val="20"/>
          <w:szCs w:val="20"/>
          <w:color w:val="auto"/>
        </w:rPr>
      </w:pPr>
    </w:p>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footprint with global research, global mandates and global clients;</w:t>
      </w:r>
    </w:p>
    <w:p>
      <w:pPr>
        <w:spacing w:after="0" w:line="117" w:lineRule="exact"/>
        <w:rPr>
          <w:rFonts w:ascii="Times New Roman" w:cs="Times New Roman" w:eastAsia="Times New Roman" w:hAnsi="Times New Roman"/>
          <w:sz w:val="18"/>
          <w:szCs w:val="18"/>
          <w:color w:val="auto"/>
        </w:rPr>
      </w:pPr>
    </w:p>
    <w:p>
      <w:pPr>
        <w:ind w:left="1200" w:right="60" w:hanging="598"/>
        <w:spacing w:after="0" w:line="282"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broad-based team of investment professionals, including focused, in-house investment analysts across all products and platforms, many of whom have substantial industry or sector specific expertise; and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brand recognition and multi-channel distribution capabilities.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Our Investment Philosophy, Process and Research</w:t>
      </w:r>
    </w:p>
    <w:p>
      <w:pPr>
        <w:spacing w:after="0" w:line="227" w:lineRule="exact"/>
        <w:rPr>
          <w:sz w:val="20"/>
          <w:szCs w:val="20"/>
          <w:color w:val="auto"/>
        </w:rPr>
      </w:pPr>
    </w:p>
    <w:p>
      <w:pPr>
        <w:ind w:right="200" w:firstLine="549"/>
        <w:spacing w:after="0" w:line="282" w:lineRule="auto"/>
        <w:rPr>
          <w:sz w:val="20"/>
          <w:szCs w:val="20"/>
          <w:color w:val="auto"/>
        </w:rPr>
      </w:pPr>
      <w:r>
        <w:rPr>
          <w:rFonts w:ascii="Times New Roman" w:cs="Times New Roman" w:eastAsia="Times New Roman" w:hAnsi="Times New Roman"/>
          <w:sz w:val="18"/>
          <w:szCs w:val="18"/>
          <w:color w:val="auto"/>
        </w:rPr>
        <w:t>Our investment philosophy is generally based upon a fundamental security selection approach to investing. Across many of our products, we apply three key principles to investment portfolios:</w:t>
      </w:r>
    </w:p>
    <w:p>
      <w:pPr>
        <w:spacing w:after="0" w:line="54" w:lineRule="exact"/>
        <w:rPr>
          <w:sz w:val="20"/>
          <w:szCs w:val="20"/>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securities, not markets;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 company’s financial position, outlook, opportunities and risks, together with its valuation;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w:t>
      </w:r>
    </w:p>
    <w:p>
      <w:pPr>
        <w:spacing w:after="0" w:line="225" w:lineRule="exact"/>
        <w:rPr>
          <w:sz w:val="20"/>
          <w:szCs w:val="20"/>
          <w:color w:val="auto"/>
        </w:rPr>
      </w:pPr>
    </w:p>
    <w:p>
      <w:pPr>
        <w:ind w:right="1020" w:firstLine="598"/>
        <w:spacing w:after="0" w:line="282" w:lineRule="auto"/>
        <w:rPr>
          <w:sz w:val="20"/>
          <w:szCs w:val="20"/>
          <w:color w:val="auto"/>
        </w:rPr>
      </w:pPr>
      <w:r>
        <w:rPr>
          <w:rFonts w:ascii="Times New Roman" w:cs="Times New Roman" w:eastAsia="Times New Roman" w:hAnsi="Times New Roman"/>
          <w:sz w:val="18"/>
          <w:szCs w:val="18"/>
          <w:color w:val="auto"/>
        </w:rPr>
        <w:t>In searching for investment opportunities, many of our investment professionals follow an investment process that incorporates several interconnected components that may include:</w:t>
      </w:r>
    </w:p>
    <w:p>
      <w:pPr>
        <w:spacing w:after="0" w:line="54" w:lineRule="exact"/>
        <w:rPr>
          <w:sz w:val="20"/>
          <w:szCs w:val="20"/>
          <w:color w:val="auto"/>
        </w:rPr>
      </w:pPr>
    </w:p>
    <w:p>
      <w:pPr>
        <w:ind w:left="1200" w:hanging="598"/>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analysis;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quantitative analysis;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sectPr>
      </w:pPr>
    </w:p>
    <w:bookmarkStart w:id="7" w:name="page8"/>
    <w:bookmarkEnd w:id="7"/>
    <w:p>
      <w:pPr>
        <w:ind w:left="1200" w:hanging="598"/>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analysis;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selection and portfolio construction;</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factors.</w:t>
      </w:r>
    </w:p>
    <w:p>
      <w:pPr>
        <w:spacing w:after="0" w:line="225"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In our Asset Management business, we conduct investment research on a global basis to develop market, industry and company specific insights and evaluate investment opportunities. Many of our global equity analysts, located in our worldwide offices, are organized around global industry sectors.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Investment Strategies</w:t>
      </w:r>
    </w:p>
    <w:p>
      <w:pPr>
        <w:spacing w:after="0" w:line="119" w:lineRule="exact"/>
        <w:rPr>
          <w:sz w:val="20"/>
          <w:szCs w:val="20"/>
          <w:color w:val="auto"/>
        </w:rPr>
      </w:pPr>
    </w:p>
    <w:p>
      <w:pPr>
        <w:ind w:right="300" w:firstLine="549"/>
        <w:spacing w:after="0" w:line="282" w:lineRule="auto"/>
        <w:rPr>
          <w:sz w:val="20"/>
          <w:szCs w:val="20"/>
          <w:color w:val="auto"/>
        </w:rPr>
      </w:pPr>
      <w:r>
        <w:rPr>
          <w:rFonts w:ascii="Times New Roman" w:cs="Times New Roman" w:eastAsia="Times New Roman" w:hAnsi="Times New Roman"/>
          <w:sz w:val="18"/>
          <w:szCs w:val="18"/>
          <w:color w:val="auto"/>
        </w:rPr>
        <w:t>Our Asset Management business provides equity, fixed income, cash management and alternative investment strategies to our clients, paying close attention to our clients’ varying and expanding investment needs. We offer the following product platform of investment strategies: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40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240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Multi-Regional</w:t>
            </w:r>
          </w:p>
        </w:tc>
        <w:tc>
          <w:tcPr>
            <w:tcW w:w="244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Local</w:t>
            </w:r>
          </w:p>
        </w:tc>
        <w:tc>
          <w:tcPr>
            <w:tcW w:w="226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Emerging Markets</w:t>
            </w:r>
          </w:p>
        </w:tc>
        <w:tc>
          <w:tcPr>
            <w:tcW w:w="0" w:type="dxa"/>
            <w:vAlign w:val="bottom"/>
          </w:tcPr>
          <w:p>
            <w:pPr>
              <w:spacing w:after="0"/>
              <w:rPr>
                <w:sz w:val="1"/>
                <w:szCs w:val="1"/>
                <w:color w:val="auto"/>
              </w:rPr>
            </w:pPr>
          </w:p>
        </w:tc>
      </w:tr>
      <w:tr>
        <w:trPr>
          <w:trHeight w:val="188"/>
        </w:trPr>
        <w:tc>
          <w:tcPr>
            <w:tcW w:w="1920" w:type="dxa"/>
            <w:vAlign w:val="bottom"/>
            <w:vMerge w:val="continue"/>
          </w:tcPr>
          <w:p>
            <w:pPr>
              <w:spacing w:after="0"/>
              <w:rPr>
                <w:sz w:val="16"/>
                <w:szCs w:val="16"/>
                <w:color w:val="auto"/>
              </w:rPr>
            </w:pPr>
          </w:p>
        </w:tc>
        <w:tc>
          <w:tcPr>
            <w:tcW w:w="2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Global</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Pan-European</w:t>
            </w:r>
          </w:p>
        </w:tc>
        <w:tc>
          <w:tcPr>
            <w:tcW w:w="140" w:type="dxa"/>
            <w:vAlign w:val="bottom"/>
          </w:tcPr>
          <w:p>
            <w:pPr>
              <w:spacing w:after="0"/>
              <w:rPr>
                <w:sz w:val="16"/>
                <w:szCs w:val="16"/>
                <w:color w:val="auto"/>
              </w:rPr>
            </w:pPr>
          </w:p>
        </w:tc>
        <w:tc>
          <w:tcPr>
            <w:tcW w:w="2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U.S.</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Large Capitalization</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Large Capitalization</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Large Capitalization</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Large Capitalization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Small Capitalization</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Small Capitalization</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Mid Capitalization</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Small Capitalization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Thematic</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Multi-Capitalization  Value</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Small/Mid Capitalization</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Quantitative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Convertibles</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Quantitative</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Small Capitalization</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Multi Strategies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Listed Infrastructure</w:t>
            </w: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Multi-Capitalization</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Managed Volatility</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Quantitative</w:t>
            </w:r>
          </w:p>
        </w:tc>
        <w:tc>
          <w:tcPr>
            <w:tcW w:w="2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Eurozone</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Real Estate</w:t>
            </w:r>
          </w:p>
        </w:tc>
        <w:tc>
          <w:tcPr>
            <w:tcW w:w="22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Latin America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Trend</w:t>
            </w:r>
          </w:p>
        </w:tc>
        <w:tc>
          <w:tcPr>
            <w:tcW w:w="2400" w:type="dxa"/>
            <w:vAlign w:val="bottom"/>
            <w:gridSpan w:val="2"/>
            <w:vMerge w:val="continue"/>
          </w:tcPr>
          <w:p>
            <w:pPr>
              <w:spacing w:after="0"/>
              <w:rPr>
                <w:sz w:val="17"/>
                <w:szCs w:val="17"/>
                <w:color w:val="auto"/>
              </w:rPr>
            </w:pP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Other</w:t>
            </w: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Real Estate</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Large Capitalization</w:t>
            </w:r>
          </w:p>
        </w:tc>
        <w:tc>
          <w:tcPr>
            <w:tcW w:w="2440" w:type="dxa"/>
            <w:vAlign w:val="bottom"/>
            <w:gridSpan w:val="2"/>
            <w:vMerge w:val="continue"/>
          </w:tcPr>
          <w:p>
            <w:pPr>
              <w:spacing w:after="0"/>
              <w:rPr>
                <w:sz w:val="17"/>
                <w:szCs w:val="17"/>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Latin America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Multi Strategies</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Small Capitalization</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U.K. (Large Capitalization)</w:t>
            </w:r>
          </w:p>
        </w:tc>
        <w:tc>
          <w:tcPr>
            <w:tcW w:w="22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Middle East North Africa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Managed Volatility</w:t>
            </w:r>
          </w:p>
        </w:tc>
        <w:tc>
          <w:tcPr>
            <w:tcW w:w="2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Continental European</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U.K. (Small Capitalization)</w:t>
            </w: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Real Assets</w:t>
            </w:r>
          </w:p>
        </w:tc>
        <w:tc>
          <w:tcPr>
            <w:tcW w:w="2400" w:type="dxa"/>
            <w:vAlign w:val="bottom"/>
            <w:gridSpan w:val="2"/>
            <w:vMerge w:val="continue"/>
          </w:tcPr>
          <w:p>
            <w:pPr>
              <w:spacing w:after="0"/>
              <w:rPr>
                <w:sz w:val="17"/>
                <w:szCs w:val="17"/>
                <w:color w:val="auto"/>
              </w:rPr>
            </w:pP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U.K. Quantitative</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Middle East North Africa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Multi-Factor</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Small Capitalization</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Australia</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Global Ex</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Multi Capitalization</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France (Large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vMerge w:val="continue"/>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Eurozone</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France (Small Capitalization)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Global Ex-U.K.</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Euro-Trend (Thematic)</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Japan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Global Ex-Japan</w:t>
            </w:r>
          </w:p>
        </w:tc>
        <w:tc>
          <w:tcPr>
            <w:tcW w:w="2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Asian</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Korea</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Global Ex-Australia</w:t>
            </w:r>
          </w:p>
        </w:tc>
        <w:tc>
          <w:tcPr>
            <w:tcW w:w="240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Asia Ex-Japan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Quantitative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Europe, Australasia and Far</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East</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Large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Small 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Multi-Capitalization</w:t>
            </w: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Quantitative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3"/>
        </w:trPr>
        <w:tc>
          <w:tcPr>
            <w:tcW w:w="1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Fixed Income and Cash</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Global</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Pan-European</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U.S.</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Global</w:t>
            </w:r>
          </w:p>
        </w:tc>
        <w:tc>
          <w:tcPr>
            <w:tcW w:w="0" w:type="dxa"/>
            <w:vAlign w:val="bottom"/>
          </w:tcPr>
          <w:p>
            <w:pPr>
              <w:spacing w:after="0"/>
              <w:rPr>
                <w:sz w:val="1"/>
                <w:szCs w:val="1"/>
                <w:color w:val="auto"/>
              </w:rPr>
            </w:pPr>
          </w:p>
        </w:tc>
      </w:tr>
      <w:tr>
        <w:trPr>
          <w:trHeight w:val="205"/>
        </w:trPr>
        <w:tc>
          <w:tcPr>
            <w:tcW w:w="1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Core Fixed Income</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Core Fixed Income</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Core Fixed Income</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Emerging Debt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High Yield</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High Yield</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High Yield</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Emerging Corporates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Short Duration</w:t>
            </w: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Cash Management</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Short Duration</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Duration Overlay</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Municipals</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Eurozone</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Cash Management</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Non-U.S.</w:t>
            </w: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Fixed Income</w:t>
            </w:r>
          </w:p>
        </w:tc>
        <w:tc>
          <w:tcPr>
            <w:tcW w:w="2440" w:type="dxa"/>
            <w:vAlign w:val="bottom"/>
            <w:gridSpan w:val="2"/>
            <w:vMerge w:val="continue"/>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Cash Management</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U.K. Fixed Income</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Corporate Bonds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2"/>
        </w:trPr>
        <w:tc>
          <w:tcPr>
            <w:tcW w:w="1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Alternative</w:t>
            </w:r>
          </w:p>
        </w:tc>
        <w:tc>
          <w:tcPr>
            <w:tcW w:w="242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242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Multi-Regional</w:t>
            </w:r>
          </w:p>
        </w:tc>
        <w:tc>
          <w:tcPr>
            <w:tcW w:w="242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Local</w:t>
            </w:r>
          </w:p>
        </w:tc>
        <w:tc>
          <w:tcPr>
            <w:tcW w:w="226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Emerging Markets</w:t>
            </w:r>
          </w:p>
        </w:tc>
        <w:tc>
          <w:tcPr>
            <w:tcW w:w="0" w:type="dxa"/>
            <w:vAlign w:val="bottom"/>
          </w:tcPr>
          <w:p>
            <w:pPr>
              <w:spacing w:after="0"/>
              <w:rPr>
                <w:sz w:val="1"/>
                <w:szCs w:val="1"/>
                <w:color w:val="auto"/>
              </w:rPr>
            </w:pPr>
          </w:p>
        </w:tc>
      </w:tr>
      <w:tr>
        <w:trPr>
          <w:trHeight w:val="188"/>
        </w:trPr>
        <w:tc>
          <w:tcPr>
            <w:tcW w:w="1900" w:type="dxa"/>
            <w:vAlign w:val="bottom"/>
            <w:vMerge w:val="continue"/>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Global</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European</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U.S.</w:t>
            </w:r>
          </w:p>
        </w:tc>
        <w:tc>
          <w:tcPr>
            <w:tcW w:w="160" w:type="dxa"/>
            <w:vAlign w:val="bottom"/>
          </w:tcPr>
          <w:p>
            <w:pPr>
              <w:spacing w:after="0"/>
              <w:rPr>
                <w:sz w:val="16"/>
                <w:szCs w:val="16"/>
                <w:color w:val="auto"/>
              </w:rPr>
            </w:pPr>
          </w:p>
        </w:tc>
        <w:tc>
          <w:tcPr>
            <w:tcW w:w="2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Global</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Fund of Closed-End Funds</w:t>
            </w: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Long/Short Equity</w:t>
            </w: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U.S. (Long/Short)</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Emerging Income</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24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(Long and Long/Short)</w:t>
            </w: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Market Neutral</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Emerging Debt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Convertible</w:t>
            </w: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Non-U.S.</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Fund of Hedge Funds</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Arbitrage/Relative Value</w:t>
            </w: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Multi Asset</w:t>
            </w: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Japan (Long/Short)</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Commodities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00" w:firstLine="598"/>
        <w:spacing w:after="0" w:line="266" w:lineRule="auto"/>
        <w:rPr>
          <w:sz w:val="20"/>
          <w:szCs w:val="20"/>
          <w:color w:val="auto"/>
        </w:rPr>
      </w:pPr>
      <w:r>
        <w:rPr>
          <w:rFonts w:ascii="Times New Roman" w:cs="Times New Roman" w:eastAsia="Times New Roman" w:hAnsi="Times New Roman"/>
          <w:sz w:val="18"/>
          <w:szCs w:val="18"/>
          <w:color w:val="auto"/>
        </w:rPr>
        <w:t>In addition to the primary investment strategies listed above, we also provide other asset management services to our clients, including asset allocation and other investment advisory services, as well as locally customized investment solutions. In many cases, we also offer both diversified and more concentrated versions of our products. These products are generally offered on a separate account basis, as well as through pooled vehicles.</w:t>
      </w:r>
    </w:p>
    <w:p>
      <w:pPr>
        <w:spacing w:after="0" w:line="174" w:lineRule="exact"/>
        <w:rPr>
          <w:sz w:val="20"/>
          <w:szCs w:val="20"/>
          <w:color w:val="auto"/>
        </w:rPr>
      </w:pPr>
    </w:p>
    <w:p>
      <w:pPr>
        <w:ind w:right="120" w:firstLine="59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Distribution. </w:t>
      </w:r>
      <w:r>
        <w:rPr>
          <w:rFonts w:ascii="Times New Roman" w:cs="Times New Roman" w:eastAsia="Times New Roman" w:hAnsi="Times New Roman"/>
          <w:sz w:val="18"/>
          <w:szCs w:val="18"/>
          <w:color w:val="auto"/>
        </w:rPr>
        <w:t>We distribute our products through a broad array of marketing channels on a global basis. Marketing, sales and client service efforts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organized through a global market delivery and service network, with distribution professionals located in cities including New York, Amsterdam, Bordeaux, Boston, Brussels, Chicago, Dubai, Frankfurt, Geneva, Hamburg, Hong Kong, London, Lyon, Madrid, Milan, Melbourne, Montreal, Nantes, Paris, San Francisco, Seoul, Singapore, Sydney, Tokyo, Toronto and Zurich. We have developed a well-established presence in the institutional asset management arena, managing assets for corporations, labor unions, sovereign wealth funds and public pension funds around the world. In addition, we manage assets for insurance companies, savings and trust banks, endowments, foundations and charities.</w:t>
      </w:r>
    </w:p>
    <w:p>
      <w:pPr>
        <w:spacing w:after="0" w:line="185" w:lineRule="exact"/>
        <w:rPr>
          <w:sz w:val="20"/>
          <w:szCs w:val="20"/>
          <w:color w:val="auto"/>
        </w:rPr>
      </w:pPr>
    </w:p>
    <w:p>
      <w:pPr>
        <w:ind w:right="40" w:firstLine="598"/>
        <w:spacing w:after="0" w:line="282" w:lineRule="auto"/>
        <w:rPr>
          <w:sz w:val="20"/>
          <w:szCs w:val="20"/>
          <w:color w:val="auto"/>
        </w:rPr>
      </w:pPr>
      <w:r>
        <w:rPr>
          <w:rFonts w:ascii="Times New Roman" w:cs="Times New Roman" w:eastAsia="Times New Roman" w:hAnsi="Times New Roman"/>
          <w:sz w:val="18"/>
          <w:szCs w:val="18"/>
          <w:color w:val="auto"/>
        </w:rPr>
        <w:t>We also have become a leading firm in managing mutual funds, sub-advisory funds, and separately managed accounts for many of the world’s largest broker-dealers, insurance companies, registered advisors and other financial intermediaries.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119" w:lineRule="exact"/>
        <w:rPr>
          <w:sz w:val="20"/>
          <w:szCs w:val="20"/>
          <w:color w:val="auto"/>
        </w:rPr>
      </w:pPr>
    </w:p>
    <w:p>
      <w:pPr>
        <w:jc w:val="both"/>
        <w:ind w:right="20" w:firstLine="598"/>
        <w:spacing w:after="0" w:line="266" w:lineRule="auto"/>
        <w:rPr>
          <w:sz w:val="20"/>
          <w:szCs w:val="20"/>
          <w:color w:val="auto"/>
        </w:rPr>
      </w:pPr>
      <w:r>
        <w:rPr>
          <w:rFonts w:ascii="Times New Roman" w:cs="Times New Roman" w:eastAsia="Times New Roman" w:hAnsi="Times New Roman"/>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68" w:lineRule="exact"/>
        <w:rPr>
          <w:sz w:val="20"/>
          <w:szCs w:val="20"/>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on enhancing our investment performance;</w:t>
      </w:r>
    </w:p>
    <w:p>
      <w:pPr>
        <w:spacing w:after="0" w:line="117" w:lineRule="exact"/>
        <w:rPr>
          <w:rFonts w:ascii="Times New Roman" w:cs="Times New Roman" w:eastAsia="Times New Roman" w:hAnsi="Times New Roman"/>
          <w:sz w:val="18"/>
          <w:szCs w:val="18"/>
          <w:color w:val="auto"/>
        </w:rPr>
      </w:pPr>
    </w:p>
    <w:p>
      <w:pPr>
        <w:ind w:left="1200" w:right="300" w:hanging="598"/>
        <w:spacing w:after="0" w:line="282"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our investment management platform by adding a number of senior investment professionals (including portfolio managers and analysts);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strengthen our marketing and consultant relations capabilities, including by expanding our marketing resources;</w:t>
      </w:r>
    </w:p>
    <w:p>
      <w:pPr>
        <w:spacing w:after="0" w:line="117" w:lineRule="exact"/>
        <w:rPr>
          <w:rFonts w:ascii="Times New Roman" w:cs="Times New Roman" w:eastAsia="Times New Roman" w:hAnsi="Times New Roman"/>
          <w:sz w:val="18"/>
          <w:szCs w:val="18"/>
          <w:color w:val="auto"/>
        </w:rPr>
      </w:pPr>
    </w:p>
    <w:p>
      <w:pPr>
        <w:ind w:left="1200" w:right="480" w:hanging="598"/>
        <w:spacing w:after="0" w:line="282"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product platform, including through the addition of long/short equity strategies, quantitative equity strategies, a real asset strategy, a commodities team and an international value equity team;</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in our technology infrastructure and data science capabilities to enhance our business; and</w:t>
      </w:r>
    </w:p>
    <w:p>
      <w:pPr>
        <w:spacing w:after="0" w:line="117" w:lineRule="exact"/>
        <w:rPr>
          <w:rFonts w:ascii="Times New Roman" w:cs="Times New Roman" w:eastAsia="Times New Roman" w:hAnsi="Times New Roman"/>
          <w:sz w:val="18"/>
          <w:szCs w:val="18"/>
          <w:color w:val="auto"/>
        </w:rPr>
      </w:pPr>
    </w:p>
    <w:p>
      <w:pPr>
        <w:ind w:left="1200" w:right="740" w:hanging="598"/>
        <w:spacing w:after="0" w:line="282"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expand the geographic reach of our Asset Management business, including through opening offices in Amsterdam and Melbourne, and expanding in Milan and Zurich.</w:t>
      </w:r>
    </w:p>
    <w:p>
      <w:pPr>
        <w:spacing w:after="0" w:line="162" w:lineRule="exact"/>
        <w:rPr>
          <w:sz w:val="20"/>
          <w:szCs w:val="20"/>
          <w:color w:val="auto"/>
        </w:rPr>
      </w:pPr>
    </w:p>
    <w:p>
      <w:pPr>
        <w:ind w:right="140" w:firstLine="598"/>
        <w:spacing w:after="0" w:line="258" w:lineRule="auto"/>
        <w:rPr>
          <w:sz w:val="20"/>
          <w:szCs w:val="20"/>
          <w:color w:val="auto"/>
        </w:rPr>
      </w:pPr>
      <w:r>
        <w:rPr>
          <w:rFonts w:ascii="Times New Roman" w:cs="Times New Roman" w:eastAsia="Times New Roman" w:hAnsi="Times New Roman"/>
          <w:sz w:val="18"/>
          <w:szCs w:val="18"/>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may expand our participation in alternative investment activities through investments in new and successor funds, and through organic growth, acquisitions or otherwise. We may also continue to expand our geographic reach.</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Alternative Investments</w:t>
      </w:r>
    </w:p>
    <w:p>
      <w:pPr>
        <w:spacing w:after="0" w:line="119" w:lineRule="exact"/>
        <w:rPr>
          <w:sz w:val="20"/>
          <w:szCs w:val="20"/>
          <w:color w:val="auto"/>
        </w:rPr>
      </w:pPr>
    </w:p>
    <w:p>
      <w:pPr>
        <w:ind w:right="100" w:firstLine="598"/>
        <w:spacing w:after="0" w:line="266" w:lineRule="auto"/>
        <w:rPr>
          <w:sz w:val="20"/>
          <w:szCs w:val="20"/>
          <w:color w:val="auto"/>
        </w:rPr>
      </w:pPr>
      <w:r>
        <w:rPr>
          <w:rFonts w:ascii="Times New Roman" w:cs="Times New Roman" w:eastAsia="Times New Roman" w:hAnsi="Times New Roman"/>
          <w:sz w:val="18"/>
          <w:szCs w:val="18"/>
          <w:color w:val="auto"/>
        </w:rPr>
        <w:t>Since 2005, we have been engaged in selected alternative investments and private equity activities. In 2009, we established a private equity business with The Edgewater Funds (“Edgewater”), a Chicago-based private equity firm, through the acquisition of Edgewater’s management vehicles. As of December 31, 2018, Edgewater had approximately $1 billion of AUM and unfunded fee-earning commitments.</w:t>
      </w:r>
    </w:p>
    <w:p>
      <w:pPr>
        <w:spacing w:after="0" w:line="176"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Historically, Lazard also has made selected investments with its own capital, often alongside capital of qualified institutional and individual investors in connection with Lazard’s selected alternative investments and private equity activities. These investments typically have been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performance-based incentive fees for the sponsor of such funds.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We believe that our people are our most important asset, and it is their reputation, talent, integrity and dedication that underpin our success. As of December 31, 2018, we employed 2,996 people, which included 166 managing directors and 1,312 other professionals and support staff in our Financial Advisory segment and 102 managing directors and 1,014 other professionals and support staff in our Asset Management segment. We strive to maintain a work environment that fosters professionalism, excellence, diversity and inclusion, collaboration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offices, including France and Italy, are covered by national, industry-wide collective bargaining agreements. We believe that we have good relations with our employees.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00" w:firstLine="598"/>
        <w:spacing w:after="0" w:line="256" w:lineRule="auto"/>
        <w:rPr>
          <w:sz w:val="20"/>
          <w:szCs w:val="20"/>
          <w:color w:val="auto"/>
        </w:rPr>
      </w:pPr>
      <w:r>
        <w:rPr>
          <w:rFonts w:ascii="Times New Roman" w:cs="Times New Roman" w:eastAsia="Times New Roman" w:hAnsi="Times New Roman"/>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them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and price of products and services, innovation, brand recognition and business reputation.</w:t>
      </w:r>
    </w:p>
    <w:p>
      <w:pPr>
        <w:spacing w:after="0" w:line="188" w:lineRule="exact"/>
        <w:rPr>
          <w:sz w:val="20"/>
          <w:szCs w:val="20"/>
          <w:color w:val="auto"/>
        </w:rPr>
      </w:pPr>
    </w:p>
    <w:p>
      <w:pPr>
        <w:jc w:val="both"/>
        <w:ind w:right="380" w:firstLine="598"/>
        <w:spacing w:after="0" w:line="261" w:lineRule="auto"/>
        <w:rPr>
          <w:sz w:val="20"/>
          <w:szCs w:val="20"/>
          <w:color w:val="auto"/>
        </w:rPr>
      </w:pPr>
      <w:r>
        <w:rPr>
          <w:rFonts w:ascii="Times New Roman" w:cs="Times New Roman" w:eastAsia="Times New Roman" w:hAnsi="Times New Roman"/>
          <w:sz w:val="18"/>
          <w:szCs w:val="18"/>
          <w:color w:val="auto"/>
        </w:rPr>
        <w:t>While our competitors vary by country in our Financial Advisory business, we believe our primary competitors in securing engagements include Bank of America Merrill Lynch, Barclays, Centerview Partners, Citigroup, Credit Suisse, Deutsche Bank, Evercore Partners, Goldman Sachs, Greenhill, JPMorgan Chase, Morgan Stanley, Rothschild and UBS. In our Restructuring practice, we believe our primary competitors include Centerview Partners, Evercore Partners, Houlihan Lokey, PJT Partners, Moelis &amp; Company and Rothschild.</w:t>
      </w:r>
    </w:p>
    <w:p>
      <w:pPr>
        <w:spacing w:after="0" w:line="180" w:lineRule="exact"/>
        <w:rPr>
          <w:sz w:val="20"/>
          <w:szCs w:val="20"/>
          <w:color w:val="auto"/>
        </w:rPr>
      </w:pPr>
    </w:p>
    <w:p>
      <w:pPr>
        <w:ind w:right="260" w:firstLine="598"/>
        <w:spacing w:after="0" w:line="258" w:lineRule="auto"/>
        <w:rPr>
          <w:sz w:val="20"/>
          <w:szCs w:val="20"/>
          <w:color w:val="auto"/>
        </w:rPr>
      </w:pPr>
      <w:r>
        <w:rPr>
          <w:rFonts w:ascii="Times New Roman" w:cs="Times New Roman" w:eastAsia="Times New Roman" w:hAnsi="Times New Roman"/>
          <w:sz w:val="18"/>
          <w:szCs w:val="18"/>
          <w:color w:val="auto"/>
        </w:rPr>
        <w:t>We believe that our primary global competitors in our Asset Management business include, in the case of Lazard Asset Management LLC (“LAM LLC”) and its subsidiaries (collectively, “LAM”), Aberdeen, Acadian, Alliance Bernstein, Capital Management &amp; Research, Fidelity, Franklin Templeton, Invesco, JP Morgan Asset Management, Lord Abbett, MFS, Neuberger Berman and Schroders and, in the case of Lazard Frères Gestion SAS (“LFG”), private banks with offices in France as well as large institutional banks and fund managers. We face competition in private equity both in the pursuit of outside investors for our private equity funds and the acquisition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 w:name="page11"/>
    <w:bookmarkEnd w:id="10"/>
    <w:p>
      <w:pPr>
        <w:ind w:right="240"/>
        <w:spacing w:after="0" w:line="282" w:lineRule="auto"/>
        <w:rPr>
          <w:sz w:val="20"/>
          <w:szCs w:val="20"/>
          <w:color w:val="auto"/>
        </w:rPr>
      </w:pPr>
      <w:r>
        <w:rPr>
          <w:rFonts w:ascii="Times New Roman" w:cs="Times New Roman" w:eastAsia="Times New Roman" w:hAnsi="Times New Roman"/>
          <w:sz w:val="18"/>
          <w:szCs w:val="18"/>
          <w:color w:val="auto"/>
        </w:rPr>
        <w:t>of investments in attractive portfolio companies. We compete with hundreds of other funds, many of which are subsidiaries of, or otherwise affiliated with, large financial service providers.</w:t>
      </w:r>
    </w:p>
    <w:p>
      <w:pPr>
        <w:spacing w:after="0" w:line="162"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Competition is also intense in each of our businesses for the attraction and retention of qualified employees, and we compete, among other factors, on the level and nature of compensation and equity-based incentives for key employees. Our ability to continue to compete effectively in our businesses will depend upon our ability to attract new employees and retain and motivate our existing employees, in each case, at appropriate compensation levels.</w:t>
      </w:r>
    </w:p>
    <w:p>
      <w:pPr>
        <w:spacing w:after="0" w:line="176"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Many of our competitors are large, consolidated financial institutions that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may have the ability to support investment banking and investment management products with commercial banking, insurance and other financial services revenue in an effort to gain market share, which could result in pricing pressure in our businesses. At the same time, demand for independent financial advice has created opportunities for new entrants, including a number of boutique financial advisory firms. These boutique firms frequently compete, among other factors, on the basis of their independent financial advice, and their activities also could result in pricing and other competitive pressure in our businesses. We also face competition from asset management firms that specialize in providing passively managed investment strategies at relatively low costs, which could result in pricing pressure in our Asset Management business.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Item 1A, “Risk Factors—The financial services industry, and all of the businesses in which we compete, are intensely competitive”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right="20" w:firstLine="598"/>
        <w:spacing w:after="0" w:line="254" w:lineRule="auto"/>
        <w:rPr>
          <w:sz w:val="20"/>
          <w:szCs w:val="20"/>
          <w:color w:val="auto"/>
        </w:rPr>
      </w:pPr>
      <w:r>
        <w:rPr>
          <w:rFonts w:ascii="Times New Roman" w:cs="Times New Roman" w:eastAsia="Times New Roman" w:hAnsi="Times New Roman"/>
          <w:sz w:val="18"/>
          <w:szCs w:val="18"/>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and/or the Financial Industry Regulatory Authority (“FINRA”).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89"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SEC, FINRA and other U.S.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The effect of any such changes cannot be predicted and may impact the manner of operation and profitability of our businesses.</w:t>
      </w:r>
    </w:p>
    <w:p>
      <w:pPr>
        <w:spacing w:after="0" w:line="184" w:lineRule="exact"/>
        <w:rPr>
          <w:sz w:val="20"/>
          <w:szCs w:val="20"/>
          <w:color w:val="auto"/>
        </w:rPr>
      </w:pPr>
    </w:p>
    <w:p>
      <w:pPr>
        <w:ind w:right="100" w:firstLine="598"/>
        <w:spacing w:after="0" w:line="255" w:lineRule="auto"/>
        <w:rPr>
          <w:sz w:val="20"/>
          <w:szCs w:val="20"/>
          <w:color w:val="auto"/>
        </w:rPr>
      </w:pPr>
      <w:r>
        <w:rPr>
          <w:rFonts w:ascii="Times New Roman" w:cs="Times New Roman" w:eastAsia="Times New Roman" w:hAnsi="Times New Roman"/>
          <w:sz w:val="18"/>
          <w:szCs w:val="18"/>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most aspects of the securities business, including regulations regarding minimum capital retention requirements, record-keeping and reporting procedures, relationships with customers, experience and training requirements for certain employees, and business procedures with firms that are not members of certain regulatory bodies. In addition, LFNY is a member organization of the New York Stock Exchange LLC and the NYSE MKT LLC and is subject to various rules and regulations that have been promulgated by these securities exchanges. Lazard Asset Management Securities LLC (“LAM Securities”), a subsidiary of LAM LLC, is registered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 w:name="page12"/>
    <w:bookmarkEnd w:id="11"/>
    <w:p>
      <w:pPr>
        <w:ind w:right="60"/>
        <w:spacing w:after="0" w:line="282" w:lineRule="auto"/>
        <w:rPr>
          <w:sz w:val="20"/>
          <w:szCs w:val="20"/>
          <w:color w:val="auto"/>
        </w:rPr>
      </w:pPr>
      <w:r>
        <w:rPr>
          <w:rFonts w:ascii="Times New Roman" w:cs="Times New Roman" w:eastAsia="Times New Roman" w:hAnsi="Times New Roman"/>
          <w:sz w:val="18"/>
          <w:szCs w:val="18"/>
          <w:color w:val="auto"/>
        </w:rPr>
        <w:t>as a broker-dealer with the SEC and FINRA and in all 50 U.S. states, the District of Columbia and Puerto Rico. Lazard Middle Market LLC is registered as a broker-dealer with the SEC and FINRA, and as a broker-dealer in various U.S. states and territories.</w:t>
      </w:r>
    </w:p>
    <w:p>
      <w:pPr>
        <w:spacing w:after="0" w:line="162"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85"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Certain U.K. subsidiaries of Lazard Group, including Lazard &amp; Co., Limited (“LCL”), Lazard Fund Managers Limited and Lazard Asset Management Limited, which we refer to in this Annual Report on Form 10-K (this “Form 10-K”) as the “U.K. subsidiaries,” are authorized and regulated by the Financial Conduct Authority (the “FCA”), and are subject to various rules and regulations made by the FCA under the authorities conferred upon it by the Financial Services and Markets Act 2000, as amended by the Financial Services Act 2012.</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also have other subsidiaries that are registered as broker-dealers (or have similar non-U.S. registration) in various jurisdictions.</w:t>
      </w:r>
    </w:p>
    <w:p>
      <w:pPr>
        <w:spacing w:after="0" w:line="225" w:lineRule="exact"/>
        <w:rPr>
          <w:sz w:val="20"/>
          <w:szCs w:val="20"/>
          <w:color w:val="auto"/>
        </w:rPr>
      </w:pPr>
    </w:p>
    <w:p>
      <w:pPr>
        <w:ind w:right="40" w:firstLine="598"/>
        <w:spacing w:after="0" w:line="254" w:lineRule="auto"/>
        <w:rPr>
          <w:sz w:val="20"/>
          <w:szCs w:val="20"/>
          <w:color w:val="auto"/>
        </w:rPr>
      </w:pPr>
      <w:r>
        <w:rPr>
          <w:rFonts w:ascii="Times New Roman" w:cs="Times New Roman" w:eastAsia="Times New Roman" w:hAnsi="Times New Roman"/>
          <w:sz w:val="18"/>
          <w:szCs w:val="18"/>
          <w:color w:val="auto"/>
        </w:rPr>
        <w:t>Certain of our Asset Management subsidiaries are registered as investment advisors with the SEC. As a registered investment advisor, each is subject to the requirements of the Investment Advisers Act of 1940, as amended (the “Investment Advisers Act”), and the SEC’s regulations thereunder. Such requirements relate to, among other things, the relationship between an advisor and its advisory clients, as well as general anti-fraud prohibitions. LAM LLC serves as an investment advisor to several U.S. mutual funds which are registered under the Investment Company Act of 1940, as amended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record-keeping and reporting requirements, disclosure requirements, limitations on trades where a single broker acts as the agent for both the buyer and seller, and limitations on affiliated transactions and joint transactions. LAM Securities serves as an underwriter or distributor for mutual funds and private funds managed by LAM, and as an introducing broker to Pershing LLC for unmanaged accounts of certain of LAM LLC’s private clients.</w:t>
      </w:r>
    </w:p>
    <w:p>
      <w:pPr>
        <w:spacing w:after="0" w:line="189" w:lineRule="exact"/>
        <w:rPr>
          <w:sz w:val="20"/>
          <w:szCs w:val="20"/>
          <w:color w:val="auto"/>
        </w:rPr>
      </w:pPr>
    </w:p>
    <w:p>
      <w:pPr>
        <w:ind w:right="160" w:firstLine="598"/>
        <w:spacing w:after="0" w:line="270" w:lineRule="auto"/>
        <w:rPr>
          <w:sz w:val="20"/>
          <w:szCs w:val="20"/>
          <w:color w:val="auto"/>
        </w:rPr>
      </w:pPr>
      <w:r>
        <w:rPr>
          <w:rFonts w:ascii="Times New Roman" w:cs="Times New Roman" w:eastAsia="Times New Roman" w:hAnsi="Times New Roman"/>
          <w:sz w:val="17"/>
          <w:szCs w:val="17"/>
          <w:color w:val="auto"/>
        </w:rPr>
        <w:t>Compagnie Financière Lazard Frères SAS (“CFLF”), our French subsidiary under which asset management and commercial banking activities are carried out in France, is subject to regulation by the Autorité de Contrôle Prudentiel et de Résolution (“ACPR”) for its banking activities conducted through our Paris-based banking subsidiary, Lazard Frères Banque SA (“LFB”). The investment services activities of the Paris group, exercised through LFB and other subsidiaries of CFLF, primarily LFG (asset management), also are subject to regulation and supervision by the Autorité des Marchés Financiers. In addition, pursuant to the consolidated supervision rules in the European Union, LFB, in particular, as a French credit institution, is required to be supervised by a regulatory body, either in the U.S. or in the European Union. In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 w:name="page13"/>
    <w:bookmarkEnd w:id="12"/>
    <w:p>
      <w:pPr>
        <w:ind w:firstLine="598"/>
        <w:spacing w:after="0" w:line="255" w:lineRule="auto"/>
        <w:rPr>
          <w:sz w:val="20"/>
          <w:szCs w:val="20"/>
          <w:color w:val="auto"/>
        </w:rPr>
      </w:pPr>
      <w:r>
        <w:rPr>
          <w:rFonts w:ascii="Times New Roman" w:cs="Times New Roman" w:eastAsia="Times New Roman" w:hAnsi="Times New Roman"/>
          <w:sz w:val="18"/>
          <w:szCs w:val="18"/>
          <w:color w:val="auto"/>
        </w:rPr>
        <w:t>As a result of certain changes effected by the Dodd-Frank Wall Street Reform and Consumer Protection Act (the “Dodd-Frank Act”) related to the regulation of over-the-counter swaps and other derivative instruments, LAM and certain of its subsidiaries have registered with the U.S. Commodity Futures Trading Commission (the “CFTC”) and the National Futures Association (the “NFA”), and are subject to certain aspects of the U.S. Commodity Exchange Act and the regulations thereunder, and to the rules of the NFA. The CFTC and the NFA 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89" w:lineRule="exact"/>
        <w:rPr>
          <w:sz w:val="20"/>
          <w:szCs w:val="20"/>
          <w:color w:val="auto"/>
        </w:rPr>
      </w:pPr>
    </w:p>
    <w:p>
      <w:pPr>
        <w:ind w:right="120" w:firstLine="598"/>
        <w:spacing w:after="0" w:line="256" w:lineRule="auto"/>
        <w:rPr>
          <w:sz w:val="20"/>
          <w:szCs w:val="20"/>
          <w:color w:val="auto"/>
        </w:rPr>
      </w:pPr>
      <w:r>
        <w:rPr>
          <w:rFonts w:ascii="Times New Roman" w:cs="Times New Roman" w:eastAsia="Times New Roman" w:hAnsi="Times New Roman"/>
          <w:sz w:val="18"/>
          <w:szCs w:val="18"/>
          <w:color w:val="auto"/>
        </w:rPr>
        <w:t>In addition, the Central Bank of Ireland, the Japanese Ministry of Finance and Financial Services Agency, the Korean Financial Supervisory Commission, the Securities and Futures Commission of Hong Kong, the Monetary Authority of Singapore, the Australian Securities &amp; Investments Commission, the Dubai Financial Services Authority, the Swiss Financial Market Supervisory Authority, the Italian Companies and Stock Exchange Commission and the German Federal Financial Supervisory Authority, among others, regulate relevant operating subsidiaries of the Company and also have capital standards and other requirements broadly comparable to the rules of the SEC. Our business is also subject to regulation by other non-U.S. governmental and regulatory bodies and self-regulatory authorities in other countries in which we operate.</w:t>
      </w:r>
    </w:p>
    <w:p>
      <w:pPr>
        <w:spacing w:after="0" w:line="188" w:lineRule="exact"/>
        <w:rPr>
          <w:sz w:val="20"/>
          <w:szCs w:val="20"/>
          <w:color w:val="auto"/>
        </w:rPr>
      </w:pPr>
    </w:p>
    <w:p>
      <w:pPr>
        <w:ind w:right="160" w:firstLine="598"/>
        <w:spacing w:after="0" w:line="266" w:lineRule="auto"/>
        <w:rPr>
          <w:sz w:val="20"/>
          <w:szCs w:val="20"/>
          <w:color w:val="auto"/>
        </w:rPr>
      </w:pPr>
      <w:r>
        <w:rPr>
          <w:rFonts w:ascii="Times New Roman" w:cs="Times New Roman" w:eastAsia="Times New Roman" w:hAnsi="Times New Roman"/>
          <w:sz w:val="18"/>
          <w:szCs w:val="18"/>
          <w:color w:val="auto"/>
        </w:rPr>
        <w:t>Regulators are empowered to conduct periodic examinations and initiate administrative proceedings that can result, among other things, in censure, fine, the issuance of cease-and-desist orders or the suspension or expulsion or other disciplining of a broker-dealer or investment advisor or its directors, officers or employees.</w:t>
      </w:r>
    </w:p>
    <w:p>
      <w:pPr>
        <w:spacing w:after="0" w:line="176" w:lineRule="exact"/>
        <w:rPr>
          <w:sz w:val="20"/>
          <w:szCs w:val="20"/>
          <w:color w:val="auto"/>
        </w:rPr>
      </w:pPr>
    </w:p>
    <w:p>
      <w:pPr>
        <w:ind w:right="160" w:firstLine="598"/>
        <w:spacing w:after="0" w:line="255" w:lineRule="auto"/>
        <w:rPr>
          <w:sz w:val="20"/>
          <w:szCs w:val="20"/>
          <w:color w:val="auto"/>
        </w:rPr>
      </w:pPr>
      <w:r>
        <w:rPr>
          <w:rFonts w:ascii="Times New Roman" w:cs="Times New Roman" w:eastAsia="Times New Roman" w:hAnsi="Times New Roman"/>
          <w:sz w:val="18"/>
          <w:szCs w:val="18"/>
          <w:color w:val="auto"/>
        </w:rPr>
        <w:t>We are also subject to various anti-bribery, anti-money laundering and counter-terrorist financing laws, rules and regulations in the jurisdictions in which we operate. The U.S. Foreign Corrupt Practices Act, for example, generally prohibits offering, promising or giving, or authorizing others to give, anything of value, either directly or indirectly, to a non-U.S. government official in order to influence official action or otherwise gain an unfair business advantage, such as to obtain or retain business. Similar rules and regulations exist in other jurisdictions in which we operate. In addition, we are required to comply with economic sanctions and embargo programs administered by the U.S. Treasury’s Office of Foreign Assets Control and by similar governmental agencies and other authorities worldwide. Violations of any of these laws, rules, regulations and programs can give rise to administrative, civil or criminal penalties.</w:t>
      </w:r>
    </w:p>
    <w:p>
      <w:pPr>
        <w:spacing w:after="0" w:line="189"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The U.S. and other governments and institutions have taken actions, and may continue to take further actions, that affect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29" w:lineRule="exact"/>
        <w:rPr>
          <w:sz w:val="20"/>
          <w:szCs w:val="20"/>
          <w:color w:val="auto"/>
        </w:rPr>
      </w:pPr>
    </w:p>
    <w:p>
      <w:pPr>
        <w:ind w:right="400" w:firstLine="598"/>
        <w:spacing w:after="0" w:line="282" w:lineRule="auto"/>
        <w:rPr>
          <w:sz w:val="20"/>
          <w:szCs w:val="20"/>
          <w:color w:val="auto"/>
        </w:rPr>
      </w:pPr>
      <w:r>
        <w:rPr>
          <w:rFonts w:ascii="Times New Roman" w:cs="Times New Roman" w:eastAsia="Times New Roman" w:hAnsi="Times New Roman"/>
          <w:sz w:val="18"/>
          <w:szCs w:val="18"/>
          <w:color w:val="auto"/>
        </w:rPr>
        <w:t>Set forth below are the name, age, present title, principal occupation and certain biographical information for each of our executive officers as of February 19, 2019, all of whom have been appointed by, and serve at the discretion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Kenneth M. Jacobs, 60</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Mr. Jacobs has served as Chairman of the Board of Directors and Chief Executive Officer of Lazard Ltd and Lazard Group since November 2009.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Jacobs has served as a Managing Director of Lazard since 1991 and had been a Deputy Chairman of Lazard from January 2002 until November 2009. Mr.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Jacobs also served as Chief Executive Officer of Lazard North America from January 2002 until November 2009. Mr. Jacobs initially joined Lazard in 1988.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Jacobs is a member of the Board of Trustees of the University of Chicago and the Brookings Institution.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Evan L. Russo, 44</w:t>
      </w:r>
    </w:p>
    <w:p>
      <w:pPr>
        <w:spacing w:after="0" w:line="121"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Mr. Russo became Chief Financial Officer of Lazard Ltd and Lazard Group in October 2017. Mr. Russo has served as a Managing Director of Lazard since 2009, and, prior to becoming Chief Financial Officer, was Co-Head of Lazard’s Capital Markets and Capital Structure Advisory practice. Mr. Russo joined Lazard as a Director in 2007. Prior to joining Lazard, Mr. Russo worked for Goldman, Sachs &amp; Co. in the Investment Banking Division, and prior to that, for Barclays Capital. Mr. Russo began his career as a corporate attorney with the law firm of Milbank, Tweed, Hadley &amp; McCloy.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Ashish Bhutani, 58</w:t>
      </w:r>
    </w:p>
    <w:p>
      <w:pPr>
        <w:spacing w:after="0" w:line="121" w:lineRule="exact"/>
        <w:rPr>
          <w:sz w:val="20"/>
          <w:szCs w:val="20"/>
          <w:color w:val="auto"/>
        </w:rPr>
      </w:pPr>
    </w:p>
    <w:p>
      <w:pPr>
        <w:ind w:right="120" w:firstLine="598"/>
        <w:spacing w:after="0" w:line="255" w:lineRule="auto"/>
        <w:rPr>
          <w:sz w:val="20"/>
          <w:szCs w:val="20"/>
          <w:color w:val="auto"/>
        </w:rPr>
      </w:pPr>
      <w:r>
        <w:rPr>
          <w:rFonts w:ascii="Times New Roman" w:cs="Times New Roman" w:eastAsia="Times New Roman" w:hAnsi="Times New Roman"/>
          <w:sz w:val="18"/>
          <w:szCs w:val="18"/>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 Mr. Bhutani is also a member of the Board of Directors of City Harvest.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 D. Hoffman, 56</w:t>
      </w:r>
    </w:p>
    <w:p>
      <w:pPr>
        <w:spacing w:after="0" w:line="121" w:lineRule="exact"/>
        <w:rPr>
          <w:sz w:val="20"/>
          <w:szCs w:val="20"/>
          <w:color w:val="auto"/>
        </w:rPr>
      </w:pPr>
    </w:p>
    <w:p>
      <w:pPr>
        <w:ind w:right="60" w:firstLine="598"/>
        <w:spacing w:after="0" w:line="258" w:lineRule="auto"/>
        <w:rPr>
          <w:sz w:val="20"/>
          <w:szCs w:val="20"/>
          <w:color w:val="auto"/>
        </w:rPr>
      </w:pPr>
      <w:r>
        <w:rPr>
          <w:rFonts w:ascii="Times New Roman" w:cs="Times New Roman" w:eastAsia="Times New Roman" w:hAnsi="Times New Roman"/>
          <w:sz w:val="18"/>
          <w:szCs w:val="18"/>
          <w:color w:val="auto"/>
        </w:rPr>
        <w:t>Mr. Hoffman has served as Chief Administrative Officer of Lazard Ltd and Lazard Group since July 2017 and as General Counsel of Lazard Ltd since May 2005. Mr. Hoffman has served as a Managing Director of Lazard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 and a member of the Board of Directors of the Film Society of Lincoln Center.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Alexander F. Stern, 52</w:t>
      </w:r>
    </w:p>
    <w:p>
      <w:pPr>
        <w:spacing w:after="0" w:line="121" w:lineRule="exact"/>
        <w:rPr>
          <w:sz w:val="20"/>
          <w:szCs w:val="20"/>
          <w:color w:val="auto"/>
        </w:rPr>
      </w:pPr>
    </w:p>
    <w:p>
      <w:pPr>
        <w:ind w:right="40" w:firstLine="598"/>
        <w:spacing w:after="0" w:line="276" w:lineRule="auto"/>
        <w:rPr>
          <w:sz w:val="20"/>
          <w:szCs w:val="20"/>
          <w:color w:val="auto"/>
        </w:rPr>
      </w:pPr>
      <w:r>
        <w:rPr>
          <w:rFonts w:ascii="Times New Roman" w:cs="Times New Roman" w:eastAsia="Times New Roman" w:hAnsi="Times New Roman"/>
          <w:sz w:val="17"/>
          <w:szCs w:val="17"/>
          <w:color w:val="auto"/>
        </w:rPr>
        <w:t>Mr. Stern has served as Chief Operating Officer of Lazard Ltd and Lazard Group since November 2008. Mr. Stern has served as a Managing Director of Lazard since January 2002, as Chief Executive Officer, Financial Advisory, since April 2015, and as Global Head of Strategy since February 2006.</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 Mr. Stern is the chairman of the Board of Directors of LUNGevity Foundation.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right="440" w:firstLine="598"/>
        <w:spacing w:after="0" w:line="282" w:lineRule="auto"/>
        <w:rPr>
          <w:sz w:val="20"/>
          <w:szCs w:val="20"/>
          <w:color w:val="auto"/>
        </w:rPr>
      </w:pPr>
      <w:r>
        <w:rPr>
          <w:rFonts w:ascii="Times New Roman" w:cs="Times New Roman" w:eastAsia="Times New Roman" w:hAnsi="Times New Roman"/>
          <w:sz w:val="18"/>
          <w:szCs w:val="18"/>
          <w:color w:val="auto"/>
        </w:rPr>
        <w:t xml:space="preserve">Lazard Ltd files current, annual and quarterly reports, proxy statements and other information required by the Exchange Act with the SEC. The Company’s SEC filings are available to the public from the SEC’s internet site at </w:t>
      </w:r>
      <w:r>
        <w:rPr>
          <w:rFonts w:ascii="Times New Roman" w:cs="Times New Roman" w:eastAsia="Times New Roman" w:hAnsi="Times New Roman"/>
          <w:sz w:val="18"/>
          <w:szCs w:val="18"/>
          <w:i w:val="1"/>
          <w:iCs w:val="1"/>
          <w:color w:val="auto"/>
        </w:rPr>
        <w:t>http://www.sec.gov.</w:t>
      </w:r>
    </w:p>
    <w:p>
      <w:pPr>
        <w:spacing w:after="0" w:line="160" w:lineRule="exact"/>
        <w:rPr>
          <w:sz w:val="20"/>
          <w:szCs w:val="20"/>
          <w:color w:val="auto"/>
        </w:rPr>
      </w:pPr>
    </w:p>
    <w:p>
      <w:pPr>
        <w:ind w:right="140" w:firstLine="598"/>
        <w:spacing w:after="0" w:line="255" w:lineRule="auto"/>
        <w:rPr>
          <w:sz w:val="20"/>
          <w:szCs w:val="20"/>
          <w:color w:val="auto"/>
        </w:rPr>
      </w:pPr>
      <w:r>
        <w:rPr>
          <w:rFonts w:ascii="Times New Roman" w:cs="Times New Roman" w:eastAsia="Times New Roman" w:hAnsi="Times New Roman"/>
          <w:sz w:val="18"/>
          <w:szCs w:val="18"/>
          <w:color w:val="auto"/>
        </w:rPr>
        <w:t xml:space="preserve">Our public website is </w:t>
      </w:r>
      <w:r>
        <w:rPr>
          <w:rFonts w:ascii="Times New Roman" w:cs="Times New Roman" w:eastAsia="Times New Roman" w:hAnsi="Times New Roman"/>
          <w:sz w:val="18"/>
          <w:szCs w:val="18"/>
          <w:i w:val="1"/>
          <w:iCs w:val="1"/>
          <w:color w:val="auto"/>
        </w:rPr>
        <w:t>http://www.lazard.com</w:t>
      </w:r>
      <w:r>
        <w:rPr>
          <w:rFonts w:ascii="Times New Roman" w:cs="Times New Roman" w:eastAsia="Times New Roman" w:hAnsi="Times New Roman"/>
          <w:sz w:val="18"/>
          <w:szCs w:val="18"/>
          <w:color w:val="auto"/>
        </w:rPr>
        <w:t xml:space="preserve"> and the investor relations section hosts our SEC filings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will make available free of charge, on or through the investor relations section of our website, 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the Company’s Audit Committee, Compensation Committee, Nominating &amp; Governance Committee and Workplace and Culture Committee. Copies of these charters and our Corporate Governance Guidelines and Code of Business Conduct and Ethics governing our directors, officers and employees are also posted on the investor relations section of our website in the corporate governance subsection.</w:t>
      </w:r>
    </w:p>
    <w:p>
      <w:pPr>
        <w:spacing w:after="0" w:line="31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right="220" w:firstLine="598"/>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following risks and all of the other information set forth in this Form 10-K, including our consolidated financial statements and related notes. The following risks comprise the material risks of which we are aware. If any of the events or developments described below actually occurred, our business, financial condition or results of operations would likely suffer.</w:t>
      </w:r>
    </w:p>
    <w:p>
      <w:pPr>
        <w:spacing w:after="0" w:line="280" w:lineRule="exact"/>
        <w:rPr>
          <w:sz w:val="20"/>
          <w:szCs w:val="20"/>
          <w:color w:val="auto"/>
        </w:rPr>
      </w:pPr>
    </w:p>
    <w:p>
      <w:pPr>
        <w:ind w:firstLine="598"/>
        <w:spacing w:after="0" w:line="268" w:lineRule="auto"/>
        <w:rPr>
          <w:sz w:val="20"/>
          <w:szCs w:val="20"/>
          <w:color w:val="auto"/>
        </w:rPr>
      </w:pPr>
      <w:r>
        <w:rPr>
          <w:rFonts w:ascii="Times New Roman" w:cs="Times New Roman" w:eastAsia="Times New Roman" w:hAnsi="Times New Roman"/>
          <w:sz w:val="18"/>
          <w:szCs w:val="18"/>
          <w:b w:val="1"/>
          <w:bCs w:val="1"/>
          <w:color w:val="auto"/>
        </w:rPr>
        <w:t>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67" w:lineRule="exact"/>
        <w:rPr>
          <w:sz w:val="20"/>
          <w:szCs w:val="20"/>
          <w:color w:val="auto"/>
        </w:rPr>
      </w:pPr>
    </w:p>
    <w:p>
      <w:pPr>
        <w:ind w:right="40" w:firstLine="598"/>
        <w:spacing w:after="0" w:line="258" w:lineRule="auto"/>
        <w:rPr>
          <w:sz w:val="20"/>
          <w:szCs w:val="20"/>
          <w:color w:val="auto"/>
        </w:rPr>
      </w:pPr>
      <w:r>
        <w:rPr>
          <w:rFonts w:ascii="Times New Roman" w:cs="Times New Roman" w:eastAsia="Times New Roman" w:hAnsi="Times New Roman"/>
          <w:sz w:val="18"/>
          <w:szCs w:val="18"/>
          <w:color w:val="auto"/>
        </w:rPr>
        <w:t>As a financial services firm, our businesses are materially affected by conditions in the global financial markets and economic conditions throughout the world. Unfavorable economic and market conditions can adversely affect our financial performance in both the Financial Advisory and Asset Management businesses. The future market and economic climate may deteriorate because of many factors, such as a general slowing of economic growth globally or regionally, periods of disruption or volatility in securities markets, volatility and tightening of liquidity in credit markets, volatility or significant realignments in currency markets, increases in interest rates, inflation, corporate or sovereign defaults, natural disasters, terrorism or political uncertainty.</w:t>
      </w:r>
    </w:p>
    <w:p>
      <w:pPr>
        <w:spacing w:after="0" w:line="184"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For example, revenue generated by our Financial Advisory business is directly related to the volume and value of the transactions in which we are involved. During periods of unfavorable or uncertain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w:t>
      </w:r>
    </w:p>
    <w:p>
      <w:pPr>
        <w:spacing w:after="0" w:line="188"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1" w:right="299" w:bottom="1440" w:gutter="0" w:footer="0" w:header="0"/>
        </w:sectPr>
      </w:pPr>
    </w:p>
    <w:bookmarkStart w:id="15" w:name="page16"/>
    <w:bookmarkEnd w:id="15"/>
    <w:p>
      <w:pPr>
        <w:ind w:right="180"/>
        <w:spacing w:after="0" w:line="261" w:lineRule="auto"/>
        <w:rPr>
          <w:sz w:val="20"/>
          <w:szCs w:val="20"/>
          <w:color w:val="auto"/>
        </w:rPr>
      </w:pPr>
      <w:r>
        <w:rPr>
          <w:rFonts w:ascii="Times New Roman" w:cs="Times New Roman" w:eastAsia="Times New Roman" w:hAnsi="Times New Roman"/>
          <w:sz w:val="18"/>
          <w:szCs w:val="18"/>
          <w:color w:val="auto"/>
        </w:rPr>
        <w:t>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 and there is no certainty that strength in one practice will offset weakness in the other.</w:t>
      </w:r>
    </w:p>
    <w:p>
      <w:pPr>
        <w:spacing w:after="0" w:line="180" w:lineRule="exact"/>
        <w:rPr>
          <w:sz w:val="20"/>
          <w:szCs w:val="20"/>
          <w:color w:val="auto"/>
        </w:rPr>
      </w:pPr>
    </w:p>
    <w:p>
      <w:pPr>
        <w:ind w:right="280" w:firstLine="598"/>
        <w:spacing w:after="0" w:line="261" w:lineRule="auto"/>
        <w:rPr>
          <w:sz w:val="20"/>
          <w:szCs w:val="20"/>
          <w:color w:val="auto"/>
        </w:rPr>
      </w:pPr>
      <w:r>
        <w:rPr>
          <w:rFonts w:ascii="Times New Roman" w:cs="Times New Roman" w:eastAsia="Times New Roman" w:hAnsi="Times New Roman"/>
          <w:sz w:val="18"/>
          <w:szCs w:val="18"/>
          <w:color w:val="auto"/>
        </w:rPr>
        <w:t>Our Asset Management business also would be expected to generate lower revenue in a market or general economic downturn. Under our Asset Management business’s arrangements, investment advisory fees we receive typically are based on the market value of AUM. Accordingly, a decline in the prices of securities, or in specific geographic markets or sectors that constitute a significant portion of our AUM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our emerging markets strategies), would be expected to cause our revenue and income to decline by causing:</w:t>
      </w:r>
    </w:p>
    <w:p>
      <w:pPr>
        <w:spacing w:after="0" w:line="72" w:lineRule="exact"/>
        <w:rPr>
          <w:sz w:val="20"/>
          <w:szCs w:val="20"/>
          <w:color w:val="auto"/>
        </w:rPr>
      </w:pPr>
    </w:p>
    <w:p>
      <w:pPr>
        <w:ind w:left="1200" w:hanging="598"/>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AUM to decrease, which would result in lower investment advisory fees;</w:t>
      </w:r>
    </w:p>
    <w:p>
      <w:pPr>
        <w:spacing w:after="0" w:line="117" w:lineRule="exact"/>
        <w:rPr>
          <w:rFonts w:ascii="Times New Roman" w:cs="Times New Roman" w:eastAsia="Times New Roman" w:hAnsi="Times New Roman"/>
          <w:sz w:val="18"/>
          <w:szCs w:val="18"/>
          <w:color w:val="auto"/>
        </w:rPr>
      </w:pPr>
    </w:p>
    <w:p>
      <w:pPr>
        <w:ind w:left="1200" w:right="180" w:hanging="598"/>
        <w:spacing w:after="0" w:line="282"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53" w:lineRule="exact"/>
        <w:rPr>
          <w:rFonts w:ascii="Times New Roman" w:cs="Times New Roman" w:eastAsia="Times New Roman" w:hAnsi="Times New Roman"/>
          <w:sz w:val="18"/>
          <w:szCs w:val="18"/>
          <w:color w:val="auto"/>
        </w:rPr>
      </w:pPr>
    </w:p>
    <w:p>
      <w:pPr>
        <w:ind w:left="1200" w:hanging="598"/>
        <w:spacing w:after="0" w:line="282"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53" w:lineRule="exact"/>
        <w:rPr>
          <w:rFonts w:ascii="Times New Roman" w:cs="Times New Roman" w:eastAsia="Times New Roman" w:hAnsi="Times New Roman"/>
          <w:sz w:val="18"/>
          <w:szCs w:val="18"/>
          <w:color w:val="auto"/>
        </w:rPr>
      </w:pPr>
    </w:p>
    <w:p>
      <w:pPr>
        <w:ind w:left="1200" w:right="60" w:hanging="598"/>
        <w:spacing w:after="0" w:line="282"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absolute performance returns for some accounts which have performance-based incentive fees, which would result in a reduction of revenue from such fees.</w:t>
      </w:r>
    </w:p>
    <w:p>
      <w:pPr>
        <w:spacing w:after="0" w:line="162" w:lineRule="exact"/>
        <w:rPr>
          <w:sz w:val="20"/>
          <w:szCs w:val="20"/>
          <w:color w:val="auto"/>
        </w:rPr>
      </w:pPr>
    </w:p>
    <w:p>
      <w:pPr>
        <w:ind w:right="80" w:firstLine="598"/>
        <w:spacing w:after="0" w:line="255" w:lineRule="auto"/>
        <w:rPr>
          <w:sz w:val="20"/>
          <w:szCs w:val="20"/>
          <w:color w:val="auto"/>
        </w:rPr>
      </w:pPr>
      <w:r>
        <w:rPr>
          <w:rFonts w:ascii="Times New Roman" w:cs="Times New Roman" w:eastAsia="Times New Roman" w:hAnsi="Times New Roman"/>
          <w:sz w:val="18"/>
          <w:szCs w:val="18"/>
          <w:color w:val="auto"/>
        </w:rPr>
        <w:t>Our AUM has declined from time to time during recent periods. For example, total AUM at December 31, 2018 was $215 billion, a decrease of 14% as compared to total AUM at December 31, 2017. 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stockholders’ equity and net income or negatively impact the portfolios of our Asset Management clients and may affect the levels of our AUM” below.</w:t>
      </w:r>
    </w:p>
    <w:p>
      <w:pPr>
        <w:spacing w:after="0" w:line="293" w:lineRule="exact"/>
        <w:rPr>
          <w:sz w:val="20"/>
          <w:szCs w:val="20"/>
          <w:color w:val="auto"/>
        </w:rPr>
      </w:pPr>
    </w:p>
    <w:p>
      <w:pPr>
        <w:ind w:right="42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51" w:lineRule="exact"/>
        <w:rPr>
          <w:sz w:val="20"/>
          <w:szCs w:val="20"/>
          <w:color w:val="auto"/>
        </w:rPr>
      </w:pPr>
    </w:p>
    <w:p>
      <w:pPr>
        <w:ind w:right="20" w:firstLine="598"/>
        <w:spacing w:after="0" w:line="253" w:lineRule="auto"/>
        <w:rPr>
          <w:sz w:val="20"/>
          <w:szCs w:val="20"/>
          <w:color w:val="auto"/>
        </w:rPr>
      </w:pPr>
      <w:r>
        <w:rPr>
          <w:rFonts w:ascii="Times New Roman" w:cs="Times New Roman" w:eastAsia="Times New Roman" w:hAnsi="Times New Roman"/>
          <w:sz w:val="18"/>
          <w:szCs w:val="18"/>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 could delay or terminate an acquisition transaction because of a failure to agree upon final terms, failure to obtain necessary regulatory consents or board of directors, or acquirer’s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right="80" w:firstLine="598"/>
        <w:spacing w:after="0" w:line="256" w:lineRule="auto"/>
        <w:rPr>
          <w:sz w:val="20"/>
          <w:szCs w:val="20"/>
          <w:color w:val="auto"/>
        </w:rPr>
      </w:pPr>
      <w:r>
        <w:rPr>
          <w:rFonts w:ascii="Times New Roman" w:cs="Times New Roman" w:eastAsia="Times New Roman" w:hAnsi="Times New Roman"/>
          <w:sz w:val="18"/>
          <w:szCs w:val="18"/>
          <w:color w:val="auto"/>
        </w:rPr>
        <w:t>In addition, our Asset Management revenue is particularly sensitive to fluctuations in our AUM. Asset Management fees are predominantly based on the daily, monthly or quarterly average AUM. As a result, a reduction in AUM at the end of a day, month or quarter (as a result of market depreciation, withdrawals, fluctuations in foreign currency exchange rates or otherwise) will result in a decrease in management fees. Similarly, the timing of flows, contributions and withdrawals are often out of our control and may be inconsistent from quarter to quarter. Incentive fees are driven by investment performance (either absolute performance or relative to an established benchmark), which is directly impacted by market movements, and may therefore fluctuate from period to period.</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a result of such fluctuations, it may be difficult for us to achieve steady revenue and earnings growth on a quarterly basis.</w:t>
      </w:r>
    </w:p>
    <w:p>
      <w:pPr>
        <w:spacing w:after="0" w:line="329" w:lineRule="exact"/>
        <w:rPr>
          <w:sz w:val="20"/>
          <w:szCs w:val="20"/>
          <w:color w:val="auto"/>
        </w:rPr>
      </w:pPr>
    </w:p>
    <w:p>
      <w:pPr>
        <w:ind w:right="240" w:firstLine="598"/>
        <w:spacing w:after="0" w:line="268" w:lineRule="auto"/>
        <w:rPr>
          <w:sz w:val="20"/>
          <w:szCs w:val="20"/>
          <w:color w:val="auto"/>
        </w:rPr>
      </w:pPr>
      <w:r>
        <w:rPr>
          <w:rFonts w:ascii="Times New Roman" w:cs="Times New Roman" w:eastAsia="Times New Roman" w:hAnsi="Times New Roman"/>
          <w:sz w:val="18"/>
          <w:szCs w:val="18"/>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67" w:lineRule="exact"/>
        <w:rPr>
          <w:sz w:val="20"/>
          <w:szCs w:val="20"/>
          <w:color w:val="auto"/>
        </w:rPr>
      </w:pPr>
    </w:p>
    <w:p>
      <w:pPr>
        <w:ind w:right="340" w:firstLine="598"/>
        <w:spacing w:after="0" w:line="266" w:lineRule="auto"/>
        <w:rPr>
          <w:sz w:val="20"/>
          <w:szCs w:val="20"/>
          <w:color w:val="auto"/>
        </w:rPr>
      </w:pPr>
      <w:r>
        <w:rPr>
          <w:rFonts w:ascii="Times New Roman" w:cs="Times New Roman" w:eastAsia="Times New Roman" w:hAnsi="Times New Roman"/>
          <w:sz w:val="18"/>
          <w:szCs w:val="18"/>
          <w:color w:val="auto"/>
        </w:rPr>
        <w:t>Our people are our most important asset. We must retain the services of our managing directors and other key professional employees, and strategically recruit and hire new talented employees, to obtain and successfully execute the Financial Advisory and Asset Management engagements that generate substantially all of our revenue.</w:t>
      </w:r>
    </w:p>
    <w:p>
      <w:pPr>
        <w:spacing w:after="0" w:line="176" w:lineRule="exact"/>
        <w:rPr>
          <w:sz w:val="20"/>
          <w:szCs w:val="20"/>
          <w:color w:val="auto"/>
        </w:rPr>
      </w:pPr>
    </w:p>
    <w:p>
      <w:pPr>
        <w:ind w:firstLine="598"/>
        <w:spacing w:after="0" w:line="253" w:lineRule="auto"/>
        <w:rPr>
          <w:sz w:val="20"/>
          <w:szCs w:val="20"/>
          <w:color w:val="auto"/>
        </w:rPr>
      </w:pPr>
      <w:r>
        <w:rPr>
          <w:rFonts w:ascii="Times New Roman" w:cs="Times New Roman" w:eastAsia="Times New Roman" w:hAnsi="Times New Roman"/>
          <w:sz w:val="18"/>
          <w:szCs w:val="18"/>
          <w:color w:val="auto"/>
        </w:rPr>
        <w:t>In general, our industry continues to experience change and be subject to significant competitive pressures with respect to the retention of top talent, which makes it more difficult for us to retain professionals. Loss of key employees may occur due to perceived opportunity for promotion, compensation levels, work environment, retirement or the pursuit of philanthropic, civic or similar service opportunities, or other individual reasons, some of which may be beyond our control. If managing directors and other key professional employees were to retire, join an existing competitor, form a competing company or otherwise leave us, we could need to replace them, and some of our clients could eventually choose to use the services of that competitor or some other competitor instead of our services. In any such event, our investment banking fees, asset management fees or AUM could decline. The employment arrangements, non-competition agreements and retention agreements we have or will enter into with our managing directors and other key professional employees may not sufficiently prevent our managing directors and other key professional employees from resigning from practice or competing against us. In addition, these arrangements and agreements have a limited duration and expire after a certain period of time. We continue to be subject to intense competition in the financial services industry regarding the recruitment and retention of key professionals, and have experienced departures from and added to our professional ranks as a result.</w:t>
      </w:r>
    </w:p>
    <w:p>
      <w:pPr>
        <w:spacing w:after="0" w:line="193" w:lineRule="exact"/>
        <w:rPr>
          <w:sz w:val="20"/>
          <w:szCs w:val="20"/>
          <w:color w:val="auto"/>
        </w:rPr>
      </w:pPr>
    </w:p>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Certain changes to our employee compensation arrangements may result in increased compensation and benefits expense. In addition, any changes to the mix of cash and deferred incentive compensation granted to our employees may affect certain financial measures applicable to our business, including ratios of compensation and benefits expense to revenue, and may result in the issuance of increased levels of Lazard Ltd’s Class A common stock, par value $0.01 per share (“Class A common stock”), to our employees upon vesting of restricted stock units (“RSUs”), performance-based restricted stock units (“PRSUs”), restricted stock awards or other equity-based awards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2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The financial services industry, and all of the businesses in which we compete, are intensely competitive.</w:t>
      </w:r>
    </w:p>
    <w:p>
      <w:pPr>
        <w:spacing w:after="0" w:line="121" w:lineRule="exact"/>
        <w:rPr>
          <w:sz w:val="20"/>
          <w:szCs w:val="20"/>
          <w:color w:val="auto"/>
        </w:rPr>
      </w:pPr>
    </w:p>
    <w:p>
      <w:pPr>
        <w:ind w:right="100" w:firstLine="598"/>
        <w:spacing w:after="0" w:line="261" w:lineRule="auto"/>
        <w:rPr>
          <w:sz w:val="20"/>
          <w:szCs w:val="20"/>
          <w:color w:val="auto"/>
        </w:rPr>
      </w:pPr>
      <w:r>
        <w:rPr>
          <w:rFonts w:ascii="Times New Roman" w:cs="Times New Roman" w:eastAsia="Times New Roman" w:hAnsi="Times New Roman"/>
          <w:sz w:val="18"/>
          <w:szCs w:val="18"/>
          <w:color w:val="auto"/>
        </w:rPr>
        <w:t>The financial services industry is intensely competitive, and we expect it to remain so. We compete on the basis of a number of factors, including the quality of our advice, our employees and transaction execution, the range and price of our products and services, our innovation and our reputation.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number of factors increase the competitive risks of our Financial Advisory and Asset Management businesses:</w:t>
      </w:r>
    </w:p>
    <w:p>
      <w:pPr>
        <w:spacing w:after="0" w:line="117" w:lineRule="exact"/>
        <w:rPr>
          <w:sz w:val="20"/>
          <w:szCs w:val="20"/>
          <w:color w:val="auto"/>
        </w:rPr>
      </w:pPr>
    </w:p>
    <w:p>
      <w:pPr>
        <w:ind w:left="1200" w:right="260" w:hanging="598"/>
        <w:spacing w:after="0" w:line="282" w:lineRule="auto"/>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relatively few barriers to entry impeding the launch of new asset management and financial advisory firms, including a relatively low cost of entering these businesses, and the successful efforts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ind w:left="1200"/>
        <w:spacing w:after="0"/>
        <w:rPr>
          <w:sz w:val="20"/>
          <w:szCs w:val="20"/>
          <w:color w:val="auto"/>
        </w:rPr>
      </w:pPr>
      <w:r>
        <w:rPr>
          <w:rFonts w:ascii="Times New Roman" w:cs="Times New Roman" w:eastAsia="Times New Roman" w:hAnsi="Times New Roman"/>
          <w:sz w:val="18"/>
          <w:szCs w:val="18"/>
          <w:color w:val="auto"/>
        </w:rPr>
        <w:t>new entrants into our lines of business, including major banks and other financial institutions, have resulted in increased competition;</w:t>
      </w:r>
    </w:p>
    <w:p>
      <w:pPr>
        <w:spacing w:after="0" w:line="117" w:lineRule="exact"/>
        <w:rPr>
          <w:sz w:val="20"/>
          <w:szCs w:val="20"/>
          <w:color w:val="auto"/>
        </w:rPr>
      </w:pPr>
    </w:p>
    <w:p>
      <w:pPr>
        <w:ind w:left="1200" w:hanging="598"/>
        <w:spacing w:after="0"/>
        <w:tabs>
          <w:tab w:leader="none" w:pos="12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industry participants will from time to time seek to recruit our employees away from us in order to compete in our lines of business; and</w:t>
      </w:r>
    </w:p>
    <w:p>
      <w:pPr>
        <w:spacing w:after="0" w:line="128" w:lineRule="exact"/>
        <w:rPr>
          <w:rFonts w:ascii="Times New Roman" w:cs="Times New Roman" w:eastAsia="Times New Roman" w:hAnsi="Times New Roman"/>
          <w:sz w:val="17"/>
          <w:szCs w:val="17"/>
          <w:color w:val="auto"/>
        </w:rPr>
      </w:pPr>
    </w:p>
    <w:p>
      <w:pPr>
        <w:ind w:left="1200" w:hanging="59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practices and products are newly established and relatively small.</w:t>
      </w:r>
    </w:p>
    <w:p>
      <w:pPr>
        <w:spacing w:after="0" w:line="225" w:lineRule="exact"/>
        <w:rPr>
          <w:sz w:val="20"/>
          <w:szCs w:val="20"/>
          <w:color w:val="auto"/>
        </w:rPr>
      </w:pPr>
    </w:p>
    <w:p>
      <w:pPr>
        <w:jc w:val="both"/>
        <w:ind w:right="80" w:firstLine="598"/>
        <w:spacing w:after="0" w:line="261" w:lineRule="auto"/>
        <w:rPr>
          <w:sz w:val="20"/>
          <w:szCs w:val="20"/>
          <w:color w:val="auto"/>
        </w:rPr>
      </w:pPr>
      <w:r>
        <w:rPr>
          <w:rFonts w:ascii="Times New Roman" w:cs="Times New Roman" w:eastAsia="Times New Roman" w:hAnsi="Times New Roman"/>
          <w:sz w:val="18"/>
          <w:szCs w:val="18"/>
          <w:color w:val="auto"/>
        </w:rPr>
        <w:t>In addition, many of our competitors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80" w:lineRule="exact"/>
        <w:rPr>
          <w:sz w:val="20"/>
          <w:szCs w:val="20"/>
          <w:color w:val="auto"/>
        </w:rPr>
      </w:pPr>
    </w:p>
    <w:p>
      <w:pPr>
        <w:ind w:right="380" w:firstLine="598"/>
        <w:spacing w:after="0" w:line="282" w:lineRule="auto"/>
        <w:rPr>
          <w:sz w:val="20"/>
          <w:szCs w:val="20"/>
          <w:color w:val="auto"/>
        </w:rPr>
      </w:pPr>
      <w:r>
        <w:rPr>
          <w:rFonts w:ascii="Times New Roman" w:cs="Times New Roman" w:eastAsia="Times New Roman" w:hAnsi="Times New Roman"/>
          <w:sz w:val="18"/>
          <w:szCs w:val="18"/>
          <w:color w:val="auto"/>
        </w:rPr>
        <w:t>Competitive pressure could adversely affect our ability to attract new or retain existing clients, make successful investments, retain our people or maintain AUM, any of which would adversely affect our results of operations and financial condition.</w:t>
      </w:r>
    </w:p>
    <w:p>
      <w:pPr>
        <w:spacing w:after="0" w:line="266" w:lineRule="exact"/>
        <w:rPr>
          <w:sz w:val="20"/>
          <w:szCs w:val="20"/>
          <w:color w:val="auto"/>
        </w:rPr>
      </w:pPr>
    </w:p>
    <w:p>
      <w:pPr>
        <w:ind w:right="80" w:firstLine="598"/>
        <w:spacing w:after="0" w:line="268" w:lineRule="auto"/>
        <w:rPr>
          <w:sz w:val="20"/>
          <w:szCs w:val="20"/>
          <w:color w:val="auto"/>
        </w:rPr>
      </w:pPr>
      <w:r>
        <w:rPr>
          <w:rFonts w:ascii="Times New Roman" w:cs="Times New Roman" w:eastAsia="Times New Roman" w:hAnsi="Times New Roman"/>
          <w:sz w:val="18"/>
          <w:szCs w:val="18"/>
          <w:b w:val="1"/>
          <w:bCs w:val="1"/>
          <w:color w:val="auto"/>
        </w:rPr>
        <w:t>A substantial portion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67" w:lineRule="exact"/>
        <w:rPr>
          <w:sz w:val="20"/>
          <w:szCs w:val="20"/>
          <w:color w:val="auto"/>
        </w:rPr>
      </w:pPr>
    </w:p>
    <w:p>
      <w:pPr>
        <w:ind w:right="180" w:firstLine="598"/>
        <w:spacing w:after="0" w:line="258" w:lineRule="auto"/>
        <w:rPr>
          <w:sz w:val="20"/>
          <w:szCs w:val="20"/>
          <w:color w:val="auto"/>
        </w:rPr>
      </w:pPr>
      <w:r>
        <w:rPr>
          <w:rFonts w:ascii="Times New Roman" w:cs="Times New Roman" w:eastAsia="Times New Roman" w:hAnsi="Times New Roman"/>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2018, Financial Advisory services accounted for approximately 55% of our consolidated net revenue. We expect that we will continue to rely on Financial Advisory fees for a substantial portion of our revenue for the foreseeable future, and a decline in our Financial Advisory engagements or the market for financial advisory services would adversely affect our business, financial condition and results of operations.</w:t>
      </w:r>
    </w:p>
    <w:p>
      <w:pPr>
        <w:spacing w:after="0" w:line="184" w:lineRule="exact"/>
        <w:rPr>
          <w:sz w:val="20"/>
          <w:szCs w:val="20"/>
          <w:color w:val="auto"/>
        </w:rPr>
      </w:pPr>
    </w:p>
    <w:p>
      <w:pPr>
        <w:ind w:right="80" w:firstLine="598"/>
        <w:spacing w:after="0" w:line="258" w:lineRule="auto"/>
        <w:rPr>
          <w:sz w:val="20"/>
          <w:szCs w:val="20"/>
          <w:color w:val="auto"/>
        </w:rPr>
      </w:pPr>
      <w:r>
        <w:rPr>
          <w:rFonts w:ascii="Times New Roman" w:cs="Times New Roman" w:eastAsia="Times New Roman" w:hAnsi="Times New Roman"/>
          <w:sz w:val="18"/>
          <w:szCs w:val="18"/>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288" w:lineRule="exact"/>
        <w:rPr>
          <w:sz w:val="20"/>
          <w:szCs w:val="20"/>
          <w:color w:val="auto"/>
        </w:rPr>
      </w:pPr>
    </w:p>
    <w:p>
      <w:pPr>
        <w:ind w:right="28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If the number of debt defaults, bankruptcies or other factors affecting demand for our Restructuring services declines, our Restructuring revenue could suffer.</w:t>
      </w:r>
    </w:p>
    <w:p>
      <w:pPr>
        <w:spacing w:after="0" w:line="51" w:lineRule="exact"/>
        <w:rPr>
          <w:sz w:val="20"/>
          <w:szCs w:val="20"/>
          <w:color w:val="auto"/>
        </w:rPr>
      </w:pPr>
    </w:p>
    <w:p>
      <w:pPr>
        <w:ind w:right="220" w:firstLine="598"/>
        <w:spacing w:after="0" w:line="258" w:lineRule="auto"/>
        <w:rPr>
          <w:sz w:val="20"/>
          <w:szCs w:val="20"/>
          <w:color w:val="auto"/>
        </w:rPr>
      </w:pPr>
      <w:r>
        <w:rPr>
          <w:rFonts w:ascii="Times New Roman" w:cs="Times New Roman" w:eastAsia="Times New Roman" w:hAnsi="Times New Roman"/>
          <w:sz w:val="18"/>
          <w:szCs w:val="18"/>
          <w:color w:val="auto"/>
        </w:rPr>
        <w:t>We provide various restructuring and restructuring-related advice to companies in financial distress or to their creditors or other stakeholders. Historically, the fees from restructuring-related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those that protect creditors, and the deregulation or privatization of particular industries. For example, global restructuring activity during 2018, as measured by the number of corporate defaults, decreased significantly as compared to 2017.</w:t>
      </w:r>
    </w:p>
    <w:p>
      <w:pPr>
        <w:spacing w:after="0" w:line="2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Potential underwriting and trading activities may expose us to risk.</w:t>
      </w:r>
    </w:p>
    <w:p>
      <w:pPr>
        <w:spacing w:after="0" w:line="121" w:lineRule="exact"/>
        <w:rPr>
          <w:sz w:val="20"/>
          <w:szCs w:val="20"/>
          <w:color w:val="auto"/>
        </w:rPr>
      </w:pPr>
    </w:p>
    <w:p>
      <w:pPr>
        <w:jc w:val="both"/>
        <w:ind w:right="300" w:firstLine="598"/>
        <w:spacing w:after="0" w:line="266" w:lineRule="auto"/>
        <w:rPr>
          <w:sz w:val="20"/>
          <w:szCs w:val="20"/>
          <w:color w:val="auto"/>
        </w:rPr>
      </w:pPr>
      <w:r>
        <w:rPr>
          <w:rFonts w:ascii="Times New Roman" w:cs="Times New Roman" w:eastAsia="Times New Roman" w:hAnsi="Times New Roman"/>
          <w:sz w:val="18"/>
          <w:szCs w:val="18"/>
          <w:color w:val="auto"/>
        </w:rPr>
        <w:t>In 2014, we took steps that have enabled us to act as an underwriter in public offerings and other distributions of securities in order to buttress our Financial Advisory business. If we act as an underwriter, we may incur losses and be subject to reputational harm to the extent that, for any reason, we are unable to sell securities we purchased as an underwriter at the anticipated price levels. In addition, if we act as an underwriter, we may also be subject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right="40"/>
        <w:spacing w:after="0" w:line="255" w:lineRule="auto"/>
        <w:rPr>
          <w:sz w:val="20"/>
          <w:szCs w:val="20"/>
          <w:color w:val="auto"/>
        </w:rPr>
      </w:pPr>
      <w:r>
        <w:rPr>
          <w:rFonts w:ascii="Times New Roman" w:cs="Times New Roman" w:eastAsia="Times New Roman" w:hAnsi="Times New Roman"/>
          <w:sz w:val="18"/>
          <w:szCs w:val="18"/>
          <w:color w:val="auto"/>
        </w:rPr>
        <w:t>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Operational risk in connection with any offering we underwrite could arise in the form of errors, deficiencies or noncompliance and also could expose us to risk. In addition, indemnification provisions in our agreement with our clearing organization, customer trading and other activities may expose us to off-balance sheet credit risk. Securities may have to be purchased or sold at prevailing market prices in the event a customer fails to settle a trade on its original terms. We seek to manage the risks associated with underwriting and customer trading activities through screening, internal review and trading procedures and processes, but such procedures and processes may not be effective in all cases.</w:t>
      </w:r>
    </w:p>
    <w:p>
      <w:pPr>
        <w:spacing w:after="0" w:line="293" w:lineRule="exact"/>
        <w:rPr>
          <w:sz w:val="20"/>
          <w:szCs w:val="20"/>
          <w:color w:val="auto"/>
        </w:rPr>
      </w:pPr>
    </w:p>
    <w:p>
      <w:pPr>
        <w:ind w:right="180" w:firstLine="598"/>
        <w:spacing w:after="0" w:line="268" w:lineRule="auto"/>
        <w:rPr>
          <w:sz w:val="20"/>
          <w:szCs w:val="20"/>
          <w:color w:val="auto"/>
        </w:rPr>
      </w:pPr>
      <w:r>
        <w:rPr>
          <w:rFonts w:ascii="Times New Roman" w:cs="Times New Roman" w:eastAsia="Times New Roman" w:hAnsi="Times New Roman"/>
          <w:sz w:val="18"/>
          <w:szCs w:val="18"/>
          <w:b w:val="1"/>
          <w:bCs w:val="1"/>
          <w:color w:val="auto"/>
        </w:rPr>
        <w:t>Our investment style in our Asset Management business, including the mix of asset classes and investment strategies comprising our AUM, may underperform or generate less demand than other investment approaches, which may result in significant client or asset departures, or a reduction in AUM.</w:t>
      </w:r>
    </w:p>
    <w:p>
      <w:pPr>
        <w:spacing w:after="0" w:line="67"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Even when securities prices are rising generally, performance can be affected by investment style and mix of asset classes. For example, many of the equity investment strategies in our Asset Management business share a common investment orientation towards relative value investing. We believe this style tends to outperform the market in some market environments and underperform it in others. In particular, a prolonged growth environment may cause some of our investment strategies to go out of favor with some clients, advisors, consultants or third-party intermediaries. In addition, all of our investment strategies are actively managed strategies which seek to outperform relative to a benchmark or generate an absolute return. Management fees for actively managed strategies tend to be higher than those charged for passively managed strategies. The perception that actively managed strategies have, on average, underperformed relative to passively managed strategies over time, combined with greater pressure on clients to acquire asset management services at lower costs, has contributed to increased trends toward passively managed investment strategies. This, in turn, may adversely affect demand for our strategies or result in fee pressure on our business overall. In combination with poor performance relative to peers, changes in personnel, challenging market environments or other difficulties, the underperformance of our investment style may result in significant client or asset departures or a reduction in AUM.</w:t>
      </w:r>
    </w:p>
    <w:p>
      <w:pPr>
        <w:spacing w:after="0" w:line="290" w:lineRule="exact"/>
        <w:rPr>
          <w:sz w:val="20"/>
          <w:szCs w:val="20"/>
          <w:color w:val="auto"/>
        </w:rPr>
      </w:pPr>
    </w:p>
    <w:p>
      <w:pPr>
        <w:ind w:right="80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We could lose clients and suffer a decline in our Asset Management revenue and earnings if the investments we choose in our Asset Management business perform poorly, regardless of overall trends in the prices of securities.</w:t>
      </w:r>
    </w:p>
    <w:p>
      <w:pPr>
        <w:spacing w:after="0" w:line="51" w:lineRule="exact"/>
        <w:rPr>
          <w:sz w:val="20"/>
          <w:szCs w:val="20"/>
          <w:color w:val="auto"/>
        </w:rPr>
      </w:pPr>
    </w:p>
    <w:p>
      <w:pPr>
        <w:ind w:right="220" w:firstLine="598"/>
        <w:spacing w:after="0" w:line="282" w:lineRule="auto"/>
        <w:rPr>
          <w:sz w:val="20"/>
          <w:szCs w:val="20"/>
          <w:color w:val="auto"/>
        </w:rPr>
      </w:pPr>
      <w:r>
        <w:rPr>
          <w:rFonts w:ascii="Times New Roman" w:cs="Times New Roman" w:eastAsia="Times New Roman" w:hAnsi="Times New Roman"/>
          <w:sz w:val="18"/>
          <w:szCs w:val="18"/>
          <w:color w:val="auto"/>
        </w:rPr>
        <w:t>Investment performance affects our AUM relating to existing clients and is one of the most important factors in retaining clients and competing for new Asset Management business. Poor investment performance could impair our revenue and growth because:</w:t>
      </w:r>
    </w:p>
    <w:p>
      <w:pPr>
        <w:spacing w:after="0" w:line="54" w:lineRule="exact"/>
        <w:rPr>
          <w:sz w:val="20"/>
          <w:szCs w:val="20"/>
          <w:color w:val="auto"/>
        </w:rPr>
      </w:pPr>
    </w:p>
    <w:p>
      <w:pPr>
        <w:ind w:left="1200" w:right="300" w:hanging="598"/>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clients might withdraw funds from our Asset Management business in favor of better performing products, which would result in lower investment advisory fees;</w:t>
      </w:r>
    </w:p>
    <w:p>
      <w:pPr>
        <w:spacing w:after="0" w:line="53" w:lineRule="exact"/>
        <w:rPr>
          <w:rFonts w:ascii="Times New Roman" w:cs="Times New Roman" w:eastAsia="Times New Roman" w:hAnsi="Times New Roman"/>
          <w:sz w:val="18"/>
          <w:szCs w:val="18"/>
          <w:color w:val="auto"/>
        </w:rPr>
      </w:pPr>
    </w:p>
    <w:p>
      <w:pPr>
        <w:ind w:left="1200" w:right="520" w:hanging="598"/>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incentive fees, which provide us with a set percentage of returns on some alternative investment and private equity funds and other accounts, would decline;</w:t>
      </w:r>
    </w:p>
    <w:p>
      <w:pPr>
        <w:spacing w:after="0" w:line="53" w:lineRule="exact"/>
        <w:rPr>
          <w:rFonts w:ascii="Times New Roman" w:cs="Times New Roman" w:eastAsia="Times New Roman" w:hAnsi="Times New Roman"/>
          <w:sz w:val="18"/>
          <w:szCs w:val="18"/>
          <w:color w:val="auto"/>
        </w:rPr>
      </w:pPr>
    </w:p>
    <w:p>
      <w:pPr>
        <w:ind w:left="1200" w:right="740" w:hanging="598"/>
        <w:spacing w:after="0" w:line="282"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financial intermediaries, rating services, advisors or consultants may rate our products poorly, which may result in client withdrawals and reduced asset flows; or</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firms with which we have strategic alliances may terminate such relationships with us, and future strategic alliances may be unavailable.</w:t>
      </w:r>
    </w:p>
    <w:p>
      <w:pPr>
        <w:spacing w:after="0" w:line="225" w:lineRule="exact"/>
        <w:rPr>
          <w:sz w:val="20"/>
          <w:szCs w:val="20"/>
          <w:color w:val="auto"/>
        </w:rPr>
      </w:pPr>
    </w:p>
    <w:p>
      <w:pPr>
        <w:ind w:right="280" w:firstLine="598"/>
        <w:spacing w:after="0" w:line="261" w:lineRule="auto"/>
        <w:rPr>
          <w:sz w:val="20"/>
          <w:szCs w:val="20"/>
          <w:color w:val="auto"/>
        </w:rPr>
      </w:pPr>
      <w:r>
        <w:rPr>
          <w:rFonts w:ascii="Times New Roman" w:cs="Times New Roman" w:eastAsia="Times New Roman" w:hAnsi="Times New Roman"/>
          <w:sz w:val="18"/>
          <w:szCs w:val="18"/>
          <w:color w:val="auto"/>
        </w:rPr>
        <w:t>Over certain time periods, we may have a higher concentration of assets in certain strategies. To the extent that this is the case, underperformance, changes in investment personnel or other changes in these strategies, as well as changes in a variety of macroeconomic and other factors, may result in a withdrawal of assets. If a significant amount of clients withdraw from these strategies for any reason, our revenues would decline and our operating results would be adversely affected.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ind w:right="8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Because many of our Asset Management clients can remove the assets we manage on short notice, we may experience unexpected declines in revenue and profitability.</w:t>
      </w:r>
    </w:p>
    <w:p>
      <w:pPr>
        <w:spacing w:after="0" w:line="51" w:lineRule="exact"/>
        <w:rPr>
          <w:sz w:val="20"/>
          <w:szCs w:val="20"/>
          <w:color w:val="auto"/>
        </w:rPr>
      </w:pPr>
    </w:p>
    <w:p>
      <w:pPr>
        <w:ind w:right="60" w:firstLine="598"/>
        <w:spacing w:after="0" w:line="256" w:lineRule="auto"/>
        <w:rPr>
          <w:sz w:val="20"/>
          <w:szCs w:val="20"/>
          <w:color w:val="auto"/>
        </w:rPr>
      </w:pPr>
      <w:r>
        <w:rPr>
          <w:rFonts w:ascii="Times New Roman" w:cs="Times New Roman" w:eastAsia="Times New Roman" w:hAnsi="Times New Roman"/>
          <w:sz w:val="18"/>
          <w:szCs w:val="18"/>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departures from or changes to the teams that manage our investment products, or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88" w:lineRule="exact"/>
        <w:rPr>
          <w:sz w:val="20"/>
          <w:szCs w:val="20"/>
          <w:color w:val="auto"/>
        </w:rPr>
      </w:pPr>
    </w:p>
    <w:p>
      <w:pPr>
        <w:ind w:right="240" w:firstLine="598"/>
        <w:spacing w:after="0" w:line="258" w:lineRule="auto"/>
        <w:rPr>
          <w:sz w:val="20"/>
          <w:szCs w:val="20"/>
          <w:color w:val="auto"/>
        </w:rPr>
      </w:pPr>
      <w:r>
        <w:rPr>
          <w:rFonts w:ascii="Times New Roman" w:cs="Times New Roman" w:eastAsia="Times New Roman" w:hAnsi="Times New Roman"/>
          <w:sz w:val="18"/>
          <w:szCs w:val="18"/>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288" w:lineRule="exact"/>
        <w:rPr>
          <w:sz w:val="20"/>
          <w:szCs w:val="20"/>
          <w:color w:val="auto"/>
        </w:rPr>
      </w:pPr>
    </w:p>
    <w:p>
      <w:pPr>
        <w:ind w:right="240" w:firstLine="598"/>
        <w:spacing w:after="0" w:line="268" w:lineRule="auto"/>
        <w:rPr>
          <w:sz w:val="20"/>
          <w:szCs w:val="20"/>
          <w:color w:val="auto"/>
        </w:rPr>
      </w:pPr>
      <w:r>
        <w:rPr>
          <w:rFonts w:ascii="Times New Roman" w:cs="Times New Roman" w:eastAsia="Times New Roman" w:hAnsi="Times New Roman"/>
          <w:sz w:val="18"/>
          <w:szCs w:val="18"/>
          <w:b w:val="1"/>
          <w:bCs w:val="1"/>
          <w:color w:val="auto"/>
        </w:rPr>
        <w:t>Access to clients through intermediaries and consultants is important to our Asset Management business, and reductions in referrals from such intermediaries or consultants or poor reviews of our products or our organization by such intermediaries or consultants could materially reduce our revenue and impair our ability to attract new clients.</w:t>
      </w:r>
    </w:p>
    <w:p>
      <w:pPr>
        <w:spacing w:after="0" w:line="67" w:lineRule="exact"/>
        <w:rPr>
          <w:sz w:val="20"/>
          <w:szCs w:val="20"/>
          <w:color w:val="auto"/>
        </w:rPr>
      </w:pPr>
    </w:p>
    <w:p>
      <w:pPr>
        <w:ind w:right="40" w:firstLine="598"/>
        <w:spacing w:after="0" w:line="256" w:lineRule="auto"/>
        <w:rPr>
          <w:sz w:val="20"/>
          <w:szCs w:val="20"/>
          <w:color w:val="auto"/>
        </w:rPr>
      </w:pPr>
      <w:r>
        <w:rPr>
          <w:rFonts w:ascii="Times New Roman" w:cs="Times New Roman" w:eastAsia="Times New Roman" w:hAnsi="Times New Roman"/>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and consultants review and evaluate our products and our organization. Poor reviews or evaluations of either the particular product or of us may result in client withdrawals or an inability to attract new assets through such intermediaries or consultants.</w:t>
      </w:r>
    </w:p>
    <w:p>
      <w:pPr>
        <w:spacing w:after="0" w:line="2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Our Asset Management business relies on non-affiliated third-party service providers.</w:t>
      </w:r>
    </w:p>
    <w:p>
      <w:pPr>
        <w:spacing w:after="0" w:line="121" w:lineRule="exact"/>
        <w:rPr>
          <w:sz w:val="20"/>
          <w:szCs w:val="20"/>
          <w:color w:val="auto"/>
        </w:rPr>
      </w:pPr>
    </w:p>
    <w:p>
      <w:pPr>
        <w:ind w:right="80" w:firstLine="598"/>
        <w:spacing w:after="0" w:line="258" w:lineRule="auto"/>
        <w:rPr>
          <w:sz w:val="20"/>
          <w:szCs w:val="20"/>
          <w:color w:val="auto"/>
        </w:rPr>
      </w:pPr>
      <w:r>
        <w:rPr>
          <w:rFonts w:ascii="Times New Roman" w:cs="Times New Roman" w:eastAsia="Times New Roman" w:hAnsi="Times New Roman"/>
          <w:sz w:val="18"/>
          <w:szCs w:val="18"/>
          <w:color w:val="auto"/>
        </w:rPr>
        <w:t>Our Asset Management business has entered into service agreements with third-party service providers for client order management and the execution and settlement of client securities transactions. This business faces the risk of operational failure of any of our clearing agents, the exchanges, clearing houses or other intermediaries we use to facilitate our securities transactions. We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2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Our results of operations may be affected by fluctuations in the fair value of positions held in our investment portfolios.</w:t>
      </w:r>
    </w:p>
    <w:p>
      <w:pPr>
        <w:spacing w:after="0" w:line="121"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We invest capital in various types of equity and debt securities in order to seed equity, debt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and if available, may not be fully effective.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0" w:name="page21"/>
    <w:bookmarkEnd w:id="20"/>
    <w:p>
      <w:pPr>
        <w:ind w:right="12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Fluctuations in foreign currency exchange rates could reduce our stockholders’ equity and net income or negatively impact the portfolios of our Asset Management clients and may affect the levels of our AUM.</w:t>
      </w:r>
    </w:p>
    <w:p>
      <w:pPr>
        <w:spacing w:after="0" w:line="51"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We are exposed to fluctuations in foreign currencies, including through advisory fees paid to our Financial Advisory business and management fees paid to our Asset Management business. Our financial statements are denominated in U.S. Dollars and, for the year ended December 31, 2018, we received approximately 40% of our consolidated net revenue in other currencies, predominantly in Euros, British Pounds and Australian Dollars. In addition, we pay a significant amount of our expenses in such other currencies. The exchange rates of these currencies versus the U.S. Dollar affect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89" w:lineRule="exact"/>
        <w:rPr>
          <w:sz w:val="20"/>
          <w:szCs w:val="20"/>
          <w:color w:val="auto"/>
        </w:rPr>
      </w:pPr>
    </w:p>
    <w:p>
      <w:pPr>
        <w:ind w:right="160" w:firstLine="598"/>
        <w:spacing w:after="0" w:line="256" w:lineRule="auto"/>
        <w:rPr>
          <w:sz w:val="20"/>
          <w:szCs w:val="20"/>
          <w:color w:val="auto"/>
        </w:rPr>
      </w:pPr>
      <w:r>
        <w:rPr>
          <w:rFonts w:ascii="Times New Roman" w:cs="Times New Roman" w:eastAsia="Times New Roman" w:hAnsi="Times New Roman"/>
          <w:sz w:val="18"/>
          <w:szCs w:val="18"/>
          <w:color w:val="auto"/>
        </w:rPr>
        <w:t>Fluctuations in foreign currency exchange rates also can impact the portfolios of our Asset Management clients. Client portfolios are invested in securities across the globe, although most portfolios are funded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with all other factors held constant, generally would result in a decrease in the dollar value of our AUM, which, in turn, would result in lower U.S. Dollar-denominated revenue in our Asset Management business. As of December 31, 2018, AUM with foreign currency exposure represented approximately 70% of our total AUM.</w:t>
      </w:r>
    </w:p>
    <w:p>
      <w:pPr>
        <w:spacing w:after="0" w:line="188" w:lineRule="exact"/>
        <w:rPr>
          <w:sz w:val="20"/>
          <w:szCs w:val="20"/>
          <w:color w:val="auto"/>
        </w:rPr>
      </w:pPr>
    </w:p>
    <w:p>
      <w:pPr>
        <w:jc w:val="both"/>
        <w:ind w:right="220" w:firstLine="598"/>
        <w:spacing w:after="0" w:line="266" w:lineRule="auto"/>
        <w:rPr>
          <w:sz w:val="20"/>
          <w:szCs w:val="20"/>
          <w:color w:val="auto"/>
        </w:rPr>
      </w:pPr>
      <w:r>
        <w:rPr>
          <w:rFonts w:ascii="Times New Roman" w:cs="Times New Roman" w:eastAsia="Times New Roman" w:hAnsi="Times New Roman"/>
          <w:sz w:val="18"/>
          <w:szCs w:val="18"/>
          <w:color w:val="auto"/>
        </w:rPr>
        <w:t>See Note 14 of Notes to Consolidated Financial Statements for additional information regarding the impact on stockholders’ equity from currency translation adjustments and Note 2 of Notes to Consolidated Financial Statements for additional information regarding the impact on operating results from currency transaction adjustments.</w:t>
      </w:r>
    </w:p>
    <w:p>
      <w:pPr>
        <w:spacing w:after="0" w:line="280" w:lineRule="exact"/>
        <w:rPr>
          <w:sz w:val="20"/>
          <w:szCs w:val="20"/>
          <w:color w:val="auto"/>
        </w:rPr>
      </w:pPr>
    </w:p>
    <w:p>
      <w:pPr>
        <w:ind w:right="14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51" w:lineRule="exact"/>
        <w:rPr>
          <w:sz w:val="20"/>
          <w:szCs w:val="20"/>
          <w:color w:val="auto"/>
        </w:rPr>
      </w:pPr>
    </w:p>
    <w:p>
      <w:pPr>
        <w:ind w:right="20" w:firstLine="598"/>
        <w:spacing w:after="0" w:line="254" w:lineRule="auto"/>
        <w:rPr>
          <w:sz w:val="20"/>
          <w:szCs w:val="20"/>
          <w:color w:val="auto"/>
        </w:rPr>
      </w:pPr>
      <w:r>
        <w:rPr>
          <w:rFonts w:ascii="Times New Roman" w:cs="Times New Roman" w:eastAsia="Times New Roman" w:hAnsi="Times New Roman"/>
          <w:sz w:val="18"/>
          <w:szCs w:val="18"/>
          <w:color w:val="auto"/>
        </w:rPr>
        <w:t>We have made, and in the future may make, principal investments in public or private companies or in alternative investments (including private equity funds) established by us, and we continue to hold principal investments directly or through funds managed by certain affiliates of Lazard, including Edgewater, as well as third parties.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would affect our results of operations and could increase the volatility of our earnings, even though such fair value fluctuations may have no cash impact.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86"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Our revenue from our private equity business is derived primarily from management fees, which are calculated as a percentage of committed capital or invested capital depending on the stage of each respective fund. Transaction and advisory fees may also be earned.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1" w:name="page22"/>
    <w:bookmarkEnd w:id="21"/>
    <w:p>
      <w:pPr>
        <w:ind w:right="6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51" w:lineRule="exact"/>
        <w:rPr>
          <w:sz w:val="20"/>
          <w:szCs w:val="20"/>
          <w:color w:val="auto"/>
        </w:rPr>
      </w:pPr>
    </w:p>
    <w:p>
      <w:pPr>
        <w:ind w:right="140" w:firstLine="598"/>
        <w:spacing w:after="0" w:line="255" w:lineRule="auto"/>
        <w:rPr>
          <w:sz w:val="20"/>
          <w:szCs w:val="20"/>
          <w:color w:val="auto"/>
        </w:rPr>
      </w:pPr>
      <w:r>
        <w:rPr>
          <w:rFonts w:ascii="Times New Roman" w:cs="Times New Roman" w:eastAsia="Times New Roman" w:hAnsi="Times New Roman"/>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89"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 and further regulation. Such changes may increase the expenses that we incur without necessarily leading to commensurate increases in revenue and income. Certain laws and regulations within the U.S. and externally include extraterritorial application that may lead to overlapping or conflicting legal and regulatory burdens with additional risks and implementation expenses.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85"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The U.S. and other governments and institutions have taken actions, and may in the future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financial condition and results of operations. While we continue to examine the requirements of new regulations that may become applicable to us in the U.S. and in the European Union (see “Business—Regulation”), and previously announced actual or potential regulations that may be modified, we are not able to predict the ultimate effect on us.</w:t>
      </w:r>
    </w:p>
    <w:p>
      <w:pPr>
        <w:spacing w:after="0" w:line="188"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 In addition, many tax laws and regulations have been modified, or are otherwise under review, in the U.S. and in many other jurisdictions in which we and our clients operate. Actual and proposed changes to these laws and regulations may affect the level of M&amp;A activity, including cross-border M&amp;A activity.</w:t>
      </w:r>
    </w:p>
    <w:p>
      <w:pPr>
        <w:spacing w:after="0" w:line="180"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private equity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84" w:lineRule="exact"/>
        <w:rPr>
          <w:sz w:val="20"/>
          <w:szCs w:val="20"/>
          <w:color w:val="auto"/>
        </w:rPr>
      </w:pPr>
    </w:p>
    <w:p>
      <w:pPr>
        <w:ind w:right="60" w:firstLine="598"/>
        <w:spacing w:after="0" w:line="256" w:lineRule="auto"/>
        <w:rPr>
          <w:sz w:val="20"/>
          <w:szCs w:val="20"/>
          <w:color w:val="auto"/>
        </w:rPr>
      </w:pPr>
      <w:r>
        <w:rPr>
          <w:rFonts w:ascii="Times New Roman" w:cs="Times New Roman" w:eastAsia="Times New Roman" w:hAnsi="Times New Roman"/>
          <w:sz w:val="18"/>
          <w:szCs w:val="18"/>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client trades also pays for research and other eligible services that are used by investment advisors, is being reexamined by different regulatory bodies and industry participants. Although a substantial portion of the research relied on by our Asset Management business in its investment decision-making processes is generated internally by our investment personnel, external research, including external research and other eligible services traditionally paid for with soft dollars, is also important to the process. This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2" w:name="page23"/>
    <w:bookmarkEnd w:id="22"/>
    <w:p>
      <w:pPr>
        <w:ind w:right="40"/>
        <w:spacing w:after="0" w:line="255" w:lineRule="auto"/>
        <w:rPr>
          <w:sz w:val="20"/>
          <w:szCs w:val="20"/>
          <w:color w:val="auto"/>
        </w:rPr>
      </w:pPr>
      <w:r>
        <w:rPr>
          <w:rFonts w:ascii="Times New Roman" w:cs="Times New Roman" w:eastAsia="Times New Roman" w:hAnsi="Times New Roman"/>
          <w:sz w:val="18"/>
          <w:szCs w:val="18"/>
          <w:color w:val="auto"/>
        </w:rPr>
        <w:t>external research includes materials provided by broker-dealers and research firms, as well as eligible data and analytics services from various sources. In connection with the implementation of the EU Markets in Financial Instruments Directive II (“MiFID II”) in 2018, our Asset Management affiliates in Germany and the U.K. decided to pay for broker research services from their own resources. The ultimate impact of MiFID II and potential similar, future regulatory changes on our Asset Management business and on the financial industry as a whole remains uncertain, although it has reduced our ability to utilize commissions to pay for research services and other soft dollar services in certain European jurisdictions. Similar pressures may come from changes in the asset management industry itself, which may further increase our costs related to external research services. For the year ended December 31, 2018, our Asset Management business obtained research and other eligible services through third-party soft dollar arrangements, the total value of which we estimate to be approximately $30 million.</w:t>
      </w:r>
    </w:p>
    <w:p>
      <w:pPr>
        <w:spacing w:after="0" w:line="185" w:lineRule="exact"/>
        <w:rPr>
          <w:sz w:val="20"/>
          <w:szCs w:val="20"/>
          <w:color w:val="auto"/>
        </w:rPr>
      </w:pPr>
    </w:p>
    <w:p>
      <w:pPr>
        <w:ind w:right="40" w:firstLine="598"/>
        <w:spacing w:after="0" w:line="254" w:lineRule="auto"/>
        <w:rPr>
          <w:sz w:val="20"/>
          <w:szCs w:val="20"/>
          <w:color w:val="auto"/>
        </w:rPr>
      </w:pPr>
      <w:r>
        <w:rPr>
          <w:rFonts w:ascii="Times New Roman" w:cs="Times New Roman" w:eastAsia="Times New Roman" w:hAnsi="Times New Roman"/>
          <w:sz w:val="18"/>
          <w:szCs w:val="18"/>
          <w:color w:val="auto"/>
        </w:rPr>
        <w:t>In addition, new regulations affecting the asset management business, including those regarding the management of U.S. mutual funds, hedge funds, UCITs funds and the use of certain investment products may impact our Asset Management business and result in increased costs. For example, the European Union has adopted updated directives on the coordination of laws, regulations and administrative provisions relating to undertakings for collective investment in transferable securities (“UCITS V”) with respect to various subjects. Among other things, UCITS V establishes remunerations policies which impact the structure of compensation for certain portfolio managers and other personnel within the Company. UCITS V also establishes certain regulations governing oversight and independence of depository functions. While these rules have already been implemented, they could further impact our personnel or result in changes to our operations, resulting in increased costs to the business. In addition, many regulators around the world, including those in the U.S., continue to adopt disclosure requirements impacting the asset management business, as well as changes to the laws, rules and regulations relating to recordkeeping and reporting obligations.</w:t>
      </w:r>
    </w:p>
    <w:p>
      <w:pPr>
        <w:spacing w:after="0" w:line="189" w:lineRule="exact"/>
        <w:rPr>
          <w:sz w:val="20"/>
          <w:szCs w:val="20"/>
          <w:color w:val="auto"/>
        </w:rPr>
      </w:pPr>
    </w:p>
    <w:p>
      <w:pPr>
        <w:ind w:right="180" w:firstLine="598"/>
        <w:spacing w:after="0" w:line="282" w:lineRule="auto"/>
        <w:rPr>
          <w:sz w:val="20"/>
          <w:szCs w:val="20"/>
          <w:color w:val="auto"/>
        </w:rPr>
      </w:pPr>
      <w:r>
        <w:rPr>
          <w:rFonts w:ascii="Times New Roman" w:cs="Times New Roman" w:eastAsia="Times New Roman" w:hAnsi="Times New Roman"/>
          <w:sz w:val="18"/>
          <w:szCs w:val="18"/>
          <w:color w:val="auto"/>
        </w:rPr>
        <w:t>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“Business—Regulation” above for a further discussion of the regulatory environment in which we conduct our businesses.</w:t>
      </w:r>
    </w:p>
    <w:p>
      <w:pPr>
        <w:spacing w:after="0" w:line="329" w:lineRule="exact"/>
        <w:rPr>
          <w:sz w:val="20"/>
          <w:szCs w:val="20"/>
          <w:color w:val="auto"/>
        </w:rPr>
      </w:pPr>
    </w:p>
    <w:p>
      <w:pPr>
        <w:ind w:right="14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The financial services industry faces substantial litigation and regulatory risks, and we may face damage to our professional reputation and legal liability if our services are not regarded as satisfactory or if conflicts of interest should arise.</w:t>
      </w:r>
    </w:p>
    <w:p>
      <w:pPr>
        <w:spacing w:after="0" w:line="51"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 Our role as advisor to our sovereign and government clients in particular may occasionally result in increased publicity of our involvement with, and our advice to, such clients.</w:t>
      </w:r>
    </w:p>
    <w:p>
      <w:pPr>
        <w:spacing w:after="0" w:line="184"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In recent years, the volume of claims and amount of damages claimed in litigation and regulatory proceedings against financial advisors has been increasing. The activities of our Financial Advisory business may subject us to the risk of significant legal actions by our clients and third parties, including our clients’ stockholders, under securities or other laws. Such legal actions may include allegations relating to aiding and abetting breaches of fiduciary duties and to materially false or misleading statements made in connection with securities and other transactions. We may also be exposed to potential liability for the fairness opinions and other advice provided to participants in corporate transactions. In our Asset Management business, we make investment decisions on behalf of our clients which could result in substantial losses. Many of our business activities may subject us to the risk of legal actions alleging negligence, misconduct, breach of fiduciary duty or breach of contract.</w:t>
      </w:r>
    </w:p>
    <w:p>
      <w:pPr>
        <w:spacing w:after="0" w:line="189" w:lineRule="exact"/>
        <w:rPr>
          <w:sz w:val="20"/>
          <w:szCs w:val="20"/>
          <w:color w:val="auto"/>
        </w:rPr>
      </w:pPr>
    </w:p>
    <w:p>
      <w:pPr>
        <w:jc w:val="both"/>
        <w:ind w:right="20" w:firstLine="598"/>
        <w:spacing w:after="0" w:line="266" w:lineRule="auto"/>
        <w:rPr>
          <w:sz w:val="20"/>
          <w:szCs w:val="20"/>
          <w:color w:val="auto"/>
        </w:rPr>
      </w:pPr>
      <w:r>
        <w:rPr>
          <w:rFonts w:ascii="Times New Roman" w:cs="Times New Roman" w:eastAsia="Times New Roman" w:hAnsi="Times New Roman"/>
          <w:sz w:val="18"/>
          <w:szCs w:val="18"/>
          <w:color w:val="auto"/>
        </w:rPr>
        <w:t>We increasingly confront actual and potential conflicts of interest relating to our Financial Advisory business, as well as to the fact that we have both a Financial Advisory business and an Asset Management business. It is possible that actual, potential or perceived conflicts of interest could give rise to client dissatisfaction, litigation or regulatory enforcement actions, which could have the effect of limiting our business opportunities. Appropriately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ind w:right="40"/>
        <w:spacing w:after="0" w:line="258" w:lineRule="auto"/>
        <w:rPr>
          <w:sz w:val="20"/>
          <w:szCs w:val="20"/>
          <w:color w:val="auto"/>
        </w:rPr>
      </w:pPr>
      <w:r>
        <w:rPr>
          <w:rFonts w:ascii="Times New Roman" w:cs="Times New Roman" w:eastAsia="Times New Roman" w:hAnsi="Times New Roman"/>
          <w:sz w:val="18"/>
          <w:szCs w:val="18"/>
          <w:color w:val="auto"/>
        </w:rPr>
        <w:t>identifying and managing actual or perceived conflicts of interest is complex and difficult, and our reputation could be damaged if we fail, or appear to fail, to deal appropriately with one or more potential or actual conflicts of interest. We have adopted various policies, controls and procedures to address or limit actual or perceived conflicts of interest. However, these policies, controls and procedures may not be adhered to by our employees or be effective in reducing the applicable risks. Any failure of, or failure to adhere to, these policies, controls and procedures may result in regulatory sanctions or client litigation. We may also face competition from time to time from other financial services firms that do not operate under similar policies, controls and procedures.</w:t>
      </w:r>
    </w:p>
    <w:p>
      <w:pPr>
        <w:spacing w:after="0" w:line="184"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Our Financial Advisory engagements typically include broad indemnities from our clients and provisions designed to limit our exposure to legal claims relating to our services, but these provisions may not protect us or may not be available or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w:t>
      </w:r>
    </w:p>
    <w:p>
      <w:pPr>
        <w:spacing w:after="0" w:line="180" w:lineRule="exact"/>
        <w:rPr>
          <w:sz w:val="20"/>
          <w:szCs w:val="20"/>
          <w:color w:val="auto"/>
        </w:rPr>
      </w:pPr>
    </w:p>
    <w:p>
      <w:pPr>
        <w:ind w:right="60" w:firstLine="598"/>
        <w:spacing w:after="0" w:line="266" w:lineRule="auto"/>
        <w:rPr>
          <w:sz w:val="20"/>
          <w:szCs w:val="20"/>
          <w:color w:val="auto"/>
        </w:rPr>
      </w:pPr>
      <w:r>
        <w:rPr>
          <w:rFonts w:ascii="Times New Roman" w:cs="Times New Roman" w:eastAsia="Times New Roman" w:hAnsi="Times New Roman"/>
          <w:sz w:val="18"/>
          <w:szCs w:val="18"/>
          <w:color w:val="auto"/>
        </w:rPr>
        <w:t>We may incur significant legal expenses in defending against litigation or regulatory action against us. Substantial legal liability or significant regulatory action against us could materially adversely affect our business, financial condition or results of operations and cause significant reputational harm to us, which could seriously harm our business.</w:t>
      </w:r>
    </w:p>
    <w:p>
      <w:pPr>
        <w:spacing w:after="0" w:line="280" w:lineRule="exact"/>
        <w:rPr>
          <w:sz w:val="20"/>
          <w:szCs w:val="20"/>
          <w:color w:val="auto"/>
        </w:rPr>
      </w:pPr>
    </w:p>
    <w:p>
      <w:pPr>
        <w:ind w:right="74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51" w:lineRule="exact"/>
        <w:rPr>
          <w:sz w:val="20"/>
          <w:szCs w:val="20"/>
          <w:color w:val="auto"/>
        </w:rPr>
      </w:pPr>
    </w:p>
    <w:p>
      <w:pPr>
        <w:ind w:right="40" w:firstLine="598"/>
        <w:spacing w:after="0" w:line="254" w:lineRule="auto"/>
        <w:rPr>
          <w:sz w:val="20"/>
          <w:szCs w:val="20"/>
          <w:color w:val="auto"/>
        </w:rPr>
      </w:pPr>
      <w:r>
        <w:rPr>
          <w:rFonts w:ascii="Times New Roman" w:cs="Times New Roman" w:eastAsia="Times New Roman" w:hAnsi="Times New Roman"/>
          <w:sz w:val="18"/>
          <w:szCs w:val="18"/>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reputational or financial harm. Our Financial Advisory business often requires that we deal with confidences of great significance to our clients or their counterparties, improper use of which may harm our clients or our relationships with our clients. Any breach of confidences as a result of employee misconduct may adversely affect our reputation, impair our ability to attract and retain Financial Advisory clients and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86"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In recent years, the U.S. Department of Justice and the SEC have also devoted greater resources to the enforcement of the Foreign Corrupt Practices Act. In addition, the United Kingdom, France and other jurisdictions have expanded the reach of their anti-bribery laws. While we have developed and implemented policies and procedures designed to ensure compliance with anti-bribery and other laws, such policies and procedures may not be effective in all instances to prevent violations. Any determination that we have violated these laws could subject us to, among other things, civil and criminal penalties, material fines, profit disgorgement, injunction against future conduct, securities litigation and reputational damage, any one of which could adversely affect our business, financial condition and results of operations.</w:t>
      </w:r>
    </w:p>
    <w:p>
      <w:pPr>
        <w:spacing w:after="0" w:line="292" w:lineRule="exact"/>
        <w:rPr>
          <w:sz w:val="20"/>
          <w:szCs w:val="20"/>
          <w:color w:val="auto"/>
        </w:rPr>
      </w:pPr>
    </w:p>
    <w:p>
      <w:pPr>
        <w:ind w:right="8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w:t>
      </w:r>
    </w:p>
    <w:p>
      <w:pPr>
        <w:spacing w:after="0" w:line="51"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Our operations rely on the secure processing, storage and transmission of confidential and other information involving our computer systems, hardware, software and networks, which we refer to as information systems, and involving the information systems of third parties with which we do business. Such information systems, which frequently include “cloud”-based networks and services, may be subject to unauthorized or fraudulent access, computer viruses or other malicious code or other threats, including “phishing” attempts, that are constantly evolving and that could have a security impact on us. There can be no assurance that we will not suffer material</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8"/>
          <w:szCs w:val="18"/>
          <w:color w:val="auto"/>
        </w:rPr>
        <w:t>losses relating to cyber attacks on, or other security breaches involving, our information systems, or the information systems of third parties with which we do business, despite taking protective measures to prevent such breaches. The increased use of mobile technologies can heighten these and other operational risks. If a successful cyber attack or other security breach were to occur, our confidential or proprietary information, or the confidential or proprietary information of our clients or their counterparties, that is stored in, or transmitted through, such information systems could be compromised or misappropriated. Any such cyber attack or other security breach, or any disruption of or failure in the physical or logical infrastructure or operating systems that support such information systems or our businesses, could significantly impact our ability to operate our businesses and could result in reputational damage, legal liability, the loss of clients or business opportunities and financial losses that are either not insured against or not fully covered through any insurance maintained by us. As cyber threats continue to multiply, become more sophisticated and threaten additional aspects of our businesses, we may also be required to expend additional resources on information security and compliance costs in order to continue to modify or enhance our protective measures or to investigate and remediate any information security vulnerabilities or other exposures.</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Other operational risks may disrupt our businesses, result in regulatory action against us or limit our growth.</w:t>
      </w:r>
    </w:p>
    <w:p>
      <w:pPr>
        <w:spacing w:after="0" w:line="121" w:lineRule="exact"/>
        <w:rPr>
          <w:sz w:val="20"/>
          <w:szCs w:val="20"/>
          <w:color w:val="auto"/>
        </w:rPr>
      </w:pPr>
    </w:p>
    <w:p>
      <w:pPr>
        <w:ind w:right="220" w:firstLine="598"/>
        <w:spacing w:after="0" w:line="261" w:lineRule="auto"/>
        <w:rPr>
          <w:sz w:val="20"/>
          <w:szCs w:val="20"/>
          <w:color w:val="auto"/>
        </w:rPr>
      </w:pPr>
      <w:r>
        <w:rPr>
          <w:rFonts w:ascii="Times New Roman" w:cs="Times New Roman" w:eastAsia="Times New Roman" w:hAnsi="Times New Roman"/>
          <w:sz w:val="18"/>
          <w:szCs w:val="18"/>
          <w:color w:val="auto"/>
        </w:rPr>
        <w:t>Our business is highly dependent on communications and information systems, including those of our vendors. Any failure or interruption of these systems, whether caused by fire, other natural disaster, power or telecommunications failure, act of terrorism or war, system modification or upgrade, or otherwise, could materially adversely affect our business. Although back-up systems are in place, our back-up procedures and capabilities in the event of a failure or interruption may not be adequate.</w:t>
      </w:r>
    </w:p>
    <w:p>
      <w:pPr>
        <w:spacing w:after="0" w:line="180" w:lineRule="exact"/>
        <w:rPr>
          <w:sz w:val="20"/>
          <w:szCs w:val="20"/>
          <w:color w:val="auto"/>
        </w:rPr>
      </w:pPr>
    </w:p>
    <w:p>
      <w:pPr>
        <w:ind w:right="80" w:firstLine="598"/>
        <w:spacing w:after="0" w:line="254" w:lineRule="auto"/>
        <w:rPr>
          <w:sz w:val="20"/>
          <w:szCs w:val="20"/>
          <w:color w:val="auto"/>
        </w:rPr>
      </w:pPr>
      <w:r>
        <w:rPr>
          <w:rFonts w:ascii="Times New Roman" w:cs="Times New Roman" w:eastAsia="Times New Roman" w:hAnsi="Times New Roman"/>
          <w:sz w:val="18"/>
          <w:szCs w:val="18"/>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and any such system upgrades or expansions could result in significant costs to us. Certain investment teams within our Asset Management business employ proprietary systems, including quantitative models, in connection with their investment processes. These systems and models are often designed and, with assistance from technology personnel, maintained by employees who are members of those investment teams. If any of the foregoing systems fail to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 In addition, errors resulting from these issues or from human error when conducting a trade or other transaction could expose us to significant risk.</w:t>
      </w:r>
    </w:p>
    <w:p>
      <w:pPr>
        <w:spacing w:after="0" w:line="186" w:lineRule="exact"/>
        <w:rPr>
          <w:sz w:val="20"/>
          <w:szCs w:val="20"/>
          <w:color w:val="auto"/>
        </w:rPr>
      </w:pPr>
    </w:p>
    <w:p>
      <w:pPr>
        <w:ind w:right="60" w:firstLine="598"/>
        <w:spacing w:after="0" w:line="258" w:lineRule="auto"/>
        <w:rPr>
          <w:sz w:val="20"/>
          <w:szCs w:val="20"/>
          <w:color w:val="auto"/>
        </w:rPr>
      </w:pPr>
      <w:r>
        <w:rPr>
          <w:rFonts w:ascii="Times New Roman" w:cs="Times New Roman" w:eastAsia="Times New Roman" w:hAnsi="Times New Roman"/>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information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84" w:lineRule="exact"/>
        <w:rPr>
          <w:sz w:val="20"/>
          <w:szCs w:val="20"/>
          <w:color w:val="auto"/>
        </w:rPr>
      </w:pPr>
    </w:p>
    <w:p>
      <w:pPr>
        <w:ind w:right="480" w:firstLine="59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operational risks with respect to our businesses, see “Management’s Discussion and Analysis of Financial Condition and Results of Operations—Operational Risk” below.</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The soundness of third parties, including our clients, as well as financial, governmental and other institutions, could adversely affect us.</w:t>
      </w:r>
    </w:p>
    <w:p>
      <w:pPr>
        <w:spacing w:after="0" w:line="121" w:lineRule="exact"/>
        <w:rPr>
          <w:sz w:val="20"/>
          <w:szCs w:val="20"/>
          <w:color w:val="auto"/>
        </w:rPr>
      </w:pPr>
    </w:p>
    <w:p>
      <w:pPr>
        <w:ind w:right="60" w:firstLine="598"/>
        <w:spacing w:after="0" w:line="258" w:lineRule="auto"/>
        <w:rPr>
          <w:sz w:val="20"/>
          <w:szCs w:val="20"/>
          <w:color w:val="auto"/>
        </w:rPr>
      </w:pPr>
      <w:r>
        <w:rPr>
          <w:rFonts w:ascii="Times New Roman" w:cs="Times New Roman" w:eastAsia="Times New Roman" w:hAnsi="Times New Roman"/>
          <w:sz w:val="18"/>
          <w:szCs w:val="18"/>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and settlement risk may be exacerbated when the collateral held by us, if any, cannot be fully realized or is liquidated at prices not sufficient to recover the full amount of the loan or derivative exposure due to us.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25" w:name="page26"/>
    <w:bookmarkEnd w:id="25"/>
    <w:p>
      <w:pPr>
        <w:ind w:right="30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effective internal controls in accordance with Section 404 of the Sarbanes-Oxley Act could materially adversely affect our business.</w:t>
      </w:r>
    </w:p>
    <w:p>
      <w:pPr>
        <w:spacing w:after="0" w:line="51" w:lineRule="exact"/>
        <w:rPr>
          <w:sz w:val="20"/>
          <w:szCs w:val="20"/>
          <w:color w:val="auto"/>
        </w:rPr>
      </w:pPr>
    </w:p>
    <w:p>
      <w:pPr>
        <w:ind w:right="40" w:firstLine="598"/>
        <w:spacing w:after="0" w:line="256" w:lineRule="auto"/>
        <w:rPr>
          <w:sz w:val="20"/>
          <w:szCs w:val="20"/>
          <w:color w:val="auto"/>
        </w:rPr>
      </w:pPr>
      <w:r>
        <w:rPr>
          <w:rFonts w:ascii="Times New Roman" w:cs="Times New Roman" w:eastAsia="Times New Roman" w:hAnsi="Times New Roman"/>
          <w:sz w:val="18"/>
          <w:szCs w:val="18"/>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2018.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materially adversely affect our business.</w:t>
      </w:r>
    </w:p>
    <w:p>
      <w:pPr>
        <w:spacing w:after="0" w:line="292" w:lineRule="exact"/>
        <w:rPr>
          <w:sz w:val="20"/>
          <w:szCs w:val="20"/>
          <w:color w:val="auto"/>
        </w:rPr>
      </w:pPr>
    </w:p>
    <w:p>
      <w:pPr>
        <w:ind w:right="22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We may pursue acquisitions, joint ventures, cooperation agreements or other growth or geographic expansion strategies that may result in additional risks and uncertainties in our business and could present unforeseen integration obstacles or costs.</w:t>
      </w:r>
    </w:p>
    <w:p>
      <w:pPr>
        <w:spacing w:after="0" w:line="51" w:lineRule="exact"/>
        <w:rPr>
          <w:sz w:val="20"/>
          <w:szCs w:val="20"/>
          <w:color w:val="auto"/>
        </w:rPr>
      </w:pPr>
    </w:p>
    <w:p>
      <w:pPr>
        <w:jc w:val="both"/>
        <w:ind w:right="280" w:firstLine="598"/>
        <w:spacing w:after="0" w:line="266" w:lineRule="auto"/>
        <w:rPr>
          <w:sz w:val="20"/>
          <w:szCs w:val="20"/>
          <w:color w:val="auto"/>
        </w:rPr>
      </w:pPr>
      <w:r>
        <w:rPr>
          <w:rFonts w:ascii="Times New Roman" w:cs="Times New Roman" w:eastAsia="Times New Roman" w:hAnsi="Times New Roman"/>
          <w:sz w:val="18"/>
          <w:szCs w:val="18"/>
          <w:color w:val="auto"/>
        </w:rPr>
        <w:t>We routinely assess our strategic position and may in the future seek acquisitions or other transactions or growth strategies to further enhance our competitive position. We have in the past pursued joint ventures and other transactions aimed at expanding the geography and scope of our operations. We expect to continue to explore acquisitions, growth strategies and partnership or strategic alliance opportunities that we believe to be attractive.</w:t>
      </w:r>
    </w:p>
    <w:p>
      <w:pPr>
        <w:spacing w:after="0" w:line="176"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Acquisitions, growth strategies and joint ventures involve a number of risks and present financial, managerial and operational challenges. These risks and challenges include potential disruption of our ongoing business and distraction of management, difficulty integrating personnel and financial and other systems, difficulty hiring additional management and other critical personnel, and other challenges arising from the increased scope, geographic diversity and complexity of our operations.</w:t>
      </w:r>
    </w:p>
    <w:p>
      <w:pPr>
        <w:spacing w:after="0" w:line="180" w:lineRule="exact"/>
        <w:rPr>
          <w:sz w:val="20"/>
          <w:szCs w:val="20"/>
          <w:color w:val="auto"/>
        </w:rPr>
      </w:pPr>
    </w:p>
    <w:p>
      <w:pPr>
        <w:ind w:right="80" w:firstLine="598"/>
        <w:spacing w:after="0" w:line="258" w:lineRule="auto"/>
        <w:rPr>
          <w:sz w:val="20"/>
          <w:szCs w:val="20"/>
          <w:color w:val="auto"/>
        </w:rPr>
      </w:pPr>
      <w:r>
        <w:rPr>
          <w:rFonts w:ascii="Times New Roman" w:cs="Times New Roman" w:eastAsia="Times New Roman" w:hAnsi="Times New Roman"/>
          <w:sz w:val="18"/>
          <w:szCs w:val="18"/>
          <w:color w:val="auto"/>
        </w:rPr>
        <w:t>To the extent that we pursue business opportunities outside of the United States and our other principal business locations, including through acquisitions, joint ventures or other geographic expansion of our existing businesses, we may become subject to political, economic, legal, operational, regulatory and other risks that are inherent in operating in a foreign country, including risks of potential price, capital and currency exchange controls, licensing requirements and other regulatory restrictions, as well as the risk of hostile actions against or affecting our business or people. Our ability to remain in compliance with local laws in a particular foreign jurisdiction could adversely affect our businesses and our reputation.</w:t>
      </w:r>
    </w:p>
    <w:p>
      <w:pPr>
        <w:spacing w:after="0" w:line="184" w:lineRule="exact"/>
        <w:rPr>
          <w:sz w:val="20"/>
          <w:szCs w:val="20"/>
          <w:color w:val="auto"/>
        </w:rPr>
      </w:pPr>
    </w:p>
    <w:p>
      <w:pPr>
        <w:ind w:right="200" w:firstLine="598"/>
        <w:spacing w:after="0" w:line="261" w:lineRule="auto"/>
        <w:rPr>
          <w:sz w:val="20"/>
          <w:szCs w:val="20"/>
          <w:color w:val="auto"/>
        </w:rPr>
      </w:pPr>
      <w:r>
        <w:rPr>
          <w:rFonts w:ascii="Times New Roman" w:cs="Times New Roman" w:eastAsia="Times New Roman" w:hAnsi="Times New Roman"/>
          <w:sz w:val="18"/>
          <w:szCs w:val="18"/>
          <w:color w:val="auto"/>
        </w:rPr>
        <w:t>In addition, our clients and other stakeholders may react unfavorably to our acquisition, growth and joint venture strategies, we may not realize any anticipated benefits from such strategies, we may be exposed to additional liabilities of any acquired business or joint venture, we may be exposed to litigation in connection with an acquisition, growth or joint venture transaction, and we may not be able to renew on similar terms (or at all) previously successful joint ventures or similar arrangements, any of which could materially adversely affect our revenue, financial position and results of operations.</w:t>
      </w:r>
    </w:p>
    <w:p>
      <w:pPr>
        <w:spacing w:after="0" w:line="284" w:lineRule="exact"/>
        <w:rPr>
          <w:sz w:val="20"/>
          <w:szCs w:val="20"/>
          <w:color w:val="auto"/>
        </w:rPr>
      </w:pPr>
    </w:p>
    <w:p>
      <w:pPr>
        <w:ind w:right="10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An inability to access the debt and equity capital markets as a result of our debt obligations, credit ratings or other factors could impair our liquidity, increase our borrowing costs or otherwise adversely affect our financial position or results of operations.</w:t>
      </w:r>
    </w:p>
    <w:p>
      <w:pPr>
        <w:spacing w:after="0" w:line="51"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As of December 31, 2018, Lazard Group and its subsidiaries had approximately $1.5 billion in debt outstanding, of which $250 million, $400 million, $300 million and $500 million relate to Lazard Group senior notes that mature in 2020, 2025, 2027 and 2028,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for a variety of other possible reasons. In addition, our borrowing costs and our access to the debt capital markets depend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6" w:name="page27"/>
    <w:bookmarkEnd w:id="26"/>
    <w:p>
      <w:pPr>
        <w:ind w:right="300"/>
        <w:spacing w:after="0" w:line="282" w:lineRule="auto"/>
        <w:rPr>
          <w:sz w:val="20"/>
          <w:szCs w:val="20"/>
          <w:color w:val="auto"/>
        </w:rPr>
      </w:pPr>
      <w:r>
        <w:rPr>
          <w:rFonts w:ascii="Times New Roman" w:cs="Times New Roman" w:eastAsia="Times New Roman" w:hAnsi="Times New Roman"/>
          <w:sz w:val="18"/>
          <w:szCs w:val="18"/>
          <w:color w:val="auto"/>
        </w:rPr>
        <w:t>significantly on our credit ratings. These ratings are assigned by rating agencies, which may reduce or withdraw their ratings or place us on “credit watch” with negative implications at any time.</w:t>
      </w:r>
    </w:p>
    <w:p>
      <w:pPr>
        <w:spacing w:after="0" w:line="266" w:lineRule="exact"/>
        <w:rPr>
          <w:sz w:val="20"/>
          <w:szCs w:val="20"/>
          <w:color w:val="auto"/>
        </w:rPr>
      </w:pPr>
    </w:p>
    <w:p>
      <w:pPr>
        <w:ind w:right="32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Lazard Ltd is a holding company and, accordingly, depends upon distributions from Lazard Group to pay dividends and taxes and other expenses.</w:t>
      </w:r>
    </w:p>
    <w:p>
      <w:pPr>
        <w:spacing w:after="0" w:line="51"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Lazard Ltd is a holding company and has no independent means of generating significant revenue. We control Lazard Group through our indirect control of both of the managing members of Lazard Group. Our subsidiaries incur income taxes on net taxable income of Lazard Group in their respective tax jurisdictions. We intend to continue to cause Lazard Group to make distributions to our subsidiaries in an amount sufficient to cover all applicable taxes payable by us and dividends, if any, declared by us. To the extent that our subsidiaries need funds to pay taxes on their share of Lazard Group’s net taxable income, or if Lazard Ltd needs funds for any other purpose, and Lazard Group is restricted from making such distributions under applicable law or regulation, or is otherwise unable to provide such funds, it could materially adversely affect our business, financial condition or results of operations.</w:t>
      </w:r>
    </w:p>
    <w:p>
      <w:pPr>
        <w:spacing w:after="0" w:line="292" w:lineRule="exact"/>
        <w:rPr>
          <w:sz w:val="20"/>
          <w:szCs w:val="20"/>
          <w:color w:val="auto"/>
        </w:rPr>
      </w:pPr>
    </w:p>
    <w:p>
      <w:pPr>
        <w:ind w:right="16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51" w:lineRule="exact"/>
        <w:rPr>
          <w:sz w:val="20"/>
          <w:szCs w:val="20"/>
          <w:color w:val="auto"/>
        </w:rPr>
      </w:pPr>
    </w:p>
    <w:p>
      <w:pPr>
        <w:ind w:right="100" w:firstLine="598"/>
        <w:spacing w:after="0" w:line="255" w:lineRule="auto"/>
        <w:rPr>
          <w:sz w:val="20"/>
          <w:szCs w:val="20"/>
          <w:color w:val="auto"/>
        </w:rPr>
      </w:pPr>
      <w:r>
        <w:rPr>
          <w:rFonts w:ascii="Times New Roman" w:cs="Times New Roman" w:eastAsia="Times New Roman" w:hAnsi="Times New Roman"/>
          <w:sz w:val="18"/>
          <w:szCs w:val="18"/>
          <w:color w:val="auto"/>
        </w:rPr>
        <w:t>Lazard Group depends on its subsidiaries, which conduct the operations of its businesses, for distributions,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and the group of entities that constitute Lazard Group’s subsidiaries may change over time.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obligations of Lazard Group’s subsidiaries, regulatory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289" w:lineRule="exact"/>
        <w:rPr>
          <w:sz w:val="20"/>
          <w:szCs w:val="20"/>
          <w:color w:val="auto"/>
        </w:rPr>
      </w:pPr>
    </w:p>
    <w:p>
      <w:pPr>
        <w:ind w:right="20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51"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Our effective tax rate is based upon the application of currently applicable income tax laws, regulations and treaties, and current judicial and administrative interpretations of those income tax laws, regulations and treaties, and upon our non-U.S. subsidiaries’ ability to qualify for benefits, including reduced withholding tax rates, among other things, under those treaties, and that a portion of their income is not subject to U.S. tax as effectively connected income. Those income tax laws, regulations and treaties, and the administrative and judicial interpretations of them, are subject to change at any time, and any such change may be retroactive.</w:t>
      </w:r>
    </w:p>
    <w:p>
      <w:pPr>
        <w:spacing w:after="0" w:line="184"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On December 22, 2017, the Tax Cuts and Jobs Act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w:t>
      </w:r>
    </w:p>
    <w:p>
      <w:pPr>
        <w:spacing w:after="0" w:line="180"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The international tax provisions of the Tax Act are complex and the ultimate impact on us of the international provisions, such as the base erosion and anti-abuse tax (“BEAT”), the tax on global intangible low-taxed income (“GILTI”) and the other provisions of the Tax Act is uncertain. Although clarifying guidance and proposed regulations were issued by the U.S. Internal Revenue Service (“IRS”) in 2018, further guidance and the finalization of those regulations is expected in the near term and any changes to our understanding of the Tax Act could adversely affect us. In addition, if we were to convert into a U.S. corporation, we could be subject to additional U.S.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7" w:name="page28"/>
    <w:bookmarkEnd w:id="27"/>
    <w:p>
      <w:pPr>
        <w:ind w:right="20"/>
        <w:spacing w:after="0" w:line="282" w:lineRule="auto"/>
        <w:rPr>
          <w:sz w:val="20"/>
          <w:szCs w:val="20"/>
          <w:color w:val="auto"/>
        </w:rPr>
      </w:pPr>
      <w:r>
        <w:rPr>
          <w:rFonts w:ascii="Times New Roman" w:cs="Times New Roman" w:eastAsia="Times New Roman" w:hAnsi="Times New Roman"/>
          <w:sz w:val="18"/>
          <w:szCs w:val="18"/>
          <w:color w:val="auto"/>
        </w:rPr>
        <w:t>taxes, and future payments required under our tax receivable agreement could be accelerated, both of which could reduce the amount of our cash available for distribution or reinvestment.</w:t>
      </w:r>
    </w:p>
    <w:p>
      <w:pPr>
        <w:spacing w:after="0" w:line="162" w:lineRule="exact"/>
        <w:rPr>
          <w:sz w:val="20"/>
          <w:szCs w:val="20"/>
          <w:color w:val="auto"/>
        </w:rPr>
      </w:pPr>
    </w:p>
    <w:p>
      <w:pPr>
        <w:ind w:right="220" w:firstLine="598"/>
        <w:spacing w:after="0" w:line="277" w:lineRule="auto"/>
        <w:rPr>
          <w:sz w:val="20"/>
          <w:szCs w:val="20"/>
          <w:color w:val="auto"/>
        </w:rPr>
      </w:pPr>
      <w:r>
        <w:rPr>
          <w:rFonts w:ascii="Times New Roman" w:cs="Times New Roman" w:eastAsia="Times New Roman" w:hAnsi="Times New Roman"/>
          <w:sz w:val="17"/>
          <w:szCs w:val="17"/>
          <w:color w:val="auto"/>
        </w:rPr>
        <w:t>In addition, the eligibility of our non-U.S. subsidiaries for treaty benefits generally depends upon, among other things, at least 50% of the principal class of shares in such subsidiaries being “ultimately owned” by U.S. citizens and persons who are “qualified residents” for purposes of the treaty. It is possible that this requirement may not be met, and even if it is met, we may not be able to document that fact to the satisfaction of the IRS. If our non-U.S. subsidiaries are not treated as eligible for treaty benefits, such subsidiaries will be subject to additional U.S. taxes, including “branch profits tax” on their “effectively connected earnings and profits” (as determined for U.S. federal income tax purposes) at a rate of 30% rather than a treaty rate of 5%.</w:t>
      </w:r>
    </w:p>
    <w:p>
      <w:pPr>
        <w:spacing w:after="0" w:line="168"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U.S. and foreign governments, institutions (including the European Union and the Organization of Economically Developed Countries) and tax officials have produced and continue to implement many laws, regulations, and treaties that currently govern the taxation of multinational companies. Any implementation of, or changes to, any such laws, regulations and treaties that impact us could materially adversely affect our business, financial condition or results of operations.</w:t>
      </w:r>
    </w:p>
    <w:p>
      <w:pPr>
        <w:spacing w:after="0" w:line="284" w:lineRule="exact"/>
        <w:rPr>
          <w:sz w:val="20"/>
          <w:szCs w:val="20"/>
          <w:color w:val="auto"/>
        </w:rPr>
      </w:pPr>
    </w:p>
    <w:p>
      <w:pPr>
        <w:ind w:right="6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Tax authorities may challenge our tax computations and classifications, our transfer pricing methods, and our application of related policies and methods.</w:t>
      </w:r>
    </w:p>
    <w:p>
      <w:pPr>
        <w:spacing w:after="0" w:line="51" w:lineRule="exact"/>
        <w:rPr>
          <w:sz w:val="20"/>
          <w:szCs w:val="20"/>
          <w:color w:val="auto"/>
        </w:rPr>
      </w:pPr>
    </w:p>
    <w:p>
      <w:pPr>
        <w:ind w:right="40" w:firstLine="598"/>
        <w:spacing w:after="0" w:line="258" w:lineRule="auto"/>
        <w:rPr>
          <w:sz w:val="20"/>
          <w:szCs w:val="20"/>
          <w:color w:val="auto"/>
        </w:rPr>
      </w:pPr>
      <w:r>
        <w:rPr>
          <w:rFonts w:ascii="Times New Roman" w:cs="Times New Roman" w:eastAsia="Times New Roman" w:hAnsi="Times New Roman"/>
          <w:sz w:val="18"/>
          <w:szCs w:val="18"/>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a tax authority may disagree with all, or a portion, of the tax benefits claimed. If a tax authority were to successfully challenge our positions, it could result in significant additional tax costs or payments under the tax receivable agreement described below.</w:t>
      </w:r>
    </w:p>
    <w:p>
      <w:pPr>
        <w:spacing w:after="0" w:line="184"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In addition, there are additional transfer pricing and standardized country by country reporting requirements being implemented. Additional information from country by country reporting, certain local information sharing arrangements, and other documentation held by tax authorities is expected to be subject to greater information sharing arrangements and any challenges from tax authorities reviewing such information could adversely impact our overall tax obligations or our business, financial condition or results of operations.</w:t>
      </w:r>
    </w:p>
    <w:p>
      <w:pPr>
        <w:spacing w:after="0" w:line="284" w:lineRule="exact"/>
        <w:rPr>
          <w:sz w:val="20"/>
          <w:szCs w:val="20"/>
          <w:color w:val="auto"/>
        </w:rPr>
      </w:pPr>
    </w:p>
    <w:p>
      <w:pPr>
        <w:ind w:right="10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Uncertainty regarding the outcome of future arrangements between the European Union and the United Kingdom may adversely affect our business.</w:t>
      </w:r>
    </w:p>
    <w:p>
      <w:pPr>
        <w:spacing w:after="0" w:line="51" w:lineRule="exact"/>
        <w:rPr>
          <w:sz w:val="20"/>
          <w:szCs w:val="20"/>
          <w:color w:val="auto"/>
        </w:rPr>
      </w:pPr>
    </w:p>
    <w:p>
      <w:pPr>
        <w:ind w:firstLine="598"/>
        <w:spacing w:after="0" w:line="252" w:lineRule="auto"/>
        <w:rPr>
          <w:sz w:val="20"/>
          <w:szCs w:val="20"/>
          <w:color w:val="auto"/>
        </w:rPr>
      </w:pPr>
      <w:r>
        <w:rPr>
          <w:rFonts w:ascii="Times New Roman" w:cs="Times New Roman" w:eastAsia="Times New Roman" w:hAnsi="Times New Roman"/>
          <w:sz w:val="18"/>
          <w:szCs w:val="18"/>
          <w:color w:val="auto"/>
        </w:rPr>
        <w:t>The Company has a significant presence in many European Union countries, including the United Kingdom. The U.K. is scheduled to depart the European Union on March 29, 2019. The U.K. Government and the European Union are discussing a draft withdrawal agreement that would include transitional arrangements to apply following the U.K.’s departure. If the withdrawal agreement is approved, the U.K. Government and the European Union would then negotiate the details of future trading arrangements that would apply after the expiration of the transitional arrangements. At the time that the U.K. leaves the European Union, the commercial, regulatory and legal environment that would exist, and to which the Company’s U.K. operations would be subject, will be impacted by the nature of the arrangements that are under negotiation and yet to be determined between the U.K and the European Union. The details of these arrangements are hard to predict, and uncertainty regarding their outcome may continue. The Company currently does not believe that any of the potential arrangements that are likely to be agreed will have a material adverse impact on the Company’s business. These potential arrangements may, however, result in certain changes in the way that we conduct our businesses, which could result in increased costs. In addition, the fact that the U.K. is scheduled to leave the European Union and the uncertainty it has produced has impacted, and may continue to impact, geopolitical perspectives and macroeconomic factors including interest rates, foreign currency exchange rates and equity markets, and it has increased volatility in certain markets in which we operate. If these conditions continue or if current conditions worsen, our businesses may be adversely affected, which may impact our financial position and results of operations. See “Difficult market conditions can adversely affect our business in many ways, including by reducing the volume of transactions involving our Financial Advisory business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ind w:right="60"/>
        <w:spacing w:after="0" w:line="282" w:lineRule="auto"/>
        <w:rPr>
          <w:sz w:val="20"/>
          <w:szCs w:val="20"/>
          <w:color w:val="auto"/>
        </w:rPr>
      </w:pPr>
      <w:r>
        <w:rPr>
          <w:rFonts w:ascii="Times New Roman" w:cs="Times New Roman" w:eastAsia="Times New Roman" w:hAnsi="Times New Roman"/>
          <w:sz w:val="18"/>
          <w:szCs w:val="18"/>
          <w:color w:val="auto"/>
        </w:rPr>
        <w:t>and reducing the value or performance of the assets we manage in our Asset Management business, which, in each case, could materially reduce our revenue or income and adversely affect our financial position” above.</w:t>
      </w:r>
    </w:p>
    <w:p>
      <w:pPr>
        <w:spacing w:after="0" w:line="266" w:lineRule="exact"/>
        <w:rPr>
          <w:sz w:val="20"/>
          <w:szCs w:val="20"/>
          <w:color w:val="auto"/>
        </w:rPr>
      </w:pPr>
    </w:p>
    <w:p>
      <w:pPr>
        <w:jc w:val="both"/>
        <w:ind w:right="140" w:firstLine="598"/>
        <w:spacing w:after="0" w:line="268" w:lineRule="auto"/>
        <w:rPr>
          <w:sz w:val="20"/>
          <w:szCs w:val="20"/>
          <w:color w:val="auto"/>
        </w:rPr>
      </w:pPr>
      <w:r>
        <w:rPr>
          <w:rFonts w:ascii="Times New Roman" w:cs="Times New Roman" w:eastAsia="Times New Roman" w:hAnsi="Times New Roman"/>
          <w:sz w:val="18"/>
          <w:szCs w:val="18"/>
          <w:b w:val="1"/>
          <w:bCs w:val="1"/>
          <w:color w:val="auto"/>
        </w:rPr>
        <w:t>Our subsidiaries may be required to make payments under the Amended and Restated Tax Receivable Agreement. The IRS may challenge the tax benefits that give rise to such payments and, under certain circumstances, our subsidiaries may have made or could make payments under the Amended and Restated Tax Receivable Agreement in excess of our subsidiaries’ cash tax savings.</w:t>
      </w:r>
    </w:p>
    <w:p>
      <w:pPr>
        <w:spacing w:after="0" w:line="67"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As further discussed in “Management’s Discussion and Analysis of Financial Condition and Results of Operations—Critical Accounting Policies and Estimates—Income Taxes” and Note 19 of Notes to Consolidated Financial Statements, the Second Amended and Restated Tax Receivable Agreement, dated as of October 26, 2015 (the “Amended and Restated Tax Receivable Agreement”), between Lazard and LTBP Trust, a Delaware statutory trust (the “Trust”), provides for the payment by our subsidiaries to the Trust of a significant portion of the cash savings, if any, in U.S. federal, state and local income tax or franchise tax that we actually realize as a result of certain tax benefits that are subject to the Amended and Restated Tax Receivable Agreement. Any amount paid by our subsidiaries to the Trust will generally be distributed to the owners of the Trust, including certain of our executive officers, in proportion to their beneficial interests in the Trust. If the IRS successfully challenges the tax benefits described above, under certain circumstances, our subsidiaries may have made or could make payments under the Amended and Restated Tax Receivable Agreement in excess of our subsidiaries’ cash tax savings.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29" w:name="page30"/>
    <w:bookmarkEnd w:id="2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40" w:firstLine="598"/>
        <w:spacing w:after="0" w:line="254" w:lineRule="auto"/>
        <w:rPr>
          <w:sz w:val="20"/>
          <w:szCs w:val="20"/>
          <w:color w:val="auto"/>
        </w:rPr>
      </w:pPr>
      <w:r>
        <w:rPr>
          <w:rFonts w:ascii="Times New Roman" w:cs="Times New Roman" w:eastAsia="Times New Roman" w:hAnsi="Times New Roman"/>
          <w:sz w:val="18"/>
          <w:szCs w:val="18"/>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81" w:lineRule="exact"/>
        <w:rPr>
          <w:sz w:val="20"/>
          <w:szCs w:val="20"/>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or the global or regional financial markets;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revenues, for example due to a decline in overall M&amp;A activity, our share of the M&amp;A market or our AUM;</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caused by financial or other problems experienced by third parties;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unidentified or unanticipated risks;</w:t>
      </w:r>
    </w:p>
    <w:p>
      <w:pPr>
        <w:spacing w:after="0" w:line="115"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lack of liquidity,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ready access to funds, for use in our businesses; and</w:t>
      </w:r>
    </w:p>
    <w:p>
      <w:pPr>
        <w:spacing w:after="0" w:line="119"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These risks and uncertainties are not exhaustive. Other sections of this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4"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7" w:lineRule="exact"/>
        <w:rPr>
          <w:sz w:val="20"/>
          <w:szCs w:val="20"/>
          <w:color w:val="auto"/>
        </w:rPr>
      </w:pPr>
    </w:p>
    <w:p>
      <w:pPr>
        <w:ind w:left="1200" w:hanging="59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goals, including ratios of compensation and benefits expense to operating revenue;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deploy surplus cash through dividends, share repurchases and debt repurchases;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offset stockholder dilution through share repurchases;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assumed future results of operations and operating cash flows;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strategies and investment policies;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plans and the availability of short-term borrowing;</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position;</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including the consideration to be paid and the timing of consummation;</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opportunities available to our businesses;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1" w:right="299" w:bottom="1440" w:gutter="0" w:footer="0" w:header="0"/>
        </w:sectPr>
      </w:pPr>
    </w:p>
    <w:bookmarkStart w:id="30" w:name="page31"/>
    <w:bookmarkEnd w:id="30"/>
    <w:p>
      <w:pPr>
        <w:ind w:left="1200" w:hanging="598"/>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 of investments in our technology infrastructure and data science capabilities;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our managing directors and employees;</w:t>
      </w:r>
    </w:p>
    <w:p>
      <w:pPr>
        <w:spacing w:after="0" w:line="117" w:lineRule="exact"/>
        <w:rPr>
          <w:rFonts w:ascii="Times New Roman" w:cs="Times New Roman" w:eastAsia="Times New Roman" w:hAnsi="Times New Roman"/>
          <w:sz w:val="18"/>
          <w:szCs w:val="18"/>
          <w:color w:val="auto"/>
        </w:rPr>
      </w:pPr>
    </w:p>
    <w:p>
      <w:pPr>
        <w:ind w:left="1200" w:right="340" w:hanging="598"/>
        <w:spacing w:after="0" w:line="282" w:lineRule="auto"/>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levels of compensation expense, including awarded compensation and benefits expense and adjusted compensation and benefits expense, and non-compensation expense;</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operating performance, achievements, productivity improvements, efficiency and cost reduction efforts;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success and impact of litigation;</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tax rates, including effective tax rates;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and tax rates;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certain tax benefits, including certain potential deductions;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 of certain events or circumstances on our financial statements;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117" w:lineRule="exact"/>
        <w:rPr>
          <w:rFonts w:ascii="Times New Roman" w:cs="Times New Roman" w:eastAsia="Times New Roman" w:hAnsi="Times New Roman"/>
          <w:sz w:val="18"/>
          <w:szCs w:val="18"/>
          <w:color w:val="auto"/>
        </w:rPr>
      </w:pPr>
    </w:p>
    <w:p>
      <w:pPr>
        <w:ind w:left="1200" w:right="520" w:hanging="598"/>
        <w:spacing w:after="0" w:line="282" w:lineRule="auto"/>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on our business;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new or future legislation and regulation, including tax laws and regulations, on our business.</w:t>
      </w:r>
    </w:p>
    <w:p>
      <w:pPr>
        <w:spacing w:after="0" w:line="225"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our Asset Management business. Investors can link to Lazard Ltd, Lazard Group and their operating company websites through </w:t>
      </w:r>
      <w:r>
        <w:rPr>
          <w:rFonts w:ascii="Times New Roman" w:cs="Times New Roman" w:eastAsia="Times New Roman" w:hAnsi="Times New Roman"/>
          <w:sz w:val="18"/>
          <w:szCs w:val="18"/>
          <w:i w:val="1"/>
          <w:iCs w:val="1"/>
          <w:color w:val="auto"/>
        </w:rPr>
        <w:t xml:space="preserve">http://www.lazard.com. </w:t>
      </w:r>
      <w:r>
        <w:rPr>
          <w:rFonts w:ascii="Times New Roman" w:cs="Times New Roman" w:eastAsia="Times New Roman" w:hAnsi="Times New Roman"/>
          <w:sz w:val="18"/>
          <w:szCs w:val="18"/>
          <w:color w:val="auto"/>
        </w:rPr>
        <w:t>Our websites and social media sites and the information contained therein or connected thereto shall not be deemed to be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this Form 10-K.</w:t>
      </w:r>
    </w:p>
    <w:p>
      <w:pPr>
        <w:spacing w:after="0" w:line="29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firstLine="598"/>
        <w:spacing w:after="0" w:line="282" w:lineRule="auto"/>
        <w:rPr>
          <w:sz w:val="20"/>
          <w:szCs w:val="20"/>
          <w:color w:val="auto"/>
        </w:rPr>
      </w:pPr>
      <w:r>
        <w:rPr>
          <w:rFonts w:ascii="Times New Roman" w:cs="Times New Roman" w:eastAsia="Times New Roman" w:hAnsi="Times New Roman"/>
          <w:sz w:val="18"/>
          <w:szCs w:val="18"/>
          <w:color w:val="auto"/>
        </w:rPr>
        <w:t>There are no unresolved written comments that were received from the SEC staff 180 days or more before December 31, 2018 relating to our periodic or current reports under the Exchange Act.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The following table lists the properties used for the entire Lazard organization as of December 31, 2018. As a general matter, one or both of our Financial Advisory and Asset Management segments (as well as our Corporate segment) uses the following properties. Our London and other offices sublease 71,207 and 7,071 square feet, respectively, to third parties. We remain fully liable for the subleased space to the extent that the subtenants fail to perform their obligations under the subleases for any reason.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508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color w:val="auto"/>
              </w:rPr>
              <w:t>Offices</w:t>
            </w:r>
          </w:p>
        </w:tc>
      </w:tr>
      <w:tr>
        <w:trPr>
          <w:trHeight w:val="205"/>
        </w:trPr>
        <w:tc>
          <w:tcPr>
            <w:tcW w:w="296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New York City</w:t>
            </w:r>
          </w:p>
        </w:tc>
        <w:tc>
          <w:tcPr>
            <w:tcW w:w="160" w:type="dxa"/>
            <w:vAlign w:val="bottom"/>
            <w:tcBorders>
              <w:top w:val="single" w:sz="8" w:color="CFF0FC"/>
            </w:tcBorders>
            <w:shd w:val="clear" w:color="auto" w:fill="CFF0FC"/>
          </w:tcPr>
          <w:p>
            <w:pPr>
              <w:spacing w:after="0"/>
              <w:rPr>
                <w:sz w:val="17"/>
                <w:szCs w:val="17"/>
                <w:color w:val="auto"/>
              </w:rPr>
            </w:pPr>
          </w:p>
        </w:tc>
        <w:tc>
          <w:tcPr>
            <w:tcW w:w="3060" w:type="dxa"/>
            <w:vAlign w:val="bottom"/>
            <w:tcBorders>
              <w:top w:val="single" w:sz="8" w:color="auto"/>
            </w:tcBorders>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446,524 square feet of</w:t>
            </w:r>
          </w:p>
        </w:tc>
        <w:tc>
          <w:tcPr>
            <w:tcW w:w="160" w:type="dxa"/>
            <w:vAlign w:val="bottom"/>
            <w:tcBorders>
              <w:top w:val="single" w:sz="8" w:color="CFF0FC"/>
            </w:tcBorders>
            <w:shd w:val="clear" w:color="auto" w:fill="CFF0FC"/>
          </w:tcPr>
          <w:p>
            <w:pPr>
              <w:spacing w:after="0"/>
              <w:rPr>
                <w:sz w:val="17"/>
                <w:szCs w:val="17"/>
                <w:color w:val="auto"/>
              </w:rPr>
            </w:pPr>
          </w:p>
        </w:tc>
        <w:tc>
          <w:tcPr>
            <w:tcW w:w="508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Principal office located at 30 Rockefeller Plaza</w:t>
            </w:r>
          </w:p>
        </w:tc>
      </w:tr>
      <w:tr>
        <w:trPr>
          <w:trHeight w:val="234"/>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leased space</w:t>
            </w:r>
          </w:p>
        </w:tc>
        <w:tc>
          <w:tcPr>
            <w:tcW w:w="5080" w:type="dxa"/>
            <w:vAlign w:val="bottom"/>
            <w:shd w:val="clear" w:color="auto" w:fill="CFF0FC"/>
          </w:tcPr>
          <w:p>
            <w:pPr>
              <w:spacing w:after="0"/>
              <w:rPr>
                <w:sz w:val="20"/>
                <w:szCs w:val="20"/>
                <w:color w:val="auto"/>
              </w:rPr>
            </w:pPr>
          </w:p>
        </w:tc>
      </w:tr>
      <w:tr>
        <w:trPr>
          <w:trHeight w:val="211"/>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3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191,314 square feet of</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Bogota, Boston, Buenos Aires, Charlotte, Chicago, Houston, Lima,</w:t>
            </w:r>
          </w:p>
        </w:tc>
      </w:t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leased space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 Angeles, Mexico City, Minneapolis, Montreal, Panama City, San</w:t>
            </w:r>
          </w:p>
        </w:tc>
      </w:tr>
      <w:tr>
        <w:trPr>
          <w:trHeight w:val="234"/>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Francisco, Santiago, São Paulo and Toronto</w:t>
            </w:r>
          </w:p>
        </w:tc>
      </w:tr>
      <w:tr>
        <w:trPr>
          <w:trHeight w:val="211"/>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Paris</w:t>
            </w:r>
          </w:p>
        </w:tc>
        <w:tc>
          <w:tcPr>
            <w:tcW w:w="322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148,502 square feet of</w:t>
            </w: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office located at 121 Boulevard Haussmann</w:t>
            </w:r>
          </w:p>
        </w:tc>
      </w:tr>
      <w:tr>
        <w:trPr>
          <w:trHeight w:val="234"/>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2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owned and leased space</w:t>
            </w:r>
          </w:p>
        </w:tc>
        <w:tc>
          <w:tcPr>
            <w:tcW w:w="5080" w:type="dxa"/>
            <w:vAlign w:val="bottom"/>
            <w:shd w:val="clear" w:color="auto" w:fill="CFF0FC"/>
          </w:tcPr>
          <w:p>
            <w:pPr>
              <w:spacing w:after="0"/>
              <w:rPr>
                <w:sz w:val="20"/>
                <w:szCs w:val="20"/>
                <w:color w:val="auto"/>
              </w:rPr>
            </w:pPr>
          </w:p>
        </w:tc>
      </w:tr>
      <w:tr>
        <w:trPr>
          <w:trHeight w:val="211"/>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London</w:t>
            </w:r>
          </w:p>
        </w:tc>
        <w:tc>
          <w:tcPr>
            <w:tcW w:w="3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144,448 square feet of</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Principal office located at 50 Stratton Street</w:t>
            </w:r>
          </w:p>
        </w:tc>
      </w:tr>
      <w:tr>
        <w:trPr>
          <w:trHeight w:val="234"/>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leased space</w:t>
            </w:r>
          </w:p>
        </w:tc>
        <w:tc>
          <w:tcPr>
            <w:tcW w:w="5080" w:type="dxa"/>
            <w:vAlign w:val="bottom"/>
          </w:tcPr>
          <w:p>
            <w:pPr>
              <w:spacing w:after="0"/>
              <w:rPr>
                <w:sz w:val="20"/>
                <w:szCs w:val="20"/>
                <w:color w:val="auto"/>
              </w:rPr>
            </w:pPr>
          </w:p>
        </w:tc>
      </w:tr>
      <w:tr>
        <w:trPr>
          <w:trHeight w:val="211"/>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EMEA</w:t>
            </w:r>
          </w:p>
        </w:tc>
        <w:tc>
          <w:tcPr>
            <w:tcW w:w="322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124,229 square feet of</w:t>
            </w: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Amsterdam, Bordeaux, Brussels, Dubai, Dublin, Frankfurt, Geneva,</w:t>
            </w:r>
          </w:p>
        </w:tc>
      </w:tr>
      <w:tr>
        <w:trPr>
          <w:trHeight w:val="216"/>
        </w:trPr>
        <w:tc>
          <w:tcPr>
            <w:tcW w:w="2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2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leased space</w:t>
            </w: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Hamburg, Lyon, Madrid, Milan, Nantes, Riyadh, Stockholm and</w:t>
            </w:r>
          </w:p>
        </w:tc>
      </w:tr>
      <w:tr>
        <w:trPr>
          <w:trHeight w:val="234"/>
        </w:trPr>
        <w:tc>
          <w:tcPr>
            <w:tcW w:w="2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Zurich</w:t>
            </w:r>
          </w:p>
        </w:tc>
      </w:tr>
      <w:tr>
        <w:trPr>
          <w:trHeight w:val="211"/>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3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68,331 square feet of</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Beijing, Hong Kong, Melbourne, Mumbai, Perth, Seoul, Singapore,</w:t>
            </w:r>
          </w:p>
        </w:tc>
      </w:tr>
      <w:tr>
        <w:trPr>
          <w:trHeight w:val="234"/>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leased space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Sydney and Tokyo</w:t>
            </w:r>
          </w:p>
        </w:tc>
      </w:tr>
    </w:tbl>
    <w:p>
      <w:pPr>
        <w:spacing w:after="0" w:line="30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80" w:firstLine="598"/>
        <w:spacing w:after="0" w:line="256" w:lineRule="auto"/>
        <w:rPr>
          <w:sz w:val="20"/>
          <w:szCs w:val="20"/>
          <w:color w:val="auto"/>
        </w:rPr>
      </w:pP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9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Class A common stock is traded on The New York Stock Exchange under the symbol “LAZ.”</w:t>
      </w:r>
    </w:p>
    <w:p>
      <w:pPr>
        <w:spacing w:after="0" w:line="225" w:lineRule="exact"/>
        <w:rPr>
          <w:sz w:val="20"/>
          <w:szCs w:val="20"/>
          <w:color w:val="auto"/>
        </w:rPr>
      </w:pPr>
    </w:p>
    <w:p>
      <w:pPr>
        <w:ind w:right="840" w:firstLine="598"/>
        <w:spacing w:after="0" w:line="282" w:lineRule="auto"/>
        <w:rPr>
          <w:sz w:val="20"/>
          <w:szCs w:val="20"/>
          <w:color w:val="auto"/>
        </w:rPr>
      </w:pPr>
      <w:r>
        <w:rPr>
          <w:rFonts w:ascii="Times New Roman" w:cs="Times New Roman" w:eastAsia="Times New Roman" w:hAnsi="Times New Roman"/>
          <w:sz w:val="18"/>
          <w:szCs w:val="18"/>
          <w:color w:val="auto"/>
        </w:rPr>
        <w:t>As of February 1, 2019, there were approximately 24 holders of record of our Class A common stock. This does not include the number of shareholders that hold shares in “street-name” through banks or broker-dealers.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February 1, 2019, the last reported sales price for our Class A common stock on the New York Stock Exchange was $40.40 per share.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 in the Fourth Quarter of 2018</w:t>
      </w:r>
    </w:p>
    <w:p>
      <w:pPr>
        <w:spacing w:after="0" w:line="121"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Lazard’s purchases of its Class A common stock on a monthly basis during the fourth quarter of 2018. Share repurchases are recorded on a trade date basis.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1460" w:type="dxa"/>
            <w:vAlign w:val="bottom"/>
            <w:gridSpan w:val="2"/>
            <w:vMerge w:val="restart"/>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60" w:type="dxa"/>
            <w:vAlign w:val="bottom"/>
          </w:tcPr>
          <w:p>
            <w:pPr>
              <w:spacing w:after="0"/>
              <w:rPr>
                <w:sz w:val="12"/>
                <w:szCs w:val="12"/>
                <w:color w:val="auto"/>
              </w:rPr>
            </w:pPr>
          </w:p>
        </w:tc>
        <w:tc>
          <w:tcPr>
            <w:tcW w:w="14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60" w:type="dxa"/>
            <w:vAlign w:val="bottom"/>
          </w:tcPr>
          <w:p>
            <w:pPr>
              <w:spacing w:after="0"/>
              <w:rPr>
                <w:sz w:val="12"/>
                <w:szCs w:val="12"/>
                <w:color w:val="auto"/>
              </w:rPr>
            </w:pPr>
          </w:p>
        </w:tc>
        <w:tc>
          <w:tcPr>
            <w:tcW w:w="14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60" w:type="dxa"/>
            <w:vAlign w:val="bottom"/>
          </w:tcPr>
          <w:p>
            <w:pPr>
              <w:spacing w:after="0"/>
              <w:rPr>
                <w:sz w:val="12"/>
                <w:szCs w:val="12"/>
                <w:color w:val="auto"/>
              </w:rPr>
            </w:pPr>
          </w:p>
        </w:tc>
        <w:tc>
          <w:tcPr>
            <w:tcW w:w="14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60" w:type="dxa"/>
            <w:vAlign w:val="bottom"/>
          </w:tcPr>
          <w:p>
            <w:pPr>
              <w:spacing w:after="0"/>
              <w:rPr>
                <w:sz w:val="12"/>
                <w:szCs w:val="12"/>
                <w:color w:val="auto"/>
              </w:rPr>
            </w:pPr>
          </w:p>
        </w:tc>
        <w:tc>
          <w:tcPr>
            <w:tcW w:w="14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5520" w:type="dxa"/>
            <w:vAlign w:val="bottom"/>
            <w:gridSpan w:val="2"/>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0" w:type="dxa"/>
            <w:vAlign w:val="bottom"/>
          </w:tcPr>
          <w:p>
            <w:pPr>
              <w:spacing w:after="0"/>
              <w:rPr>
                <w:sz w:val="15"/>
                <w:szCs w:val="15"/>
                <w:color w:val="auto"/>
              </w:rPr>
            </w:pPr>
          </w:p>
        </w:tc>
        <w:tc>
          <w:tcPr>
            <w:tcW w:w="146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October 1 – October 31, 2018</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42.52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513.9</w:t>
            </w: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47.83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1 – November 30, 2018</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2,850,000</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39.75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2,850,000</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400.7</w:t>
            </w:r>
          </w:p>
        </w:tc>
        <w:tc>
          <w:tcPr>
            <w:tcW w:w="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40.01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1 – December 31, 2018</w:t>
            </w: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2,903,863</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36.21</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2,903,863</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295.5</w:t>
            </w: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38.97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Repurchase Program (1)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6,408,863</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38.43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6,408,863</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295.5</w:t>
            </w:r>
          </w:p>
        </w:tc>
        <w:tc>
          <w:tcPr>
            <w:tcW w:w="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Transactions (2)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20,567</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42.66</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1150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6" w:lineRule="exact"/>
        <w:rPr>
          <w:sz w:val="20"/>
          <w:szCs w:val="20"/>
          <w:color w:val="auto"/>
        </w:rPr>
      </w:pPr>
    </w:p>
    <w:p>
      <w:pPr>
        <w:ind w:left="600" w:right="200" w:hanging="592"/>
        <w:spacing w:after="0" w:line="270"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2018 and since 2015, the Board of Directors of Lazard authorized the repurchase of Class A common stock as set forth in the table below.</w:t>
      </w:r>
    </w:p>
    <w:tbl>
      <w:tblPr>
        <w:tblLayout w:type="fixed"/>
        <w:tblInd w:w="1140" w:type="dxa"/>
        <w:tblCellMar>
          <w:top w:w="0" w:type="dxa"/>
          <w:left w:w="0" w:type="dxa"/>
          <w:bottom w:w="0" w:type="dxa"/>
          <w:right w:w="0" w:type="dxa"/>
        </w:tblCellMar>
      </w:tblPr>
      <w:tr>
        <w:trPr>
          <w:trHeight w:val="149"/>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5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53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Authorization</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2015</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2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8"/>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January 2016</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20" w:type="dxa"/>
            <w:vAlign w:val="bottom"/>
          </w:tcPr>
          <w:p>
            <w:pPr>
              <w:spacing w:after="0"/>
              <w:rPr>
                <w:sz w:val="19"/>
                <w:szCs w:val="19"/>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2016</w:t>
            </w:r>
          </w:p>
        </w:tc>
        <w:tc>
          <w:tcPr>
            <w:tcW w:w="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113,182</w:t>
            </w:r>
          </w:p>
        </w:tc>
        <w:tc>
          <w:tcPr>
            <w:tcW w:w="420" w:type="dxa"/>
            <w:vAlign w:val="bottom"/>
            <w:shd w:val="clear" w:color="auto" w:fill="CFF0FC"/>
          </w:tcPr>
          <w:p>
            <w:pPr>
              <w:spacing w:after="0"/>
              <w:rPr>
                <w:sz w:val="19"/>
                <w:szCs w:val="19"/>
                <w:color w:val="auto"/>
              </w:rPr>
            </w:pPr>
          </w:p>
        </w:tc>
        <w:tc>
          <w:tcPr>
            <w:tcW w:w="1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8"/>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November 2016</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236,000</w:t>
            </w:r>
          </w:p>
        </w:tc>
        <w:tc>
          <w:tcPr>
            <w:tcW w:w="420" w:type="dxa"/>
            <w:vAlign w:val="bottom"/>
          </w:tcPr>
          <w:p>
            <w:pPr>
              <w:spacing w:after="0"/>
              <w:rPr>
                <w:sz w:val="19"/>
                <w:szCs w:val="19"/>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December 31,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2017</w:t>
            </w:r>
          </w:p>
        </w:tc>
        <w:tc>
          <w:tcPr>
            <w:tcW w:w="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20" w:type="dxa"/>
            <w:vAlign w:val="bottom"/>
            <w:shd w:val="clear" w:color="auto" w:fill="CFF0FC"/>
          </w:tcPr>
          <w:p>
            <w:pPr>
              <w:spacing w:after="0"/>
              <w:rPr>
                <w:sz w:val="19"/>
                <w:szCs w:val="19"/>
                <w:color w:val="auto"/>
              </w:rPr>
            </w:pPr>
          </w:p>
        </w:tc>
        <w:tc>
          <w:tcPr>
            <w:tcW w:w="1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8"/>
              </w:rPr>
              <w:t>December 31,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April 2018</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20" w:type="dxa"/>
            <w:vAlign w:val="bottom"/>
          </w:tcPr>
          <w:p>
            <w:pPr>
              <w:spacing w:after="0"/>
              <w:rPr>
                <w:sz w:val="19"/>
                <w:szCs w:val="19"/>
                <w:color w:val="auto"/>
              </w:rPr>
            </w:pPr>
          </w:p>
        </w:tc>
        <w:tc>
          <w:tcPr>
            <w:tcW w:w="15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December 31,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2018</w:t>
            </w:r>
          </w:p>
        </w:tc>
        <w:tc>
          <w:tcPr>
            <w:tcW w:w="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20" w:type="dxa"/>
            <w:vAlign w:val="bottom"/>
            <w:shd w:val="clear" w:color="auto" w:fill="CFF0FC"/>
          </w:tcPr>
          <w:p>
            <w:pPr>
              <w:spacing w:after="0"/>
              <w:rPr>
                <w:sz w:val="19"/>
                <w:szCs w:val="19"/>
                <w:color w:val="auto"/>
              </w:rPr>
            </w:pPr>
          </w:p>
        </w:tc>
        <w:tc>
          <w:tcPr>
            <w:tcW w:w="1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8"/>
              </w:rPr>
              <w:t>December 31, 2020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0" w:right="160"/>
        <w:spacing w:after="0" w:line="266" w:lineRule="auto"/>
        <w:rPr>
          <w:sz w:val="20"/>
          <w:szCs w:val="20"/>
          <w:color w:val="auto"/>
        </w:rPr>
      </w:pPr>
      <w:r>
        <w:rPr>
          <w:rFonts w:ascii="Times New Roman" w:cs="Times New Roman" w:eastAsia="Times New Roman" w:hAnsi="Times New Roman"/>
          <w:sz w:val="18"/>
          <w:szCs w:val="18"/>
          <w:color w:val="auto"/>
        </w:rPr>
        <w:t>In addition, on February 4, 2019, the Board of Directors of Lazard authorized the repurchase of up to $300 million of additional shares of Class A common stock, which authorization will expire on December 31, 2020, bringing the total available share repurchase authorization as of February 4, 2019 to approximately $510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3" w:name="page34"/>
    <w:bookmarkEnd w:id="33"/>
    <w:p>
      <w:pPr>
        <w:ind w:left="600" w:right="60"/>
        <w:spacing w:after="0" w:line="256" w:lineRule="auto"/>
        <w:rPr>
          <w:sz w:val="20"/>
          <w:szCs w:val="20"/>
          <w:color w:val="auto"/>
        </w:rPr>
      </w:pPr>
      <w:r>
        <w:rPr>
          <w:rFonts w:ascii="Times New Roman" w:cs="Times New Roman" w:eastAsia="Times New Roman" w:hAnsi="Times New Roman"/>
          <w:sz w:val="18"/>
          <w:szCs w:val="18"/>
          <w:color w:val="auto"/>
        </w:rPr>
        <w:t>A significant portion of the Company’s purchases under the share repurchase program are used to offset a portion of the shares that have been or will be issued under Lazard Ltd’s 2008 Incentive Compensation Plan (the” 2008 Plan”) and 2018 Incentive Compensation Plan (the “2018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12" w:lineRule="exact"/>
        <w:rPr>
          <w:sz w:val="20"/>
          <w:szCs w:val="20"/>
          <w:color w:val="auto"/>
        </w:rPr>
      </w:pPr>
    </w:p>
    <w:p>
      <w:pPr>
        <w:ind w:left="600" w:right="40" w:hanging="592"/>
        <w:spacing w:after="0" w:line="258" w:lineRule="auto"/>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2008 Plan and the 2018 Plan, upon the vesting of RSUs, PRSUs, deferred stock units (“DSUs”) and delivery of restricted or other Class A common stock, shares of Class A common stock may be withheld by the Company to meet the minimum statutory tax withholding requirements. During the three month period ended December 31, 2018, the Company satisfied such obligations in lieu of issuing (i) 10,616 shares of Class A common stock upon the vesting or settlement of 102,859 RSUs and PRSUs and (ii) 9,951 shares of Class A common stock upon the vesting of 21,809 shares of restricted Class A common stock.</w:t>
      </w:r>
    </w:p>
    <w:p>
      <w:pPr>
        <w:spacing w:after="0" w:line="184" w:lineRule="exact"/>
        <w:rPr>
          <w:sz w:val="20"/>
          <w:szCs w:val="20"/>
          <w:color w:val="auto"/>
        </w:rPr>
      </w:pPr>
    </w:p>
    <w:p>
      <w:pPr>
        <w:ind w:right="280" w:firstLine="59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the Company had in place trading plans under Rule 10b5-1 of the Securities Exchange Act of 1934, as amended (the “Exchange Act”), pursuant to which it effected stock repurchases in the open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360" w:firstLine="598"/>
        <w:spacing w:after="0" w:line="282" w:lineRule="auto"/>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Matters—Equity Compensation Plan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w:t>
      </w:r>
    </w:p>
    <w:p>
      <w:pPr>
        <w:spacing w:after="0" w:line="121"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The stock performance graph below compares the performance of an investment in our Class A common stock, from December 31, 2013 through December 31, 2018, with that of the S&amp;P 500 Index and the S&amp;P Financial Index. The graph assumes $100 was invested at the close of business on December 31, 2013 in each of our Class A common stock, the S&amp;P 500 Index and the S&amp;P Financial Index. It also assumes that dividends were reinvested on the date of payment without payment of any commissions. The performance shown in the graph represents past performance and should not be considered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265430</wp:posOffset>
            </wp:positionV>
            <wp:extent cx="5342890" cy="2058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289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4" w:name="page35"/>
    <w:bookmarkEnd w:id="34"/>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selected consolidated financial data for the Company for all years presented.</w:t>
      </w:r>
    </w:p>
    <w:p>
      <w:pPr>
        <w:spacing w:after="0" w:line="225"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The consolidated statements of financial condition and operations data as of and for each of the years in the five-year period ended December 31, 2018 have been derived from Lazard Ltd’s consolidated financial statements. The audited consolidated statements of financial condition as of December 31, 2018 and 2017 and audited consolidated statements of operations for each of the years in the three year period ended December 31, 2018 are included in this Form 10-K. The audited consolidated statements of financial condition as of December 31, 2016, 2015 and 2014, and the audited consolidated statements of operations for the years ended December 31, 2015 and 2014, are not included in this Form 10-K. Historical results should not be considered an indication of results for any future period.</w:t>
      </w:r>
    </w:p>
    <w:p>
      <w:pPr>
        <w:spacing w:after="0" w:line="188" w:lineRule="exact"/>
        <w:rPr>
          <w:sz w:val="20"/>
          <w:szCs w:val="20"/>
          <w:color w:val="auto"/>
        </w:rPr>
      </w:pPr>
    </w:p>
    <w:p>
      <w:pPr>
        <w:ind w:right="280" w:firstLine="598"/>
        <w:spacing w:after="0" w:line="282" w:lineRule="auto"/>
        <w:rPr>
          <w:sz w:val="20"/>
          <w:szCs w:val="20"/>
          <w:color w:val="auto"/>
        </w:rPr>
      </w:pPr>
      <w:r>
        <w:rPr>
          <w:rFonts w:ascii="Times New Roman" w:cs="Times New Roman" w:eastAsia="Times New Roman" w:hAnsi="Times New Roman"/>
          <w:sz w:val="18"/>
          <w:szCs w:val="18"/>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17" w:right="3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Or For The Year Ended December 31,</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20" w:type="dxa"/>
            <w:vAlign w:val="bottom"/>
            <w:gridSpan w:val="8"/>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 except for per share amounts)</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 (a)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Financial Advisory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1,555,526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1,387,682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1,301,044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1,279,628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Asset Management (b)</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1,331,801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1,255,820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1,051,316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1,111,105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Corporate (c)</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(60,975)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(18,989)</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(37,125)</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(40,882)</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2,826,352</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2,644,311</w:t>
            </w:r>
          </w:p>
        </w:tc>
        <w:tc>
          <w:tcPr>
            <w:tcW w:w="2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2,333,371</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2,353,608</w:t>
            </w:r>
          </w:p>
        </w:tc>
        <w:tc>
          <w:tcPr>
            <w:tcW w:w="2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2,300,447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1,514,735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1,512,873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1,340,543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1,319,746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1,313,606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Operating Expenses (d)</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630,851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305,992</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475,367</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1,050,482</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467,376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2,145,586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1,818,865</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1,815,910</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2,370,228</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1,780,982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680,766</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825,446</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517,461</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(16,620)</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519,465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532,449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259,847</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393,692</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992,932</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434,063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Attributable to Lazard Ltd</w:t>
            </w: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FF0FC"/>
            </w:tcBorders>
            <w:vMerge w:val="continue"/>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527,125</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253,583</w:t>
            </w:r>
          </w:p>
        </w:tc>
        <w:tc>
          <w:tcPr>
            <w:tcW w:w="24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387,698</w:t>
            </w:r>
          </w:p>
        </w:tc>
        <w:tc>
          <w:tcPr>
            <w:tcW w:w="22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986,373</w:t>
            </w:r>
          </w:p>
        </w:tc>
        <w:tc>
          <w:tcPr>
            <w:tcW w:w="22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427,277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Per Share of</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Class A Common Stock:</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Per Share of Class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 Common Stock</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Financial</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Condition Data</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4,997,241</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4,928,677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4,556,508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4,477,774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Debt (e)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1,434,260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1,190,444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1,195,805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998,386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Total Lazard Ltd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916,851</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1,199,803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1,235,987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1,313,455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970,093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1,258,905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1,293,813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1,367,306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770,057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 Under Management: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As of December 31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214,734,000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249,459,000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197,910,000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186,380,000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197,103,000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Average During Year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241,247,000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226,525,000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194,808,000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195,987,000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196,037,000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Total Headcount, As of December 31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1150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(in thousands of dollars)</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0" w:right="180" w:hanging="592"/>
        <w:spacing w:after="0" w:line="282"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and other operating expenses data for the year ended December 31, 2018 are not comparable to the prior periods due to the adoption of the new revenue recognition guidance on January 1, 2018 (see Note 3 of Notes to Consolidated Financial Statements).</w:t>
      </w:r>
    </w:p>
    <w:p>
      <w:pPr>
        <w:spacing w:after="0" w:line="13"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net revenue consists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Fees and Other</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1,311,286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1,210,016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1,035,726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1,086,030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1,082,729</w:t>
            </w:r>
          </w:p>
        </w:tc>
        <w:tc>
          <w:tcPr>
            <w:tcW w:w="100" w:type="dxa"/>
            <w:vAlign w:val="bottom"/>
            <w:shd w:val="clear" w:color="auto" w:fill="CFF0FC"/>
          </w:tcPr>
          <w:p>
            <w:pPr>
              <w:spacing w:after="0"/>
              <w:rPr>
                <w:sz w:val="18"/>
                <w:szCs w:val="18"/>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Incentive Fees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20,515</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45,804</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15,590</w:t>
            </w:r>
          </w:p>
        </w:tc>
        <w:tc>
          <w:tcPr>
            <w:tcW w:w="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25,075</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51,866</w:t>
            </w:r>
          </w:p>
        </w:tc>
        <w:tc>
          <w:tcPr>
            <w:tcW w:w="100" w:type="dxa"/>
            <w:vAlign w:val="bottom"/>
            <w:tcBorders>
              <w:bottom w:val="single" w:sz="8" w:color="CFF0FC"/>
            </w:tcBorders>
          </w:tcPr>
          <w:p>
            <w:pPr>
              <w:spacing w:after="0"/>
              <w:rPr>
                <w:sz w:val="18"/>
                <w:szCs w:val="18"/>
                <w:color w:val="auto"/>
              </w:rPr>
            </w:pPr>
          </w:p>
        </w:tc>
      </w:tr>
      <w:tr>
        <w:trPr>
          <w:trHeight w:val="210"/>
        </w:trPr>
        <w:tc>
          <w:tcPr>
            <w:tcW w:w="52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Asset Management Net Revenue</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1,331,801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1,255,820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1,051,316</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1,111,105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1,134,595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 w:lineRule="exact"/>
        <w:rPr>
          <w:sz w:val="20"/>
          <w:szCs w:val="20"/>
          <w:color w:val="auto"/>
        </w:rPr>
      </w:pPr>
    </w:p>
    <w:p>
      <w:pPr>
        <w:ind w:left="600" w:hanging="592"/>
        <w:spacing w:after="0"/>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includes interest expense (net of interest income) and investment income (losses) from certain investments.</w:t>
      </w:r>
    </w:p>
    <w:p>
      <w:pPr>
        <w:spacing w:after="0" w:line="49" w:lineRule="exact"/>
        <w:rPr>
          <w:rFonts w:ascii="Times New Roman" w:cs="Times New Roman" w:eastAsia="Times New Roman" w:hAnsi="Times New Roman"/>
          <w:sz w:val="18"/>
          <w:szCs w:val="18"/>
          <w:color w:val="auto"/>
        </w:rPr>
      </w:pPr>
    </w:p>
    <w:p>
      <w:pPr>
        <w:ind w:left="600" w:right="140" w:hanging="592"/>
        <w:spacing w:after="0" w:line="255"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in 2018, non-compensation costs of $27,495 relating to expenses associated with the Enterprise Resource Planning system implementation; $2,345 of incremental rent expense relating to office space reorganization; $120,995 of certain distribution fees and reimbursable deal costs paid to third parties and bad debt expense, which represents fees that are deemed uncollectible; $10,000 relating to expenses associated with an unconditional commitment to the Lazard Foundation (see Note 19 of Notes to Consolidated Financial Statements); $6,495 relating to the benefit pursuant to the tax receivable agreement (see Note 19 of Notes to Consolidated Financial Statements); and $6,523 relating to the partial redemption of the Company’s 4.25% senior notes maturing on November 14, 2020 (see Note 12 of Notes to Consolidated Financial Statements), (ii) in 2017, non-compensation costs of $25,308 relating to expenses associated with the Enterprise Resource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p>
      <w:pPr>
        <w:ind w:left="592"/>
        <w:spacing w:after="0"/>
        <w:rPr>
          <w:sz w:val="20"/>
          <w:szCs w:val="20"/>
          <w:color w:val="auto"/>
        </w:rPr>
      </w:pPr>
      <w:r>
        <w:rPr>
          <w:rFonts w:ascii="Times New Roman" w:cs="Times New Roman" w:eastAsia="Times New Roman" w:hAnsi="Times New Roman"/>
          <w:sz w:val="18"/>
          <w:szCs w:val="18"/>
          <w:color w:val="auto"/>
        </w:rPr>
        <w:t>Planning system implementation; $11,354 of incremental rent expense and lease abandonment costs relating to office space reorganization; and</w:t>
      </w:r>
    </w:p>
    <w:p>
      <w:pPr>
        <w:spacing w:after="0" w:line="27" w:lineRule="exact"/>
        <w:rPr>
          <w:sz w:val="20"/>
          <w:szCs w:val="20"/>
          <w:color w:val="auto"/>
        </w:rPr>
      </w:pPr>
    </w:p>
    <w:p>
      <w:pPr>
        <w:ind w:left="592"/>
        <w:spacing w:after="0" w:line="252" w:lineRule="auto"/>
        <w:rPr>
          <w:sz w:val="20"/>
          <w:szCs w:val="20"/>
          <w:color w:val="auto"/>
        </w:rPr>
      </w:pPr>
      <w:r>
        <w:rPr>
          <w:rFonts w:ascii="Times New Roman" w:cs="Times New Roman" w:eastAsia="Times New Roman" w:hAnsi="Times New Roman"/>
          <w:sz w:val="18"/>
          <w:szCs w:val="18"/>
          <w:color w:val="auto"/>
        </w:rPr>
        <w:t>$202,546 relating to the benefit pursuant to the tax receivable agreement (see Note 19 of Notes to Consolidated Financial Statements), (iii) in 2016, non-compensation costs of $30,067 due to the change in fair value of the contingent consideration associated with the Edgewater business acquisition, (iv) in 2015, non-compensation costs of $547,691 relating to the provision pursuant to the tax receivable agreement; $60,219 relating to the redemption of a significant portion of the Company’s 6.85% senior notes maturing on June 15, 2017 and $1,114 of expenses relating to the partial extinguishment of the tax receivable obligation and (v) in 2014, non-compensation costs of $18,307 relating to the provision pursuant to tax receivable agreement.</w:t>
      </w:r>
    </w:p>
    <w:p>
      <w:pPr>
        <w:spacing w:after="0" w:line="15" w:lineRule="exact"/>
        <w:rPr>
          <w:sz w:val="20"/>
          <w:szCs w:val="20"/>
          <w:color w:val="auto"/>
        </w:rPr>
      </w:pPr>
    </w:p>
    <w:p>
      <w:pPr>
        <w:ind w:left="592" w:right="180" w:hanging="592"/>
        <w:spacing w:after="0" w:line="282" w:lineRule="auto"/>
        <w:tabs>
          <w:tab w:leader="none" w:pos="5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amount reflected in the Company’s consolidated statements of financial condition relating to senior debt and capital lease obligations.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52"/>
          </w:cols>
          <w:pgMar w:left="248" w:top="121" w:right="299" w:bottom="1440" w:gutter="0" w:footer="0" w:header="0"/>
        </w:sectPr>
      </w:pPr>
    </w:p>
    <w:bookmarkStart w:id="37" w:name="page38"/>
    <w:bookmarkEnd w:id="37"/>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60"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Lazard Ltd’s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sections entitled “Risk Factors” and “Special Note Regarding Forward-Looking Statements” and elsewhere in this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21"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0" w:lineRule="exact"/>
        <w:rPr>
          <w:sz w:val="20"/>
          <w:szCs w:val="20"/>
          <w:color w:val="auto"/>
        </w:rPr>
      </w:pPr>
    </w:p>
    <w:p>
      <w:pPr>
        <w:jc w:val="both"/>
        <w:ind w:right="100" w:firstLine="598"/>
        <w:spacing w:after="0" w:line="266" w:lineRule="auto"/>
        <w:rPr>
          <w:sz w:val="20"/>
          <w:szCs w:val="20"/>
          <w:color w:val="auto"/>
        </w:rPr>
      </w:pPr>
      <w:r>
        <w:rPr>
          <w:rFonts w:ascii="Times New Roman" w:cs="Times New Roman" w:eastAsia="Times New Roman" w:hAnsi="Times New Roman"/>
          <w:sz w:val="18"/>
          <w:szCs w:val="18"/>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76" w:lineRule="exact"/>
        <w:rPr>
          <w:sz w:val="20"/>
          <w:szCs w:val="20"/>
          <w:color w:val="auto"/>
        </w:rPr>
      </w:pPr>
    </w:p>
    <w:p>
      <w:pPr>
        <w:ind w:right="160" w:firstLine="598"/>
        <w:spacing w:after="0" w:line="261" w:lineRule="auto"/>
        <w:rPr>
          <w:sz w:val="20"/>
          <w:szCs w:val="20"/>
          <w:color w:val="auto"/>
        </w:rPr>
      </w:pPr>
      <w:r>
        <w:rPr>
          <w:rFonts w:ascii="Times New Roman" w:cs="Times New Roman" w:eastAsia="Times New Roman" w:hAnsi="Times New Roman"/>
          <w:sz w:val="18"/>
          <w:szCs w:val="18"/>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principal sources of revenue are derived from activities in the following business segments:</w:t>
      </w:r>
    </w:p>
    <w:p>
      <w:pPr>
        <w:spacing w:after="0" w:line="117" w:lineRule="exact"/>
        <w:rPr>
          <w:sz w:val="20"/>
          <w:szCs w:val="20"/>
          <w:color w:val="auto"/>
        </w:rPr>
      </w:pPr>
    </w:p>
    <w:p>
      <w:pPr>
        <w:ind w:left="1200" w:right="240" w:hanging="598"/>
        <w:spacing w:after="0" w:line="266" w:lineRule="auto"/>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and</w:t>
      </w:r>
    </w:p>
    <w:p>
      <w:pPr>
        <w:spacing w:after="0" w:line="68" w:lineRule="exact"/>
        <w:rPr>
          <w:rFonts w:ascii="Times New Roman" w:cs="Times New Roman" w:eastAsia="Times New Roman" w:hAnsi="Times New Roman"/>
          <w:sz w:val="18"/>
          <w:szCs w:val="18"/>
          <w:color w:val="auto"/>
        </w:rPr>
      </w:pPr>
    </w:p>
    <w:p>
      <w:pPr>
        <w:ind w:left="1200" w:right="500" w:hanging="598"/>
        <w:spacing w:after="0" w:line="266" w:lineRule="auto"/>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76" w:lineRule="exact"/>
        <w:rPr>
          <w:sz w:val="20"/>
          <w:szCs w:val="20"/>
          <w:color w:val="auto"/>
        </w:rPr>
      </w:pPr>
    </w:p>
    <w:p>
      <w:pPr>
        <w:ind w:right="40" w:firstLine="598"/>
        <w:spacing w:after="0" w:line="266"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consolidated net revenue was derived from the following segments:</w:t>
      </w:r>
    </w:p>
    <w:p>
      <w:pPr>
        <w:spacing w:after="0" w:line="30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57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Advisory</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w:t>
            </w:r>
          </w:p>
        </w:tc>
        <w:tc>
          <w:tcPr>
            <w:tcW w:w="8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36</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38" w:name="page39"/>
    <w:bookmarkEnd w:id="38"/>
    <w:p>
      <w:pPr>
        <w:ind w:right="160" w:firstLine="598"/>
        <w:spacing w:after="0" w:line="261" w:lineRule="auto"/>
        <w:rPr>
          <w:sz w:val="20"/>
          <w:szCs w:val="20"/>
          <w:color w:val="auto"/>
        </w:rPr>
      </w:pPr>
      <w:r>
        <w:rPr>
          <w:rFonts w:ascii="Times New Roman" w:cs="Times New Roman" w:eastAsia="Times New Roman" w:hAnsi="Times New Roman"/>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and (ii) a fund targeting significant noncontrolling-stake investments in established private companies. We also make investments to seed our Asset Management strategies.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Outlook</w:t>
      </w:r>
    </w:p>
    <w:p>
      <w:pPr>
        <w:spacing w:after="0" w:line="121" w:lineRule="exact"/>
        <w:rPr>
          <w:sz w:val="20"/>
          <w:szCs w:val="20"/>
          <w:color w:val="auto"/>
        </w:rPr>
      </w:pPr>
    </w:p>
    <w:p>
      <w:pPr>
        <w:ind w:right="160" w:firstLine="598"/>
        <w:spacing w:after="0" w:line="258" w:lineRule="auto"/>
        <w:rPr>
          <w:sz w:val="20"/>
          <w:szCs w:val="20"/>
          <w:color w:val="auto"/>
        </w:rPr>
      </w:pPr>
      <w:r>
        <w:rPr>
          <w:rFonts w:ascii="Times New Roman" w:cs="Times New Roman" w:eastAsia="Times New Roman" w:hAnsi="Times New Roman"/>
          <w:sz w:val="18"/>
          <w:szCs w:val="18"/>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assets under management,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84" w:lineRule="exact"/>
        <w:rPr>
          <w:sz w:val="20"/>
          <w:szCs w:val="20"/>
          <w:color w:val="auto"/>
        </w:rPr>
      </w:pPr>
    </w:p>
    <w:p>
      <w:pPr>
        <w:ind w:right="80" w:firstLine="598"/>
        <w:spacing w:after="0" w:line="266" w:lineRule="auto"/>
        <w:rPr>
          <w:sz w:val="20"/>
          <w:szCs w:val="20"/>
          <w:color w:val="auto"/>
        </w:rPr>
      </w:pPr>
      <w:r>
        <w:rPr>
          <w:rFonts w:ascii="Times New Roman" w:cs="Times New Roman" w:eastAsia="Times New Roman" w:hAnsi="Times New Roman"/>
          <w:sz w:val="18"/>
          <w:szCs w:val="18"/>
          <w:color w:val="auto"/>
        </w:rPr>
        <w:t>On an ongoing basis, regional, macroeconomic and geopolitical factors, including trade policy and regional tax and regulatory reform, may impact our business. The U.S. economy remains healthy. The European economy’s growth rate has slowed, but it is still growing. Emerging markets as a group have experienced significant capital markets volatility. Global borrowing costs remain low.</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outlook with respect to our Financial Advisory and Asset Management businesses is described below.</w:t>
      </w:r>
    </w:p>
    <w:p>
      <w:pPr>
        <w:spacing w:after="0" w:line="113" w:lineRule="exact"/>
        <w:rPr>
          <w:sz w:val="20"/>
          <w:szCs w:val="20"/>
          <w:color w:val="auto"/>
        </w:rPr>
      </w:pPr>
    </w:p>
    <w:p>
      <w:pPr>
        <w:ind w:left="1200" w:right="60" w:hanging="598"/>
        <w:spacing w:after="0" w:line="275" w:lineRule="auto"/>
        <w:tabs>
          <w:tab w:leader="none" w:pos="12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Financial Advisory</w:t>
      </w:r>
      <w:r>
        <w:rPr>
          <w:rFonts w:ascii="Times New Roman" w:cs="Times New Roman" w:eastAsia="Times New Roman" w:hAnsi="Times New Roman"/>
          <w:sz w:val="17"/>
          <w:szCs w:val="17"/>
          <w:color w:val="auto"/>
        </w:rPr>
        <w:t>—The fundamentals for continued M&amp;A activity appear to remain in place. We believe our Financial Advisory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is in a strong competitive position as demand continues for expert, independent strategic advice that can be levered across geographies and our range of capabilities. The global scale and breadth of our Financial Advisory business allows us to advise on large, complex cross-border transactions and restructuring transactions across a variety of industries. In addition, we believe our businesses throughout the emerging markets position us for growth in these markets, while enhancing our relationships with, and the services that we can provide to, clients in other economies. We continue to invest for growth in our Financial Advisory business and to hire talented senior professionals selectively.</w:t>
      </w:r>
    </w:p>
    <w:p>
      <w:pPr>
        <w:spacing w:after="0" w:line="60" w:lineRule="exact"/>
        <w:rPr>
          <w:rFonts w:ascii="Times New Roman" w:cs="Times New Roman" w:eastAsia="Times New Roman" w:hAnsi="Times New Roman"/>
          <w:sz w:val="17"/>
          <w:szCs w:val="17"/>
          <w:color w:val="auto"/>
        </w:rPr>
      </w:pPr>
    </w:p>
    <w:p>
      <w:pPr>
        <w:ind w:left="1200" w:right="100" w:hanging="598"/>
        <w:spacing w:after="0" w:line="255" w:lineRule="auto"/>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Asset Management</w:t>
      </w:r>
      <w:r>
        <w:rPr>
          <w:rFonts w:ascii="Times New Roman" w:cs="Times New Roman" w:eastAsia="Times New Roman" w:hAnsi="Times New Roman"/>
          <w:sz w:val="18"/>
          <w:szCs w:val="18"/>
          <w:color w:val="auto"/>
        </w:rPr>
        <w:t>—In the short to intermediate term, we expect most investor demand will come from defined benefit and 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 plans in the developed economies because of their sheer scope and size. Over the longer term, and depending upon local market conditions, we would expect an increasing share of our AUM to come from the developing economies around the globe, as their retirement systems evolve and individual wealth is increasingly deployed in the financial markets.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various Multi-Asset strategies, an International Value strategy, a Global Equity Franchise strategy, and a Market Neutral Quantitative Equity strategy.</w:t>
      </w:r>
    </w:p>
    <w:p>
      <w:pPr>
        <w:spacing w:after="0" w:line="186"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84" w:lineRule="exact"/>
        <w:rPr>
          <w:sz w:val="20"/>
          <w:szCs w:val="20"/>
          <w:color w:val="auto"/>
        </w:rPr>
      </w:pPr>
    </w:p>
    <w:p>
      <w:pPr>
        <w:ind w:right="520" w:firstLine="598"/>
        <w:spacing w:after="0" w:line="266" w:lineRule="auto"/>
        <w:rPr>
          <w:sz w:val="20"/>
          <w:szCs w:val="20"/>
          <w:color w:val="auto"/>
        </w:rPr>
      </w:pPr>
      <w:r>
        <w:rPr>
          <w:rFonts w:ascii="Times New Roman" w:cs="Times New Roman" w:eastAsia="Times New Roman" w:hAnsi="Times New Roman"/>
          <w:sz w:val="18"/>
          <w:szCs w:val="18"/>
          <w:color w:val="auto"/>
        </w:rPr>
        <w:t>Overall, we continue to focus on the development of our business, including the generation of stable revenue growth, earnings growth and shareholder returns, the evaluation of potential growth opportunities, the investment in new technology to support the development of existing and new business opportunities, the prudent management of our costs and expenses, the efficient use of our assets and the return of capital to our shareholders.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left="600"/>
        <w:spacing w:after="0"/>
        <w:rPr>
          <w:sz w:val="20"/>
          <w:szCs w:val="20"/>
          <w:color w:val="auto"/>
        </w:rPr>
      </w:pPr>
      <w:r>
        <w:rPr>
          <w:rFonts w:ascii="Times New Roman" w:cs="Times New Roman" w:eastAsia="Times New Roman" w:hAnsi="Times New Roman"/>
          <w:sz w:val="18"/>
          <w:szCs w:val="18"/>
          <w:color w:val="auto"/>
        </w:rPr>
        <w:t>Certain data with respect to our Financial Advisory and Asset Management businesses is included below.</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w:t>
      </w:r>
    </w:p>
    <w:p>
      <w:pPr>
        <w:spacing w:after="0" w:line="121" w:lineRule="exact"/>
        <w:rPr>
          <w:sz w:val="20"/>
          <w:szCs w:val="20"/>
          <w:color w:val="auto"/>
        </w:rPr>
      </w:pPr>
    </w:p>
    <w:p>
      <w:pPr>
        <w:ind w:right="140" w:firstLine="598"/>
        <w:spacing w:after="0" w:line="256" w:lineRule="auto"/>
        <w:rPr>
          <w:sz w:val="20"/>
          <w:szCs w:val="20"/>
          <w:color w:val="auto"/>
        </w:rPr>
      </w:pPr>
      <w:r>
        <w:rPr>
          <w:rFonts w:ascii="Times New Roman" w:cs="Times New Roman" w:eastAsia="Times New Roman" w:hAnsi="Times New Roman"/>
          <w:sz w:val="18"/>
          <w:szCs w:val="18"/>
          <w:color w:val="auto"/>
        </w:rPr>
        <w:t>As reflected in the following table, which sets forth global M&amp;A industry statistics, the value of all completed transactions, including the subset of completed transactions involving values greater than $500 million, increased in 2018 as compared to 2017, whereas the number of completed transactions decreased in 2018 as compared to 2017. With respect to announced M&amp;A transactions, the value of all transactions, including the subset of announced transactions involving values greater than $500 million, increased in 2018 as compared to 2017. Additionally, with respect to announced M&amp;A transactions, the number of all announced transactions decreased in 2018 as compared to 2017, while the number of announced transactions involving values greater than $500 million increased in 2018 as compared to 2017.</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Pr>
          <w:p>
            <w:pPr>
              <w:spacing w:after="0"/>
              <w:rPr>
                <w:sz w:val="11"/>
                <w:szCs w:val="11"/>
                <w:color w:val="auto"/>
              </w:rPr>
            </w:pPr>
          </w:p>
        </w:tc>
        <w:tc>
          <w:tcPr>
            <w:tcW w:w="1300" w:type="dxa"/>
            <w:vAlign w:val="bottom"/>
            <w:vMerge w:val="restart"/>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40" w:type="dxa"/>
            <w:vAlign w:val="bottom"/>
          </w:tcPr>
          <w:p>
            <w:pPr>
              <w:jc w:val="right"/>
              <w:ind w:right="37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in billions)</w:t>
            </w: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Completed M&amp;A Transactions: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deals: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6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rPr>
              <w:t>3,648</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33,244</w:t>
            </w:r>
          </w:p>
        </w:tc>
        <w:tc>
          <w:tcPr>
            <w:tcW w:w="60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40,597</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2,719</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rPr>
              <w:t>1,254</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Announced M&amp;A Transactions: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All deals: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6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3,576</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34,276</w:t>
            </w:r>
          </w:p>
        </w:tc>
        <w:tc>
          <w:tcPr>
            <w:tcW w:w="6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rPr>
              <w:t>40,413</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Value</w:t>
            </w: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6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rPr>
              <w:t>2,659</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4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Number</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600" w:type="dxa"/>
            <w:vAlign w:val="bottom"/>
          </w:tcPr>
          <w:p>
            <w:pPr>
              <w:spacing w:after="0"/>
              <w:rPr>
                <w:sz w:val="20"/>
                <w:szCs w:val="20"/>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1,245</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1150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Dealogic as of January 4, 2019.</w:t>
      </w:r>
    </w:p>
    <w:p>
      <w:pPr>
        <w:spacing w:after="0" w:line="225" w:lineRule="exact"/>
        <w:rPr>
          <w:sz w:val="20"/>
          <w:szCs w:val="20"/>
          <w:color w:val="auto"/>
        </w:rPr>
      </w:pPr>
    </w:p>
    <w:p>
      <w:pPr>
        <w:ind w:right="740" w:firstLine="598"/>
        <w:spacing w:after="0" w:line="282" w:lineRule="auto"/>
        <w:rPr>
          <w:sz w:val="20"/>
          <w:szCs w:val="20"/>
          <w:color w:val="auto"/>
        </w:rPr>
      </w:pPr>
      <w:r>
        <w:rPr>
          <w:rFonts w:ascii="Times New Roman" w:cs="Times New Roman" w:eastAsia="Times New Roman" w:hAnsi="Times New Roman"/>
          <w:sz w:val="18"/>
          <w:szCs w:val="18"/>
          <w:color w:val="auto"/>
        </w:rPr>
        <w:t>Global restructuring activity during 2018, as measured by the number of corporate defaults, decreased as compared to 2017. The number of defaulting issuers decreased to 77 in 2018, according to Moody’s Investors Service, Inc., as compared to 104 in 2017.</w:t>
      </w:r>
    </w:p>
    <w:p>
      <w:pPr>
        <w:spacing w:after="0" w:line="162"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Beginning in the first quarter of 2018, we ceased separately reporting Restructuring revenue within our Financial Advisory segment, because our Financial Advisory practices have become highly integrated, and our assignments with clients often incorporate several disciplines. We believe that presenting unified Financial Advisory revenue is a more accurate representation of our Financial Advisory business.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121" w:lineRule="exact"/>
        <w:rPr>
          <w:sz w:val="20"/>
          <w:szCs w:val="20"/>
          <w:color w:val="auto"/>
        </w:rPr>
      </w:pPr>
    </w:p>
    <w:p>
      <w:pPr>
        <w:ind w:right="500" w:firstLine="598"/>
        <w:spacing w:after="0" w:line="282" w:lineRule="auto"/>
        <w:rPr>
          <w:sz w:val="20"/>
          <w:szCs w:val="20"/>
          <w:color w:val="auto"/>
        </w:rPr>
      </w:pPr>
      <w:r>
        <w:rPr>
          <w:rFonts w:ascii="Times New Roman" w:cs="Times New Roman" w:eastAsia="Times New Roman" w:hAnsi="Times New Roman"/>
          <w:sz w:val="18"/>
          <w:szCs w:val="18"/>
          <w:color w:val="auto"/>
        </w:rPr>
        <w:t>Equity market indices for major markets at December 31, 2018 generally decreased as compared to such indices at December 31, 2017. Equity market indices for major markets at December 31, 2017 generally increased as compared to such indices at December 31, 2016.</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0" w:name="page41"/>
    <w:bookmarkEnd w:id="40"/>
    <w:p>
      <w:pPr>
        <w:ind w:right="480" w:firstLine="598"/>
        <w:spacing w:after="0" w:line="282" w:lineRule="auto"/>
        <w:rPr>
          <w:sz w:val="20"/>
          <w:szCs w:val="20"/>
          <w:color w:val="auto"/>
        </w:rPr>
      </w:pPr>
      <w:r>
        <w:rPr>
          <w:rFonts w:ascii="Times New Roman" w:cs="Times New Roman" w:eastAsia="Times New Roman" w:hAnsi="Times New Roman"/>
          <w:sz w:val="18"/>
          <w:szCs w:val="18"/>
          <w:color w:val="auto"/>
        </w:rPr>
        <w:t>The percentage change in major equity market indices (i) at December 31, 2018, as compared to such indices at December 31, 2017, and (ii) at December 31, 2017, as compared to such indices at December 31, 2016, is shown in the table below.</w:t>
      </w:r>
    </w:p>
    <w:p>
      <w:pPr>
        <w:spacing w:after="0" w:line="16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Percentage Changes</w:t>
      </w: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580" w:type="dxa"/>
        <w:tblCellMar>
          <w:top w:w="0" w:type="dxa"/>
          <w:left w:w="0" w:type="dxa"/>
          <w:bottom w:w="0" w:type="dxa"/>
          <w:right w:w="0" w:type="dxa"/>
        </w:tblCellMar>
      </w:tblPr>
      <w:tr>
        <w:trPr>
          <w:trHeight w:val="155"/>
        </w:trPr>
        <w:tc>
          <w:tcPr>
            <w:tcW w:w="692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2018 vs. 2017</w:t>
            </w:r>
          </w:p>
        </w:tc>
        <w:tc>
          <w:tcPr>
            <w:tcW w:w="2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180" w:type="dxa"/>
            <w:vAlign w:val="bottom"/>
            <w:tcBorders>
              <w:bottom w:val="single" w:sz="8" w:color="CFF0FC"/>
            </w:tcBorders>
          </w:tcPr>
          <w:p>
            <w:pPr>
              <w:spacing w:after="0"/>
              <w:rPr>
                <w:sz w:val="13"/>
                <w:szCs w:val="13"/>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MSCI World Index</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 Stoxx</w:t>
            </w:r>
          </w:p>
        </w:tc>
        <w:tc>
          <w:tcPr>
            <w:tcW w:w="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MSCI Emerging Market</w:t>
            </w:r>
          </w:p>
        </w:tc>
        <w:tc>
          <w:tcPr>
            <w:tcW w:w="6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w:t>
            </w:r>
          </w:p>
        </w:tc>
        <w:tc>
          <w:tcPr>
            <w:tcW w:w="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3" w:lineRule="exact"/>
        <w:rPr>
          <w:sz w:val="20"/>
          <w:szCs w:val="20"/>
          <w:color w:val="auto"/>
        </w:rPr>
      </w:pPr>
    </w:p>
    <w:p>
      <w:pPr>
        <w:jc w:val="both"/>
        <w:ind w:firstLine="877"/>
        <w:spacing w:after="0" w:line="272" w:lineRule="auto"/>
        <w:rPr>
          <w:sz w:val="20"/>
          <w:szCs w:val="20"/>
          <w:color w:val="auto"/>
        </w:rPr>
      </w:pPr>
      <w:r>
        <w:rPr>
          <w:rFonts w:ascii="Times New Roman" w:cs="Times New Roman" w:eastAsia="Times New Roman" w:hAnsi="Times New Roman"/>
          <w:sz w:val="17"/>
          <w:szCs w:val="17"/>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Movements in AUM during the period generally reflect the changes in equity market indices. Our AUM at December 31, 2018 decreased 14% versus AUM at December 31, 2017, primarily due to market and foreign exchange depreciation and net outflows. Average AUM for 2018 increased 6% as compared to average AUM in 2017.</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right="140" w:firstLine="598"/>
        <w:spacing w:after="0" w:line="254" w:lineRule="auto"/>
        <w:rPr>
          <w:sz w:val="20"/>
          <w:szCs w:val="20"/>
          <w:color w:val="auto"/>
        </w:rPr>
      </w:pPr>
      <w:r>
        <w:rPr>
          <w:rFonts w:ascii="Times New Roman" w:cs="Times New Roman" w:eastAsia="Times New Roman" w:hAnsi="Times New Roman"/>
          <w:sz w:val="18"/>
          <w:szCs w:val="18"/>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9" w:lineRule="exact"/>
        <w:rPr>
          <w:sz w:val="20"/>
          <w:szCs w:val="20"/>
          <w:color w:val="auto"/>
        </w:rPr>
      </w:pPr>
    </w:p>
    <w:p>
      <w:pPr>
        <w:ind w:right="20" w:firstLine="598"/>
        <w:spacing w:after="0" w:line="253" w:lineRule="auto"/>
        <w:rPr>
          <w:sz w:val="20"/>
          <w:szCs w:val="20"/>
          <w:color w:val="auto"/>
        </w:rPr>
      </w:pPr>
      <w:r>
        <w:rPr>
          <w:rFonts w:ascii="Times New Roman" w:cs="Times New Roman" w:eastAsia="Times New Roman" w:hAnsi="Times New Roman"/>
          <w:sz w:val="18"/>
          <w:szCs w:val="18"/>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higher fees earned on equity assets and alternative investment funds, such as hedge funds and private equity funds, and lower fees earned on fixed income and cash management products.</w:t>
      </w:r>
    </w:p>
    <w:p>
      <w:pPr>
        <w:spacing w:after="0" w:line="162" w:lineRule="exact"/>
        <w:rPr>
          <w:sz w:val="20"/>
          <w:szCs w:val="20"/>
          <w:color w:val="auto"/>
        </w:rPr>
      </w:pPr>
    </w:p>
    <w:p>
      <w:pPr>
        <w:ind w:right="420" w:firstLine="598"/>
        <w:spacing w:after="0" w:line="282"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w:t>
      </w:r>
    </w:p>
    <w:p>
      <w:pPr>
        <w:spacing w:after="0" w:line="162" w:lineRule="exact"/>
        <w:rPr>
          <w:sz w:val="20"/>
          <w:szCs w:val="20"/>
          <w:color w:val="auto"/>
        </w:rPr>
      </w:pPr>
    </w:p>
    <w:p>
      <w:pPr>
        <w:ind w:right="100" w:firstLine="598"/>
        <w:spacing w:after="0" w:line="256" w:lineRule="auto"/>
        <w:rPr>
          <w:sz w:val="20"/>
          <w:szCs w:val="20"/>
          <w:color w:val="auto"/>
        </w:rPr>
      </w:pPr>
      <w:r>
        <w:rPr>
          <w:rFonts w:ascii="Times New Roman" w:cs="Times New Roman" w:eastAsia="Times New Roman" w:hAnsi="Times New Roman"/>
          <w:sz w:val="18"/>
          <w:szCs w:val="18"/>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88"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0" w:lineRule="exact"/>
        <w:rPr>
          <w:sz w:val="20"/>
          <w:szCs w:val="20"/>
          <w:color w:val="auto"/>
        </w:rPr>
      </w:pPr>
    </w:p>
    <w:p>
      <w:pPr>
        <w:ind w:right="160" w:firstLine="598"/>
        <w:spacing w:after="0" w:line="258" w:lineRule="auto"/>
        <w:rPr>
          <w:sz w:val="20"/>
          <w:szCs w:val="20"/>
          <w:color w:val="auto"/>
        </w:rPr>
      </w:pPr>
      <w:r>
        <w:rPr>
          <w:rFonts w:ascii="Times New Roman" w:cs="Times New Roman" w:eastAsia="Times New Roman" w:hAnsi="Times New Roman"/>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equity securities and investments classified as “trading”, as well as due to changes in interest and currency exchange rates and in the levels of cash, investments and indebtedness.</w:t>
      </w:r>
    </w:p>
    <w:p>
      <w:pPr>
        <w:spacing w:after="0" w:line="184" w:lineRule="exact"/>
        <w:rPr>
          <w:sz w:val="20"/>
          <w:szCs w:val="20"/>
          <w:color w:val="auto"/>
        </w:rPr>
      </w:pPr>
    </w:p>
    <w:p>
      <w:pPr>
        <w:ind w:right="160" w:firstLine="598"/>
        <w:spacing w:after="0" w:line="266" w:lineRule="auto"/>
        <w:rPr>
          <w:sz w:val="20"/>
          <w:szCs w:val="20"/>
          <w:color w:val="auto"/>
        </w:rPr>
      </w:pPr>
      <w:r>
        <w:rPr>
          <w:rFonts w:ascii="Times New Roman" w:cs="Times New Roman" w:eastAsia="Times New Roman" w:hAnsi="Times New Roman"/>
          <w:sz w:val="18"/>
          <w:szCs w:val="18"/>
          <w:color w:val="auto"/>
        </w:rPr>
        <w:t>Although Corporate segment net revenue during 2018 is not significant compared to Lazard’s net revenue, total assets in the Corporate segment represented 68% of Lazard’s consolidated total assets as of December 31, 2018, which are attributable to cash and cash equivalents, investments in debt and equity securities, interests in alternative investment, debt, equity and private equity funds, deferred tax assets and certain assets associated with LFB.</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20" w:firstLine="598"/>
        <w:spacing w:after="0" w:line="255" w:lineRule="auto"/>
        <w:rPr>
          <w:sz w:val="20"/>
          <w:szCs w:val="20"/>
          <w:color w:val="auto"/>
        </w:rPr>
      </w:pPr>
      <w:r>
        <w:rPr>
          <w:rFonts w:ascii="Times New Roman" w:cs="Times New Roman" w:eastAsia="Times New Roman" w:hAnsi="Times New Roman"/>
          <w:sz w:val="18"/>
          <w:szCs w:val="18"/>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15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85"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72" w:lineRule="exact"/>
        <w:rPr>
          <w:sz w:val="20"/>
          <w:szCs w:val="20"/>
          <w:color w:val="auto"/>
        </w:rPr>
      </w:pPr>
    </w:p>
    <w:p>
      <w:pPr>
        <w:ind w:left="1200" w:right="480" w:hanging="598"/>
        <w:spacing w:after="0" w:line="282" w:lineRule="auto"/>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 incentive compensation with respect to the fiscal year, which is comprised of:</w:t>
      </w:r>
    </w:p>
    <w:p>
      <w:pPr>
        <w:spacing w:after="0" w:line="115" w:lineRule="exact"/>
        <w:rPr>
          <w:rFonts w:ascii="Times New Roman" w:cs="Times New Roman" w:eastAsia="Times New Roman" w:hAnsi="Times New Roman"/>
          <w:sz w:val="18"/>
          <w:szCs w:val="18"/>
          <w:color w:val="auto"/>
        </w:rPr>
      </w:pPr>
    </w:p>
    <w:p>
      <w:pPr>
        <w:ind w:left="1800" w:hanging="603"/>
        <w:spacing w:after="0" w:line="261" w:lineRule="auto"/>
        <w:tabs>
          <w:tab w:leader="none" w:pos="1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incentive compensation awards granted in the year-end compensation process with respect to the fiscal year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deferred incentive compensation awards granted in 2019 related to the 2018 year-end compensation process), including performance-based restricted stock unit (“PRSU”) and performance-based profits interest participation right (“Performance PIPR”) awards (based on the target payout level);</w:t>
      </w:r>
    </w:p>
    <w:p>
      <w:pPr>
        <w:spacing w:after="0" w:line="71" w:lineRule="exact"/>
        <w:rPr>
          <w:rFonts w:ascii="Times New Roman" w:cs="Times New Roman" w:eastAsia="Times New Roman" w:hAnsi="Times New Roman"/>
          <w:sz w:val="18"/>
          <w:szCs w:val="18"/>
          <w:color w:val="auto"/>
        </w:rPr>
      </w:pPr>
    </w:p>
    <w:p>
      <w:pPr>
        <w:ind w:left="1800" w:right="80" w:hanging="603"/>
        <w:spacing w:after="0" w:line="284" w:lineRule="auto"/>
        <w:tabs>
          <w:tab w:leader="none" w:pos="1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investments in people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“sign-on” bonuses or retention awards) and other special deferred incentive compensation awards that is applicable to the fiscal year the award becomes effective; and</w:t>
      </w:r>
    </w:p>
    <w:p>
      <w:pPr>
        <w:spacing w:after="0" w:line="52" w:lineRule="exact"/>
        <w:rPr>
          <w:rFonts w:ascii="Times New Roman" w:cs="Times New Roman" w:eastAsia="Times New Roman" w:hAnsi="Times New Roman"/>
          <w:sz w:val="18"/>
          <w:szCs w:val="18"/>
          <w:color w:val="auto"/>
        </w:rPr>
      </w:pPr>
    </w:p>
    <w:p>
      <w:pPr>
        <w:ind w:left="1800" w:right="420" w:hanging="603"/>
        <w:spacing w:after="0" w:line="282" w:lineRule="auto"/>
        <w:tabs>
          <w:tab w:leader="none" w:pos="1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excess of the target payout level for PRSU and Performance PIPR awards at the end of their respective performance periods; and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right="280" w:firstLine="598"/>
        <w:spacing w:after="0" w:line="261" w:lineRule="auto"/>
        <w:rPr>
          <w:sz w:val="20"/>
          <w:szCs w:val="20"/>
          <w:color w:val="auto"/>
        </w:rPr>
      </w:pPr>
      <w:r>
        <w:rPr>
          <w:rFonts w:ascii="Times New Roman" w:cs="Times New Roman" w:eastAsia="Times New Roman" w:hAnsi="Times New Roman"/>
          <w:sz w:val="18"/>
          <w:szCs w:val="18"/>
          <w:color w:val="auto"/>
        </w:rPr>
        <w:t>We also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“awarded compensation and benefits expense” and related ratios to “operating revenue,” see the table under “Consolidated Results of Operations” below.</w:t>
      </w:r>
    </w:p>
    <w:p>
      <w:pPr>
        <w:spacing w:after="0" w:line="180"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which compares to 55.8% and 55.1%, respectively, for the year ended December 31, 2018.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43" w:name="page44"/>
    <w:bookmarkEnd w:id="43"/>
    <w:p>
      <w:pPr>
        <w:ind w:right="360"/>
        <w:spacing w:after="0" w:line="282" w:lineRule="auto"/>
        <w:rPr>
          <w:sz w:val="20"/>
          <w:szCs w:val="20"/>
          <w:color w:val="auto"/>
        </w:rPr>
      </w:pPr>
      <w:r>
        <w:rPr>
          <w:rFonts w:ascii="Times New Roman" w:cs="Times New Roman" w:eastAsia="Times New Roman" w:hAnsi="Times New Roman"/>
          <w:sz w:val="18"/>
          <w:szCs w:val="18"/>
          <w:color w:val="auto"/>
        </w:rPr>
        <w:t>share of the M&amp;A market or our AUM levels, changes in the mix of revenues from our businesses, investments in our businesses or various other factors could prevent us from achieving this goal.</w:t>
      </w:r>
    </w:p>
    <w:p>
      <w:pPr>
        <w:spacing w:after="0" w:line="162"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 In 2018, non-compensation expense included expenses related to a partial redemption of the Company’s 4.25% senior notes due 2020 (the “2020 Notes”) and, in 2016, non-compensation expense included expenses related to the redemption of the Company’s 6.85% senior notes due 2017 (the “2017 Notes”) (see Note 12 of Notes to Consolidated Financial Statements).</w:t>
      </w:r>
    </w:p>
    <w:p>
      <w:pPr>
        <w:spacing w:after="0" w:line="188" w:lineRule="exact"/>
        <w:rPr>
          <w:sz w:val="20"/>
          <w:szCs w:val="20"/>
          <w:color w:val="auto"/>
        </w:rPr>
      </w:pPr>
    </w:p>
    <w:p>
      <w:pPr>
        <w:ind w:right="340" w:firstLine="598"/>
        <w:spacing w:after="0" w:line="313" w:lineRule="auto"/>
        <w:rPr>
          <w:sz w:val="20"/>
          <w:szCs w:val="20"/>
          <w:color w:val="auto"/>
        </w:rPr>
      </w:pPr>
      <w:r>
        <w:rPr>
          <w:rFonts w:ascii="Times New Roman" w:cs="Times New Roman" w:eastAsia="Times New Roman" w:hAnsi="Times New Roman"/>
          <w:sz w:val="17"/>
          <w:szCs w:val="17"/>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38" w:lineRule="exact"/>
        <w:rPr>
          <w:sz w:val="20"/>
          <w:szCs w:val="20"/>
          <w:color w:val="auto"/>
        </w:rPr>
      </w:pPr>
    </w:p>
    <w:p>
      <w:pPr>
        <w:jc w:val="both"/>
        <w:ind w:right="400" w:firstLine="598"/>
        <w:spacing w:after="0" w:line="266" w:lineRule="auto"/>
        <w:rPr>
          <w:sz w:val="20"/>
          <w:szCs w:val="20"/>
          <w:color w:val="auto"/>
        </w:rPr>
      </w:pPr>
      <w:r>
        <w:rPr>
          <w:rFonts w:ascii="Times New Roman" w:cs="Times New Roman" w:eastAsia="Times New Roman" w:hAnsi="Times New Roman"/>
          <w:sz w:val="18"/>
          <w:szCs w:val="18"/>
          <w:color w:val="auto"/>
        </w:rPr>
        <w:t>Our operating expenses also include our “benefit pursuant to the tax receivable agreement” (which, in 2017, was offset by the charges described below relating to the Tax Act) and “amortization and other acquisition-related (benefits) costs”, which includes the change in fair value of the contingent consideration associated with business acquisitions and, in 2016, pertain primarily to the acquisition of Edgewater.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140" w:firstLine="598"/>
        <w:spacing w:after="0" w:line="258" w:lineRule="auto"/>
        <w:rPr>
          <w:sz w:val="20"/>
          <w:szCs w:val="20"/>
          <w:color w:val="auto"/>
        </w:rPr>
      </w:pPr>
      <w:r>
        <w:rPr>
          <w:rFonts w:ascii="Times New Roman" w:cs="Times New Roman" w:eastAsia="Times New Roman" w:hAnsi="Times New Roman"/>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17 of Notes to Consolidated Financial Statements for additional information).</w:t>
      </w:r>
    </w:p>
    <w:p>
      <w:pPr>
        <w:spacing w:after="0" w:line="184" w:lineRule="exact"/>
        <w:rPr>
          <w:sz w:val="20"/>
          <w:szCs w:val="20"/>
          <w:color w:val="auto"/>
        </w:rPr>
      </w:pPr>
    </w:p>
    <w:p>
      <w:pPr>
        <w:ind w:right="60" w:firstLine="598"/>
        <w:spacing w:after="0" w:line="256" w:lineRule="auto"/>
        <w:rPr>
          <w:sz w:val="20"/>
          <w:szCs w:val="20"/>
          <w:color w:val="auto"/>
        </w:rPr>
      </w:pPr>
      <w:r>
        <w:rPr>
          <w:rFonts w:ascii="Times New Roman" w:cs="Times New Roman" w:eastAsia="Times New Roman" w:hAnsi="Times New Roman"/>
          <w:sz w:val="18"/>
          <w:szCs w:val="18"/>
          <w:color w:val="auto"/>
        </w:rPr>
        <w:t>On December 22, 2017, the Tax Cuts and Jobs Act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 The Tax Act further included anti-base erosion provisions such as the BEAT and tax on GILTI. The GILTI provisions impose a tax on certain income from foreign operations and we have elected to account for the tax on GILTI as a current period expense.</w:t>
      </w:r>
    </w:p>
    <w:p>
      <w:pPr>
        <w:spacing w:after="0" w:line="188" w:lineRule="exact"/>
        <w:rPr>
          <w:sz w:val="20"/>
          <w:szCs w:val="20"/>
          <w:color w:val="auto"/>
        </w:rPr>
      </w:pPr>
    </w:p>
    <w:p>
      <w:pPr>
        <w:ind w:right="400" w:firstLine="598"/>
        <w:spacing w:after="0" w:line="282" w:lineRule="auto"/>
        <w:rPr>
          <w:sz w:val="20"/>
          <w:szCs w:val="20"/>
          <w:color w:val="auto"/>
        </w:rPr>
      </w:pPr>
      <w:r>
        <w:rPr>
          <w:rFonts w:ascii="Times New Roman" w:cs="Times New Roman" w:eastAsia="Times New Roman" w:hAnsi="Times New Roman"/>
          <w:sz w:val="18"/>
          <w:szCs w:val="18"/>
          <w:color w:val="auto"/>
        </w:rPr>
        <w:t>See “Critical Accounting Policies and Estimates—Income Taxes” below and Notes 17 and 19 of Notes to Consolidated Financial Statements for additional information regarding income taxes, the impact of the Tax Act on us, our deferred tax assets and the tax receivable agreement obligation.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ind w:right="300" w:firstLine="598"/>
        <w:spacing w:after="0" w:line="282" w:lineRule="auto"/>
        <w:rPr>
          <w:sz w:val="20"/>
          <w:szCs w:val="20"/>
          <w:color w:val="auto"/>
        </w:rPr>
      </w:pPr>
      <w:r>
        <w:rPr>
          <w:rFonts w:ascii="Times New Roman" w:cs="Times New Roman" w:eastAsia="Times New Roman" w:hAnsi="Times New Roman"/>
          <w:sz w:val="18"/>
          <w:szCs w:val="18"/>
          <w:color w:val="auto"/>
        </w:rPr>
        <w:t>Noncontrolling interests primarily consist of amounts related to Edgewater’s management vehicles that the Company is deemed to control but not own. See Note 14 of Notes to Consolidated Financial Statements for information regarding the Company’s noncontrolling interests.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9" w:lineRule="exact"/>
        <w:rPr>
          <w:sz w:val="20"/>
          <w:szCs w:val="20"/>
          <w:color w:val="auto"/>
        </w:rPr>
      </w:pPr>
    </w:p>
    <w:p>
      <w:pPr>
        <w:ind w:right="440" w:firstLine="598"/>
        <w:spacing w:after="0" w:line="284" w:lineRule="auto"/>
        <w:rPr>
          <w:sz w:val="20"/>
          <w:szCs w:val="20"/>
          <w:color w:val="auto"/>
        </w:rPr>
      </w:pPr>
      <w:r>
        <w:rPr>
          <w:rFonts w:ascii="Times New Roman" w:cs="Times New Roman" w:eastAsia="Times New Roman" w:hAnsi="Times New Roman"/>
          <w:sz w:val="18"/>
          <w:szCs w:val="18"/>
          <w:color w:val="auto"/>
        </w:rPr>
        <w:t>Lazard’s consolidated financial statements are presented in U.S. Dollars. Many of our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4" w:name="page45"/>
    <w:bookmarkEnd w:id="44"/>
    <w:p>
      <w:pPr>
        <w:ind w:right="160"/>
        <w:spacing w:after="0" w:line="258" w:lineRule="auto"/>
        <w:rPr>
          <w:sz w:val="20"/>
          <w:szCs w:val="20"/>
          <w:color w:val="auto"/>
        </w:rPr>
      </w:pPr>
      <w:r>
        <w:rPr>
          <w:rFonts w:ascii="Times New Roman" w:cs="Times New Roman" w:eastAsia="Times New Roman" w:hAnsi="Times New Roman"/>
          <w:sz w:val="18"/>
          <w:szCs w:val="18"/>
          <w:color w:val="auto"/>
        </w:rPr>
        <w:t>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consolidated statements of operations.</w:t>
      </w:r>
    </w:p>
    <w:p>
      <w:pPr>
        <w:spacing w:after="0" w:line="184" w:lineRule="exact"/>
        <w:rPr>
          <w:sz w:val="20"/>
          <w:szCs w:val="20"/>
          <w:color w:val="auto"/>
        </w:rPr>
      </w:pPr>
    </w:p>
    <w:p>
      <w:pPr>
        <w:ind w:right="180" w:firstLine="598"/>
        <w:spacing w:after="0" w:line="261" w:lineRule="auto"/>
        <w:rPr>
          <w:sz w:val="20"/>
          <w:szCs w:val="20"/>
          <w:color w:val="auto"/>
        </w:rPr>
      </w:pPr>
      <w:r>
        <w:rPr>
          <w:rFonts w:ascii="Times New Roman" w:cs="Times New Roman" w:eastAsia="Times New Roman" w:hAnsi="Times New Roman"/>
          <w:sz w:val="18"/>
          <w:szCs w:val="18"/>
          <w:color w:val="auto"/>
        </w:rPr>
        <w:t>A portion of our net revenue is derived from transactions that are denominated in currencies other than the U.S. Dollar. Net revenue for the years ended December 31, 2018 and 2017 was positively impacted by exchange rate movements, in each case in comparison to the relevant prior year period. The majority of the impact to net revenue, in both periods, was offset by the impact of the exchange rate movements on our operating expenses during the years denominated in currencies other than the U.S. Dollar.</w:t>
      </w:r>
    </w:p>
    <w:p>
      <w:pPr>
        <w:spacing w:after="0" w:line="180" w:lineRule="exact"/>
        <w:rPr>
          <w:sz w:val="20"/>
          <w:szCs w:val="20"/>
          <w:color w:val="auto"/>
        </w:rPr>
      </w:pPr>
    </w:p>
    <w:p>
      <w:pPr>
        <w:ind w:right="440" w:firstLine="598"/>
        <w:spacing w:after="0" w:line="313" w:lineRule="auto"/>
        <w:rPr>
          <w:sz w:val="20"/>
          <w:szCs w:val="20"/>
          <w:color w:val="auto"/>
        </w:rPr>
      </w:pPr>
      <w:r>
        <w:rPr>
          <w:rFonts w:ascii="Times New Roman" w:cs="Times New Roman" w:eastAsia="Times New Roman" w:hAnsi="Times New Roman"/>
          <w:sz w:val="17"/>
          <w:szCs w:val="17"/>
          <w:color w:val="auto"/>
        </w:rPr>
        <w:t>The consolidated financial statements are prepared in conformity with U.S. GAAP. Selected financial data derived from the Company’s reported consolidated results of operations is set forth below, followed by a more detailed discussion of both the consolidated and business segment results.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5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5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1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2,826,352</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2,644,311</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2,333,371</w:t>
            </w:r>
          </w:p>
        </w:tc>
        <w:tc>
          <w:tcPr>
            <w:tcW w:w="180" w:type="dxa"/>
            <w:vAlign w:val="bottom"/>
            <w:shd w:val="clear" w:color="auto" w:fill="CFF0FC"/>
          </w:tcPr>
          <w:p>
            <w:pPr>
              <w:spacing w:after="0"/>
              <w:rPr>
                <w:sz w:val="19"/>
                <w:szCs w:val="19"/>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0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1,514,735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1,512,873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1,340,543</w:t>
            </w:r>
          </w:p>
        </w:tc>
        <w:tc>
          <w:tcPr>
            <w:tcW w:w="180" w:type="dxa"/>
            <w:vAlign w:val="bottom"/>
            <w:shd w:val="clear" w:color="auto" w:fill="CFF0FC"/>
          </w:tcPr>
          <w:p>
            <w:pPr>
              <w:spacing w:after="0"/>
              <w:rPr>
                <w:sz w:val="19"/>
                <w:szCs w:val="19"/>
                <w:color w:val="auto"/>
              </w:rPr>
            </w:pPr>
          </w:p>
        </w:tc>
      </w:tr>
      <w:tr>
        <w:trPr>
          <w:trHeight w:val="230"/>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Non-compensation</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653,243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499,024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440,120</w:t>
            </w:r>
          </w:p>
        </w:tc>
        <w:tc>
          <w:tcPr>
            <w:tcW w:w="180" w:type="dxa"/>
            <w:vAlign w:val="bottom"/>
          </w:tcPr>
          <w:p>
            <w:pPr>
              <w:spacing w:after="0"/>
              <w:rPr>
                <w:sz w:val="19"/>
                <w:szCs w:val="19"/>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and other acquisition-related (benefits) costs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(15,897)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180" w:type="dxa"/>
            <w:vAlign w:val="bottom"/>
            <w:shd w:val="clear" w:color="auto" w:fill="CFF0FC"/>
          </w:tcPr>
          <w:p>
            <w:pPr>
              <w:spacing w:after="0"/>
              <w:rPr>
                <w:sz w:val="19"/>
                <w:szCs w:val="19"/>
                <w:color w:val="auto"/>
              </w:rPr>
            </w:pPr>
          </w:p>
        </w:tc>
      </w:tr>
      <w:tr>
        <w:trPr>
          <w:trHeight w:val="230"/>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Benefit pursuant to tax receivable agreement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(202,546)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3"/>
        </w:trPr>
        <w:tc>
          <w:tcPr>
            <w:tcW w:w="55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2,145,586</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1,818,865</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1,815,910</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680,766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825,446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517,461</w:t>
            </w:r>
          </w:p>
        </w:tc>
        <w:tc>
          <w:tcPr>
            <w:tcW w:w="180" w:type="dxa"/>
            <w:vAlign w:val="bottom"/>
          </w:tcPr>
          <w:p>
            <w:pPr>
              <w:spacing w:after="0"/>
              <w:rPr>
                <w:sz w:val="19"/>
                <w:szCs w:val="19"/>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148,317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565,599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123,769</w:t>
            </w:r>
          </w:p>
        </w:tc>
        <w:tc>
          <w:tcPr>
            <w:tcW w:w="180" w:type="dxa"/>
            <w:vAlign w:val="bottom"/>
            <w:shd w:val="clear" w:color="auto" w:fill="CFF0FC"/>
          </w:tcPr>
          <w:p>
            <w:pPr>
              <w:spacing w:after="0"/>
              <w:rPr>
                <w:sz w:val="19"/>
                <w:szCs w:val="19"/>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532,449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393,692</w:t>
            </w:r>
          </w:p>
        </w:tc>
        <w:tc>
          <w:tcPr>
            <w:tcW w:w="1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Less - Net Income Attributable to Noncontrolling Interests</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80" w:type="dxa"/>
            <w:vAlign w:val="bottom"/>
            <w:shd w:val="clear" w:color="auto" w:fill="CFF0FC"/>
          </w:tcPr>
          <w:p>
            <w:pPr>
              <w:spacing w:after="0"/>
              <w:rPr>
                <w:sz w:val="19"/>
                <w:szCs w:val="19"/>
                <w:color w:val="auto"/>
              </w:rPr>
            </w:pPr>
          </w:p>
        </w:tc>
      </w:tr>
      <w:tr>
        <w:trPr>
          <w:trHeight w:val="263"/>
        </w:trPr>
        <w:tc>
          <w:tcPr>
            <w:tcW w:w="5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Lazard Ltd</w:t>
            </w:r>
          </w:p>
        </w:tc>
        <w:tc>
          <w:tcPr>
            <w:tcW w:w="10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527,125</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253,583</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387,698</w:t>
            </w:r>
          </w:p>
        </w:tc>
        <w:tc>
          <w:tcPr>
            <w:tcW w:w="180" w:type="dxa"/>
            <w:vAlign w:val="bottom"/>
            <w:tcBorders>
              <w:bottom w:val="single" w:sz="8" w:color="CFF0FC"/>
            </w:tcBorders>
          </w:tcPr>
          <w:p>
            <w:pPr>
              <w:spacing w:after="0"/>
              <w:rPr>
                <w:sz w:val="22"/>
                <w:szCs w:val="22"/>
                <w:color w:val="auto"/>
              </w:rPr>
            </w:pP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as a % of net revenue</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55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right="360" w:firstLine="877"/>
        <w:spacing w:after="0" w:line="289" w:lineRule="auto"/>
        <w:rPr>
          <w:sz w:val="20"/>
          <w:szCs w:val="20"/>
          <w:color w:val="auto"/>
        </w:rPr>
      </w:pPr>
      <w:r>
        <w:rPr>
          <w:rFonts w:ascii="Times New Roman" w:cs="Times New Roman" w:eastAsia="Times New Roman" w:hAnsi="Times New Roman"/>
          <w:sz w:val="17"/>
          <w:szCs w:val="17"/>
          <w:color w:val="auto"/>
        </w:rPr>
        <w:t>The tables below describe the components of operating revenue, adjusted and awarded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2,826,352</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2,644,311</w:t>
            </w:r>
          </w:p>
        </w:tc>
        <w:tc>
          <w:tcPr>
            <w:tcW w:w="180" w:type="dxa"/>
            <w:vAlign w:val="bottom"/>
          </w:tcPr>
          <w:p>
            <w:pPr>
              <w:spacing w:after="0"/>
              <w:rPr>
                <w:sz w:val="19"/>
                <w:szCs w:val="19"/>
                <w:color w:val="auto"/>
              </w:rPr>
            </w:pP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(a)</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Distribution fees, reimbursable deal costs and bad debt</w:t>
            </w:r>
          </w:p>
        </w:tc>
        <w:tc>
          <w:tcPr>
            <w:tcW w:w="1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expense (b)</w:t>
            </w:r>
          </w:p>
        </w:tc>
        <w:tc>
          <w:tcPr>
            <w:tcW w:w="1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(120,995)</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 related to noncontrolling interests (c)</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on acquisition of MBA Lazard (d)</w:t>
            </w: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(Gains) losses on investments pertaining to LFI (e)</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2,754,782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2,654,540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2,344,339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6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45" w:name="page46"/>
    <w:bookmarkEnd w:id="45"/>
    <w:p>
      <w:pPr>
        <w:ind w:left="600" w:right="560" w:hanging="592"/>
        <w:spacing w:after="0" w:line="274"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11150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5060" cy="8890"/>
                    </a:xfrm>
                    <a:prstGeom prst="rect">
                      <a:avLst/>
                    </a:prstGeom>
                    <a:noFill/>
                  </pic:spPr>
                </pic:pic>
              </a:graphicData>
            </a:graphic>
          </wp:anchor>
        </w:drawing>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600" w:right="480" w:hanging="592"/>
        <w:spacing w:after="0" w:line="290"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600" w:right="20" w:hanging="592"/>
        <w:spacing w:after="0" w:line="274"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related to the consolidation of noncontrolling interests is excluded from operating revenue because the Company has no economic interest in such amount.</w:t>
      </w:r>
    </w:p>
    <w:p>
      <w:pPr>
        <w:ind w:left="600" w:right="60" w:hanging="592"/>
        <w:spacing w:after="0" w:line="274"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gain on the acquisition of MBA Lazard (which resulted from the increase in the fair value of the Company’s investment in MBA Lazard prior to the acquisition).</w:t>
      </w:r>
    </w:p>
    <w:p>
      <w:pPr>
        <w:ind w:left="600" w:right="240" w:hanging="592"/>
        <w:spacing w:after="0" w:line="282"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compensation and benefits expense</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1,514,735</w:t>
            </w:r>
          </w:p>
        </w:tc>
        <w:tc>
          <w:tcPr>
            <w:tcW w:w="180" w:type="dxa"/>
            <w:vAlign w:val="bottom"/>
          </w:tcPr>
          <w:p>
            <w:pPr>
              <w:spacing w:after="0"/>
              <w:rPr>
                <w:sz w:val="19"/>
                <w:szCs w:val="19"/>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1,512,873</w:t>
            </w:r>
          </w:p>
        </w:tc>
        <w:tc>
          <w:tcPr>
            <w:tcW w:w="2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1,340,543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Noncontrolling interests (a)</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(10,999)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(11,900)</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(Charges) credits pertaining to LFI (b)</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(23,526)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 associated with ERP system implementation (c)</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1,516,632</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1,481,062</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1,325,325</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Deduct - amortization of deferred incentive compensation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w:t>
            </w: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(375,772)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(367,350)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(352,403)</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adjusted cash compensation and benefits expense (d)</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1,140,860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1,113,712</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972,922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Year-end deferred incentive compensation awards (e)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377,901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350,975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342,449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Sign-on and other special incentive awards (f)</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 - adjustments for estimated forfeitures (g)</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(27,534)</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(25,166)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(27,917)</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Awarded compensation and benefits expense</w:t>
            </w: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1,536,953</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1,475,722</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1,317,233</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660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Adjusted compensation and benefits expense, as</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 % of operating revenue</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Awarded compensation and benefits expense, as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 of operating revenue</w:t>
            </w: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1" w:lineRule="exact"/>
        <w:rPr>
          <w:sz w:val="20"/>
          <w:szCs w:val="20"/>
          <w:color w:val="auto"/>
        </w:rPr>
      </w:pPr>
    </w:p>
    <w:p>
      <w:pPr>
        <w:ind w:left="600" w:hanging="592"/>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Lazard has no economic interest in such amounts.</w:t>
      </w:r>
    </w:p>
    <w:p>
      <w:pPr>
        <w:spacing w:after="0" w:line="49" w:lineRule="exact"/>
        <w:rPr>
          <w:rFonts w:ascii="Times New Roman" w:cs="Times New Roman" w:eastAsia="Times New Roman" w:hAnsi="Times New Roman"/>
          <w:sz w:val="18"/>
          <w:szCs w:val="18"/>
          <w:color w:val="auto"/>
        </w:rPr>
      </w:pPr>
    </w:p>
    <w:p>
      <w:pPr>
        <w:ind w:left="600" w:right="340" w:hanging="592"/>
        <w:spacing w:after="0" w:line="274"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ind w:left="600" w:hanging="592"/>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associated with the Enterprise Resource Planning (“ERP”) system implementation.</w:t>
      </w:r>
    </w:p>
    <w:p>
      <w:pPr>
        <w:spacing w:after="0" w:line="49" w:lineRule="exact"/>
        <w:rPr>
          <w:rFonts w:ascii="Times New Roman" w:cs="Times New Roman" w:eastAsia="Times New Roman" w:hAnsi="Times New Roman"/>
          <w:sz w:val="18"/>
          <w:szCs w:val="18"/>
          <w:color w:val="auto"/>
        </w:rPr>
      </w:pPr>
    </w:p>
    <w:p>
      <w:pPr>
        <w:ind w:left="600" w:right="200" w:hanging="592"/>
        <w:spacing w:after="0" w:line="27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base salaries and benefits of $695,398, $648,130 and $574,566 for 2018, 2017 and 2016, respectively, and cash incentive compensation of $445,462, $465,582 and $398,356 for the respective years.</w:t>
      </w:r>
    </w:p>
    <w:p>
      <w:pPr>
        <w:spacing w:after="0" w:line="1" w:lineRule="exact"/>
        <w:rPr>
          <w:rFonts w:ascii="Times New Roman" w:cs="Times New Roman" w:eastAsia="Times New Roman" w:hAnsi="Times New Roman"/>
          <w:sz w:val="18"/>
          <w:szCs w:val="18"/>
          <w:color w:val="auto"/>
        </w:rPr>
      </w:pPr>
    </w:p>
    <w:p>
      <w:pPr>
        <w:ind w:left="600" w:right="360" w:hanging="592"/>
        <w:spacing w:after="0" w:line="275"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incentive compensation awards applicable to the relevant year-end compensation process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deferred incentive compensation awards granted in 2019, 2018 and 2017 related to the 2018, 2017 and 2016 year-end compensation processes, respectively).</w:t>
      </w:r>
    </w:p>
    <w:p>
      <w:pPr>
        <w:ind w:left="600" w:right="160" w:hanging="592"/>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special deferred incentive awards that are granted outside the year-end compensation process, and includes grants to new hires, retention awards and performance units earned under PRSU grants.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46" w:name="page47"/>
    <w:bookmarkEnd w:id="46"/>
    <w:p>
      <w:pPr>
        <w:ind w:left="600" w:right="260" w:hanging="592"/>
        <w:spacing w:after="0" w:line="282" w:lineRule="auto"/>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Non-Compensation Expense:</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non-compensation expense</w:t>
            </w: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653,243</w:t>
            </w:r>
          </w:p>
        </w:tc>
        <w:tc>
          <w:tcPr>
            <w:tcW w:w="180" w:type="dxa"/>
            <w:vAlign w:val="bottom"/>
          </w:tcPr>
          <w:p>
            <w:pPr>
              <w:spacing w:after="0"/>
              <w:rPr>
                <w:sz w:val="19"/>
                <w:szCs w:val="19"/>
                <w:color w:val="auto"/>
              </w:rPr>
            </w:pPr>
          </w:p>
        </w:tc>
        <w:tc>
          <w:tcPr>
            <w:tcW w:w="4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499,024</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Expenses associated with ERP system implementation (a)</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(27,495)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Expenses relating to office space reorganization (b)</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(2,345)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(11,354)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Distribution fees, reimbursable deal costs and bad debt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expense (c)</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(120,995)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Charges pertaining to senior debt refinancing (d)</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(6,523)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Noncontrolling interests (e)</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Expenses associated with the Lazard Foundation (f)</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Professional fees related to acquisitions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460,678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433,713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non-compensation expense, as</w:t>
            </w: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2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 % of operating revenue</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592"/>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associated with the Enterprise Resource Planning (“ERP”) system implementation.</w:t>
      </w:r>
    </w:p>
    <w:p>
      <w:pPr>
        <w:spacing w:after="0" w:line="4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incremental rent expense and lease abandonment costs related to office space reorganization.</w:t>
      </w:r>
    </w:p>
    <w:p>
      <w:pPr>
        <w:spacing w:after="0" w:line="49" w:lineRule="exact"/>
        <w:rPr>
          <w:rFonts w:ascii="Times New Roman" w:cs="Times New Roman" w:eastAsia="Times New Roman" w:hAnsi="Times New Roman"/>
          <w:sz w:val="18"/>
          <w:szCs w:val="18"/>
          <w:color w:val="auto"/>
        </w:rPr>
      </w:pPr>
    </w:p>
    <w:p>
      <w:pPr>
        <w:ind w:left="600" w:right="500" w:hanging="592"/>
        <w:spacing w:after="0" w:line="290"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600" w:right="200" w:hanging="592"/>
        <w:spacing w:after="0" w:line="266"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excluded charges pertaining to (i) in 2018, the partial redemption of the Company’s 2020 Notes, due to the non-operating nature of such transaction and (ii) in 2016, the redemption of the remaining balance of the Company’s 2017 Notes, due to the non-operating nature of such transaction. See “—Liquidity and Capital Resources—Financing Activities.”</w:t>
      </w:r>
    </w:p>
    <w:p>
      <w:pPr>
        <w:ind w:left="600" w:hanging="592"/>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the Company has no economic interest in such amounts.</w:t>
      </w:r>
    </w:p>
    <w:p>
      <w:pPr>
        <w:spacing w:after="0" w:line="4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associated with the unconditional commitment to the Lazard Foundation.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Operations:</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2,754,782</w:t>
            </w:r>
          </w:p>
        </w:tc>
        <w:tc>
          <w:tcPr>
            <w:tcW w:w="180" w:type="dxa"/>
            <w:vAlign w:val="bottom"/>
          </w:tcPr>
          <w:p>
            <w:pPr>
              <w:spacing w:after="0"/>
              <w:rPr>
                <w:sz w:val="19"/>
                <w:szCs w:val="19"/>
                <w:color w:val="auto"/>
              </w:rPr>
            </w:pPr>
          </w:p>
        </w:tc>
        <w:tc>
          <w:tcPr>
            <w:tcW w:w="4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2,654,540</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2,344,339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(1,516,632)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(1,481,062)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(1,325,325)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1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(484,131)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(460,678)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(433,713)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18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754,019</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712,800</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585,301</w:t>
            </w:r>
          </w:p>
        </w:tc>
        <w:tc>
          <w:tcPr>
            <w:tcW w:w="1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from operations, as a % of operating revenue</w:t>
            </w:r>
          </w:p>
        </w:tc>
        <w:tc>
          <w:tcPr>
            <w:tcW w:w="1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bottom w:val="single" w:sz="8" w:color="CFF0FC"/>
            </w:tcBorders>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8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7" w:name="page48"/>
    <w:bookmarkEnd w:id="47"/>
    <w:p>
      <w:pPr>
        <w:ind w:left="600"/>
        <w:spacing w:after="0"/>
        <w:rPr>
          <w:sz w:val="20"/>
          <w:szCs w:val="20"/>
          <w:color w:val="auto"/>
        </w:rPr>
      </w:pPr>
      <w:r>
        <w:rPr>
          <w:rFonts w:ascii="Times New Roman" w:cs="Times New Roman" w:eastAsia="Times New Roman" w:hAnsi="Times New Roman"/>
          <w:sz w:val="18"/>
          <w:szCs w:val="18"/>
          <w:color w:val="auto"/>
        </w:rPr>
        <w:t>Headcount information is set forth below:</w:t>
      </w:r>
    </w:p>
    <w:p>
      <w:pPr>
        <w:spacing w:after="0" w:line="23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80" w:type="dxa"/>
            <w:vAlign w:val="bottom"/>
            <w:gridSpan w:val="2"/>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r>
      <w:tr>
        <w:trPr>
          <w:trHeight w:val="223"/>
        </w:trPr>
        <w:tc>
          <w:tcPr>
            <w:tcW w:w="67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Headcount:</w:t>
            </w:r>
          </w:p>
        </w:tc>
        <w:tc>
          <w:tcPr>
            <w:tcW w:w="8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Managing Directors: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Financial Advisory</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Asset Management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r>
      <w:tr>
        <w:trPr>
          <w:trHeight w:val="230"/>
        </w:trPr>
        <w:tc>
          <w:tcPr>
            <w:tcW w:w="7640" w:type="dxa"/>
            <w:vAlign w:val="bottom"/>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Corporate (a)</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Managing Directors</w:t>
            </w: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r>
      <w:tr>
        <w:trPr>
          <w:trHeight w:val="230"/>
        </w:trPr>
        <w:tc>
          <w:tcPr>
            <w:tcW w:w="76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Business Segment Professionals and Support Staff:</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Financial Advisory</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9"/>
                <w:szCs w:val="19"/>
                <w:color w:val="auto"/>
              </w:rPr>
            </w:pPr>
          </w:p>
        </w:tc>
      </w:tr>
      <w:tr>
        <w:trPr>
          <w:trHeight w:val="230"/>
        </w:trPr>
        <w:tc>
          <w:tcPr>
            <w:tcW w:w="7640" w:type="dxa"/>
            <w:vAlign w:val="bottom"/>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Asset Management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Corporate (a)</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ind w:left="600" w:hanging="592"/>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2018 relates to a realignment of certain headcount from Corporate to the Financial Advisory and Asset Management segments.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2018 versus December 31, 2017</w:t>
      </w:r>
    </w:p>
    <w:p>
      <w:pPr>
        <w:spacing w:after="0" w:line="121" w:lineRule="exact"/>
        <w:rPr>
          <w:sz w:val="20"/>
          <w:szCs w:val="20"/>
          <w:color w:val="auto"/>
        </w:rPr>
      </w:pPr>
    </w:p>
    <w:p>
      <w:pPr>
        <w:ind w:right="180" w:firstLine="598"/>
        <w:spacing w:after="0" w:line="282" w:lineRule="auto"/>
        <w:rPr>
          <w:sz w:val="20"/>
          <w:szCs w:val="20"/>
          <w:color w:val="auto"/>
        </w:rPr>
      </w:pPr>
      <w:r>
        <w:rPr>
          <w:rFonts w:ascii="Times New Roman" w:cs="Times New Roman" w:eastAsia="Times New Roman" w:hAnsi="Times New Roman"/>
          <w:sz w:val="18"/>
          <w:szCs w:val="18"/>
          <w:color w:val="auto"/>
        </w:rPr>
        <w:t>The Company reported net income attributable to Lazard Ltd of $527 million, as compared to net income attributable to Lazard Ltd of $254 million in 2017. The changes in the Company’s operating results during these years are described below.</w:t>
      </w:r>
    </w:p>
    <w:p>
      <w:pPr>
        <w:spacing w:after="0" w:line="162"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Net revenue increased $182 million, or 7%, with operating revenue increasing $100 million, or 4%, as compared to 2017. Net revenue in the 2018 period reflects the adoption of the new revenue recognition guidance (see Notes 3 and 4 of Notes to Consolidated Financial Statements). Fee revenue from investment banking and other advisory activities increased $169 million, or 12%, as compared to 2017, primarily due to an increase in M&amp;A Advisory revenue, partially offset by a decrease in Restructuring revenue. Asset management fees, including incentive fees, increased $73 million, or 6%, as compared to 2017, primarily due to an increase in average AUM, as well as the impact of the new revenue recognition guidance. In the aggregate, interest income, other revenue and interest expense decreased $60 million as compared to 2017, primarily due to lower income attributable to investments held in connection with LFI.</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Compensation and benefits expense increased $2 million as compared to 2017.</w:t>
      </w:r>
    </w:p>
    <w:p>
      <w:pPr>
        <w:spacing w:after="0" w:line="225"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Adjusted compensation and benefits expense was $1,517 million, an increase of $36 million, or 2%, as compared to $1,481 million in 2017. The ratio of adjusted compensation and benefits expense to operating revenue was 55.1% for 2018, as compared to 55.8% for 2017. Awarded compensation and benefits expense in 2018 was $1,537 million, an increase of $61 million, or 4%, when compared to $1,476 million in 2017. The ratio of awarded compensation and benefits expense to operating revenue was 55.8%, as compared to 55.6% for 2017. The year-end deferred incentive compensation awarded for 2018 was $378 million, representing an increase of $27 million, or 8%, as compared to 2017.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89" w:lineRule="exact"/>
        <w:rPr>
          <w:sz w:val="20"/>
          <w:szCs w:val="20"/>
          <w:color w:val="auto"/>
        </w:rPr>
      </w:pPr>
    </w:p>
    <w:p>
      <w:pPr>
        <w:ind w:right="240" w:firstLine="598"/>
        <w:spacing w:after="0" w:line="258" w:lineRule="auto"/>
        <w:rPr>
          <w:sz w:val="20"/>
          <w:szCs w:val="20"/>
          <w:color w:val="auto"/>
        </w:rPr>
      </w:pPr>
      <w:r>
        <w:rPr>
          <w:rFonts w:ascii="Times New Roman" w:cs="Times New Roman" w:eastAsia="Times New Roman" w:hAnsi="Times New Roman"/>
          <w:sz w:val="18"/>
          <w:szCs w:val="18"/>
          <w:color w:val="auto"/>
        </w:rPr>
        <w:t>Non-compensation expense increased $154 million, or 31%, as compared to 2017, primarily due to the impact of the new revenue recognition guidance discussed above, expenses associated with the unconditional commitment to the Lazard Foundation and a charge relating to the redemption of a portion of the 2020 Notes in 2018. Adjusted non-compensation expense, which excludes such items, as well as expenses associated with the ERP implementation, costs related to office space reorganization and noncontrolling interests, increased $23 million, or 5%, as compared to 2017, reflecting our increased investments in the business, principally in our technology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infrastructure. The ratio of adjusted non-compensation expense to operating revenue was 17.6% for 2018, as compared to 17.4% in 2017.</w:t>
      </w:r>
    </w:p>
    <w:p>
      <w:pPr>
        <w:spacing w:after="0" w:line="225" w:lineRule="exact"/>
        <w:rPr>
          <w:sz w:val="20"/>
          <w:szCs w:val="20"/>
          <w:color w:val="auto"/>
        </w:rPr>
      </w:pPr>
    </w:p>
    <w:p>
      <w:pPr>
        <w:ind w:right="140" w:firstLine="598"/>
        <w:spacing w:after="0" w:line="282" w:lineRule="auto"/>
        <w:rPr>
          <w:sz w:val="20"/>
          <w:szCs w:val="20"/>
          <w:color w:val="auto"/>
        </w:rPr>
      </w:pPr>
      <w:r>
        <w:rPr>
          <w:rFonts w:ascii="Times New Roman" w:cs="Times New Roman" w:eastAsia="Times New Roman" w:hAnsi="Times New Roman"/>
          <w:sz w:val="18"/>
          <w:szCs w:val="18"/>
          <w:color w:val="auto"/>
        </w:rPr>
        <w:t>Amortization and other acquisition-related (benefits) costs reflect a benefit of $16 million in the 2018 period, as compared to costs of $10 million in the 2017 period, primarily due to the change in fair market value of the contingent consideration.</w:t>
      </w:r>
    </w:p>
    <w:p>
      <w:pPr>
        <w:spacing w:after="0" w:line="162" w:lineRule="exact"/>
        <w:rPr>
          <w:sz w:val="20"/>
          <w:szCs w:val="20"/>
          <w:color w:val="auto"/>
        </w:rPr>
      </w:pPr>
    </w:p>
    <w:p>
      <w:pPr>
        <w:ind w:right="100" w:firstLine="598"/>
        <w:spacing w:after="0" w:line="261" w:lineRule="auto"/>
        <w:rPr>
          <w:sz w:val="20"/>
          <w:szCs w:val="20"/>
          <w:color w:val="auto"/>
        </w:rPr>
      </w:pPr>
      <w:r>
        <w:rPr>
          <w:rFonts w:ascii="Times New Roman" w:cs="Times New Roman" w:eastAsia="Times New Roman" w:hAnsi="Times New Roman"/>
          <w:sz w:val="18"/>
          <w:szCs w:val="18"/>
          <w:color w:val="auto"/>
        </w:rPr>
        <w:t>In 2017, the Tax Act reduced the U.S. corporate tax rate from 35% to 21%, which required us to remeasure the tax receivable agreement obligation. As a result of the change in the U.S. corporate tax rate, we reduced the tax receivable agreement obligation by $203 million in the fourth quarter of 2017 and recorded a $203 million benefit pursuant to the tax receivable agreement (see Note 19 of Notes to Consolidated Financial Statements for additional information).</w:t>
      </w:r>
    </w:p>
    <w:p>
      <w:pPr>
        <w:spacing w:after="0" w:line="180" w:lineRule="exact"/>
        <w:rPr>
          <w:sz w:val="20"/>
          <w:szCs w:val="20"/>
          <w:color w:val="auto"/>
        </w:rPr>
      </w:pPr>
    </w:p>
    <w:p>
      <w:pPr>
        <w:ind w:right="200" w:firstLine="598"/>
        <w:spacing w:after="0" w:line="282" w:lineRule="auto"/>
        <w:rPr>
          <w:sz w:val="20"/>
          <w:szCs w:val="20"/>
          <w:color w:val="auto"/>
        </w:rPr>
      </w:pPr>
      <w:r>
        <w:rPr>
          <w:rFonts w:ascii="Times New Roman" w:cs="Times New Roman" w:eastAsia="Times New Roman" w:hAnsi="Times New Roman"/>
          <w:sz w:val="18"/>
          <w:szCs w:val="18"/>
          <w:color w:val="auto"/>
        </w:rPr>
        <w:t>Operating income decreased $145 million, or 18%, as compared to 2017. In 2017, operating income included the significant benefit pursuant to the tax receivable agreement described above.</w:t>
      </w:r>
    </w:p>
    <w:p>
      <w:pPr>
        <w:spacing w:after="0" w:line="162" w:lineRule="exact"/>
        <w:rPr>
          <w:sz w:val="20"/>
          <w:szCs w:val="20"/>
          <w:color w:val="auto"/>
        </w:rPr>
      </w:pPr>
    </w:p>
    <w:p>
      <w:pPr>
        <w:ind w:right="240" w:firstLine="598"/>
        <w:spacing w:after="0" w:line="282" w:lineRule="auto"/>
        <w:rPr>
          <w:sz w:val="20"/>
          <w:szCs w:val="20"/>
          <w:color w:val="auto"/>
        </w:rPr>
      </w:pPr>
      <w:r>
        <w:rPr>
          <w:rFonts w:ascii="Times New Roman" w:cs="Times New Roman" w:eastAsia="Times New Roman" w:hAnsi="Times New Roman"/>
          <w:sz w:val="18"/>
          <w:szCs w:val="18"/>
          <w:color w:val="auto"/>
        </w:rPr>
        <w:t>Earnings from operations increased $41 million, or 6%, as compared to 2017. Earnings from operations, as a percentage of operating revenue, was 27.4%, as compared to 26.8% in 2017.</w:t>
      </w:r>
    </w:p>
    <w:p>
      <w:pPr>
        <w:spacing w:after="0" w:line="162" w:lineRule="exact"/>
        <w:rPr>
          <w:sz w:val="20"/>
          <w:szCs w:val="20"/>
          <w:color w:val="auto"/>
        </w:rPr>
      </w:pPr>
    </w:p>
    <w:p>
      <w:pPr>
        <w:ind w:right="200" w:firstLine="598"/>
        <w:spacing w:after="0" w:line="258" w:lineRule="auto"/>
        <w:rPr>
          <w:sz w:val="20"/>
          <w:szCs w:val="20"/>
          <w:color w:val="auto"/>
        </w:rPr>
      </w:pPr>
      <w:r>
        <w:rPr>
          <w:rFonts w:ascii="Times New Roman" w:cs="Times New Roman" w:eastAsia="Times New Roman" w:hAnsi="Times New Roman"/>
          <w:sz w:val="18"/>
          <w:szCs w:val="18"/>
          <w:color w:val="auto"/>
        </w:rPr>
        <w:t>The provision for income taxes reflects an effective tax rate of 21.8%, as compared to 68.5% in 2017. The decrease in the effective tax rate is primarily due to (i) the impact of the Tax Act and (ii) an increase in excess net tax benefits related to share-based incentive compensation. As a result of the Tax Act in 2017, the Company incurred a charge of approximately $420 million primarily relating to a reduction in deferred tax assets, which was partially offset by the benefit pursuant to the tax receivable agreement described above. See Notes 17 and 19 of Notes to Consolidated Financial Statements and “Critical Accounting Policies—Income Taxes” below.</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 income attributable to noncontrolling interests remained substantially unchanged as compared to 2017.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2017 versus December 31, 2016</w:t>
      </w:r>
    </w:p>
    <w:p>
      <w:pPr>
        <w:spacing w:after="0" w:line="121" w:lineRule="exact"/>
        <w:rPr>
          <w:sz w:val="20"/>
          <w:szCs w:val="20"/>
          <w:color w:val="auto"/>
        </w:rPr>
      </w:pPr>
    </w:p>
    <w:p>
      <w:pPr>
        <w:ind w:right="160" w:firstLine="598"/>
        <w:spacing w:after="0" w:line="282" w:lineRule="auto"/>
        <w:rPr>
          <w:sz w:val="20"/>
          <w:szCs w:val="20"/>
          <w:color w:val="auto"/>
        </w:rPr>
      </w:pPr>
      <w:r>
        <w:rPr>
          <w:rFonts w:ascii="Times New Roman" w:cs="Times New Roman" w:eastAsia="Times New Roman" w:hAnsi="Times New Roman"/>
          <w:sz w:val="18"/>
          <w:szCs w:val="18"/>
          <w:color w:val="auto"/>
        </w:rPr>
        <w:t>The Company reported net income attributable to Lazard Ltd of $254 million, as compared to net income attributable to Lazard Ltd of $388 million in 2016. The changes in the Company’s operating results during these years are described below.</w:t>
      </w:r>
    </w:p>
    <w:p>
      <w:pPr>
        <w:spacing w:after="0" w:line="162" w:lineRule="exact"/>
        <w:rPr>
          <w:sz w:val="20"/>
          <w:szCs w:val="20"/>
          <w:color w:val="auto"/>
        </w:rPr>
      </w:pPr>
    </w:p>
    <w:p>
      <w:pPr>
        <w:ind w:right="100" w:firstLine="598"/>
        <w:spacing w:after="0" w:line="258" w:lineRule="auto"/>
        <w:rPr>
          <w:sz w:val="20"/>
          <w:szCs w:val="20"/>
          <w:color w:val="auto"/>
        </w:rPr>
      </w:pPr>
      <w:r>
        <w:rPr>
          <w:rFonts w:ascii="Times New Roman" w:cs="Times New Roman" w:eastAsia="Times New Roman" w:hAnsi="Times New Roman"/>
          <w:sz w:val="18"/>
          <w:szCs w:val="18"/>
          <w:color w:val="auto"/>
        </w:rPr>
        <w:t>Net revenue increased $311 million, or 13%, with operating revenue increasing $310 million, or 13%, as compared to 2016. Fee revenue from investment banking and other advisory activities increased $87 million, or 7%, as compared to 2016, due to an increase in M&amp;A Advisory and Restructuring revenue. Asset management fees, including incentive fees, increased $197 million, or 20%, as compared to 2016, primarily due to an increase in average AUM. In the aggregate, interest income, other revenue and interest expense increased $27 million, or 75%, as compared to 2016, primarily due to gains in 2017 attributable to investments held in connection with LFI.</w:t>
      </w:r>
    </w:p>
    <w:p>
      <w:pPr>
        <w:spacing w:after="0" w:line="184" w:lineRule="exact"/>
        <w:rPr>
          <w:sz w:val="20"/>
          <w:szCs w:val="20"/>
          <w:color w:val="auto"/>
        </w:rPr>
      </w:pPr>
    </w:p>
    <w:p>
      <w:pPr>
        <w:ind w:right="300" w:firstLine="598"/>
        <w:spacing w:after="0" w:line="282" w:lineRule="auto"/>
        <w:rPr>
          <w:sz w:val="20"/>
          <w:szCs w:val="20"/>
          <w:color w:val="auto"/>
        </w:rPr>
      </w:pPr>
      <w:r>
        <w:rPr>
          <w:rFonts w:ascii="Times New Roman" w:cs="Times New Roman" w:eastAsia="Times New Roman" w:hAnsi="Times New Roman"/>
          <w:sz w:val="18"/>
          <w:szCs w:val="18"/>
          <w:color w:val="auto"/>
        </w:rPr>
        <w:t>Compensation and benefits expense increased $172 million, or 13%, as compared to 2016, primarily associated with increased operating revenue, charges pertaining to LFI and an increase in social charges.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Adjusted compensation and benefits expense (which excludes certain items and which we believe allows for improved comparability between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as described above) was $1,481 million, an increase of $156 million, or 12%, as compared to $1,325 million in 2016. The ratio of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benefits expense to operating revenue was 55.8% for 2017, as compared to 56.5% for 2016. Awarded compensation and benefits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2017 was $1,476 million, an increase of $159 million, or 12%, when compared to $1,317 million in 2016. The ratio of awarded compensation and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to operating revenue was 55.6% and 56.2% for 2017 and 2016, respectively. The year-end deferred incentive compensation awarded for 2017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$351 million, representing an increase of $9 million, or 2%, as compared to 2016. As described above, when analyzing compensation and benefits expense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full-year basis, we believe that awarded compensation and benefits expense provides the most meaningful basis for comparison of compensation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expense between present, historical and future years.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9" w:name="page50"/>
    <w:bookmarkEnd w:id="49"/>
    <w:p>
      <w:pPr>
        <w:ind w:right="400" w:firstLine="598"/>
        <w:spacing w:after="0" w:line="258" w:lineRule="auto"/>
        <w:rPr>
          <w:sz w:val="20"/>
          <w:szCs w:val="20"/>
          <w:color w:val="auto"/>
        </w:rPr>
      </w:pPr>
      <w:r>
        <w:rPr>
          <w:rFonts w:ascii="Times New Roman" w:cs="Times New Roman" w:eastAsia="Times New Roman" w:hAnsi="Times New Roman"/>
          <w:sz w:val="18"/>
          <w:szCs w:val="18"/>
          <w:color w:val="auto"/>
        </w:rPr>
        <w:t>Non-compensation expense increased $59 million, or 13%, as compared to 2016, primarily due to expenses associated with the ERP system implementation and expenses related to office space reorganization, as well as higher mutual fund service fees related to growth in AUM and higher marketing and business development expenses. Adjusted non-compensation expense, which excludes non-compensation costs related to the ERP system implementation, office space reorganization and noncontrolling interests, increased $27 million, or 6%, as compared to 2016. The ratio of adjusted non-compensation expense to operating revenue was 17.4% for 2017, as compared to 18.5% in 2016.</w:t>
      </w:r>
    </w:p>
    <w:p>
      <w:pPr>
        <w:spacing w:after="0" w:line="184" w:lineRule="exact"/>
        <w:rPr>
          <w:sz w:val="20"/>
          <w:szCs w:val="20"/>
          <w:color w:val="auto"/>
        </w:rPr>
      </w:pPr>
    </w:p>
    <w:p>
      <w:pPr>
        <w:ind w:right="240" w:firstLine="598"/>
        <w:spacing w:after="0" w:line="266" w:lineRule="auto"/>
        <w:rPr>
          <w:sz w:val="20"/>
          <w:szCs w:val="20"/>
          <w:color w:val="auto"/>
        </w:rPr>
      </w:pPr>
      <w:r>
        <w:rPr>
          <w:rFonts w:ascii="Times New Roman" w:cs="Times New Roman" w:eastAsia="Times New Roman" w:hAnsi="Times New Roman"/>
          <w:sz w:val="18"/>
          <w:szCs w:val="18"/>
          <w:color w:val="auto"/>
        </w:rPr>
        <w:t>Amortization and other acquisition-related costs decreased $26 million as compared to 2016, primarily due to the change in fair value of the contingent consideration in 2016 associated with the Edgewater business acquisition. The contingent consideration associated with the Edgewater business acquisition was settled during 2016.</w:t>
      </w:r>
    </w:p>
    <w:p>
      <w:pPr>
        <w:spacing w:after="0" w:line="176" w:lineRule="exact"/>
        <w:rPr>
          <w:sz w:val="20"/>
          <w:szCs w:val="20"/>
          <w:color w:val="auto"/>
        </w:rPr>
      </w:pPr>
    </w:p>
    <w:p>
      <w:pPr>
        <w:ind w:right="380" w:firstLine="598"/>
        <w:spacing w:after="0" w:line="261" w:lineRule="auto"/>
        <w:rPr>
          <w:sz w:val="20"/>
          <w:szCs w:val="20"/>
          <w:color w:val="auto"/>
        </w:rPr>
      </w:pPr>
      <w:r>
        <w:rPr>
          <w:rFonts w:ascii="Times New Roman" w:cs="Times New Roman" w:eastAsia="Times New Roman" w:hAnsi="Times New Roman"/>
          <w:sz w:val="18"/>
          <w:szCs w:val="18"/>
          <w:color w:val="auto"/>
        </w:rPr>
        <w:t>The Tax Act reduced the U.S. corporate tax rate from 35% to 21%, which required us to remeasure the tax receivable agreement obligation. As a result of the change in the U.S. corporate tax rate, we reduced the tax receivable agreement obligation by $203 million in the fourth quarter of 2017 and recorded a $203 million benefit pursuant to the tax receivable agreement (see Note 19 of Notes to Consolidated Financial Statements for additional information).</w:t>
      </w:r>
    </w:p>
    <w:p>
      <w:pPr>
        <w:spacing w:after="0" w:line="180" w:lineRule="exact"/>
        <w:rPr>
          <w:sz w:val="20"/>
          <w:szCs w:val="20"/>
          <w:color w:val="auto"/>
        </w:rPr>
      </w:pPr>
    </w:p>
    <w:p>
      <w:pPr>
        <w:ind w:right="760" w:firstLine="598"/>
        <w:spacing w:after="0" w:line="282" w:lineRule="auto"/>
        <w:rPr>
          <w:sz w:val="20"/>
          <w:szCs w:val="20"/>
          <w:color w:val="auto"/>
        </w:rPr>
      </w:pPr>
      <w:r>
        <w:rPr>
          <w:rFonts w:ascii="Times New Roman" w:cs="Times New Roman" w:eastAsia="Times New Roman" w:hAnsi="Times New Roman"/>
          <w:sz w:val="18"/>
          <w:szCs w:val="18"/>
          <w:color w:val="auto"/>
        </w:rPr>
        <w:t>Operating income increased $308 million, or 60%, as compared to 2016. In 2017, operating income included the benefit pursuant to the tax receivable agreement described above.</w:t>
      </w:r>
    </w:p>
    <w:p>
      <w:pPr>
        <w:spacing w:after="0" w:line="162" w:lineRule="exact"/>
        <w:rPr>
          <w:sz w:val="20"/>
          <w:szCs w:val="20"/>
          <w:color w:val="auto"/>
        </w:rPr>
      </w:pPr>
    </w:p>
    <w:p>
      <w:pPr>
        <w:ind w:right="60" w:firstLine="598"/>
        <w:spacing w:after="0" w:line="282" w:lineRule="auto"/>
        <w:rPr>
          <w:sz w:val="20"/>
          <w:szCs w:val="20"/>
          <w:color w:val="auto"/>
        </w:rPr>
      </w:pPr>
      <w:r>
        <w:rPr>
          <w:rFonts w:ascii="Times New Roman" w:cs="Times New Roman" w:eastAsia="Times New Roman" w:hAnsi="Times New Roman"/>
          <w:sz w:val="18"/>
          <w:szCs w:val="18"/>
          <w:color w:val="auto"/>
        </w:rPr>
        <w:t>Earnings from operations increased $127 million, or 22%, as compared to 2016. Earnings from operations, as a percentage of operating revenue, was 26.8%, as compared to 25.0% in 2016.</w:t>
      </w:r>
    </w:p>
    <w:p>
      <w:pPr>
        <w:spacing w:after="0" w:line="162" w:lineRule="exact"/>
        <w:rPr>
          <w:sz w:val="20"/>
          <w:szCs w:val="20"/>
          <w:color w:val="auto"/>
        </w:rPr>
      </w:pPr>
    </w:p>
    <w:p>
      <w:pPr>
        <w:ind w:right="40" w:firstLine="598"/>
        <w:spacing w:after="0" w:line="261" w:lineRule="auto"/>
        <w:rPr>
          <w:sz w:val="20"/>
          <w:szCs w:val="20"/>
          <w:color w:val="auto"/>
        </w:rPr>
      </w:pPr>
      <w:r>
        <w:rPr>
          <w:rFonts w:ascii="Times New Roman" w:cs="Times New Roman" w:eastAsia="Times New Roman" w:hAnsi="Times New Roman"/>
          <w:sz w:val="18"/>
          <w:szCs w:val="18"/>
          <w:color w:val="auto"/>
        </w:rPr>
        <w:t>As a result of the Tax Act, the Company incurred a charge of approximately $420 million primarily relating to the reduction in deferred tax assets, which was partially offset by the benefit pursuant to the tax receivable agreement described above. Accordingly, the provision for income taxes reflects an effective tax rate of 68.5%, as compared to 23.9% for 2016. The increase in the effective tax rate in 2017 reflects the impact of the Tax Act. See Notes 17 and 19 of Notes to Consolidated Financial Statements and “Critical Accounting Policies—Income Taxes” below.</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 income attributable to noncontrolling interests remained substantially unchanged as compared to 2016.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ind w:right="600" w:firstLine="598"/>
        <w:spacing w:after="0" w:line="276" w:lineRule="auto"/>
        <w:rPr>
          <w:sz w:val="20"/>
          <w:szCs w:val="20"/>
          <w:color w:val="auto"/>
        </w:rPr>
      </w:pPr>
      <w:r>
        <w:rPr>
          <w:rFonts w:ascii="Times New Roman" w:cs="Times New Roman" w:eastAsia="Times New Roman" w:hAnsi="Times New Roman"/>
          <w:sz w:val="17"/>
          <w:szCs w:val="17"/>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spacing w:after="0" w:line="1" w:lineRule="exact"/>
        <w:rPr>
          <w:sz w:val="20"/>
          <w:szCs w:val="20"/>
          <w:color w:val="auto"/>
        </w:rPr>
      </w:pPr>
    </w:p>
    <w:p>
      <w:pPr>
        <w:ind w:firstLine="8"/>
        <w:spacing w:after="0" w:line="253"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Financial Advisory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1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1,555,526</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1,387,682</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1,301,044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1,198,807</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1,143,586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1,017,055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356,719</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244,096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283,989</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 of net revenue</w:t>
            </w: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Certain Lazard fee and transaction statistics for the Financial Advisory segment are set forth below:</w:t>
      </w:r>
    </w:p>
    <w:p>
      <w:pPr>
        <w:spacing w:after="0" w:line="30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Pr>
          <w:p>
            <w:pPr>
              <w:spacing w:after="0"/>
              <w:rPr>
                <w:sz w:val="13"/>
                <w:szCs w:val="13"/>
                <w:color w:val="auto"/>
              </w:rPr>
            </w:pPr>
          </w:p>
        </w:tc>
        <w:tc>
          <w:tcPr>
            <w:tcW w:w="92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60" w:type="dxa"/>
            <w:vAlign w:val="bottom"/>
            <w:tcBorders>
              <w:top w:val="single" w:sz="8" w:color="auto"/>
            </w:tcBorders>
            <w:gridSpan w:val="3"/>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Lazard Statistics:</w:t>
            </w:r>
          </w:p>
        </w:tc>
        <w:tc>
          <w:tcPr>
            <w:tcW w:w="9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clients with fees greater than $1 million:</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5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Financial Advisory</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shd w:val="clear" w:color="auto" w:fill="CFF0FC"/>
          </w:tcPr>
          <w:p>
            <w:pPr>
              <w:spacing w:after="0"/>
              <w:rPr>
                <w:sz w:val="19"/>
                <w:szCs w:val="19"/>
                <w:color w:val="auto"/>
              </w:rPr>
            </w:pPr>
          </w:p>
        </w:tc>
      </w:tr>
      <w:tr>
        <w:trPr>
          <w:trHeight w:val="211"/>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total Financial Advisory net revenue</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from top 10 clients (a)</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1"/>
        </w:trPr>
        <w:tc>
          <w:tcPr>
            <w:tcW w:w="7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M&amp;A transactions completed with</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7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values greater than $500 million (b)</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1" w:lineRule="exact"/>
        <w:rPr>
          <w:sz w:val="20"/>
          <w:szCs w:val="20"/>
          <w:color w:val="auto"/>
        </w:rPr>
      </w:pPr>
    </w:p>
    <w:p>
      <w:pPr>
        <w:ind w:left="600" w:right="400" w:hanging="592"/>
        <w:spacing w:after="0" w:line="274"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client constituted more than 10% of our Financial Advisory segment net revenue in the years ended December 31, 2018, 2017 and 2016.</w:t>
      </w:r>
    </w:p>
    <w:p>
      <w:pPr>
        <w:ind w:left="600" w:hanging="592"/>
        <w:spacing w:after="0"/>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Dealogic as of January 4, 2019.</w:t>
      </w:r>
    </w:p>
    <w:p>
      <w:pPr>
        <w:spacing w:after="0" w:line="225"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5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598"/>
        <w:spacing w:after="0" w:line="258" w:lineRule="auto"/>
        <w:rPr>
          <w:sz w:val="20"/>
          <w:szCs w:val="20"/>
          <w:color w:val="auto"/>
        </w:rPr>
      </w:pPr>
      <w:r>
        <w:rPr>
          <w:rFonts w:ascii="Times New Roman" w:cs="Times New Roman" w:eastAsia="Times New Roman" w:hAnsi="Times New Roman"/>
          <w:sz w:val="18"/>
          <w:szCs w:val="18"/>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2018 versus December 31, 2017</w:t>
      </w:r>
    </w:p>
    <w:p>
      <w:pPr>
        <w:spacing w:after="0" w:line="121" w:lineRule="exact"/>
        <w:rPr>
          <w:sz w:val="20"/>
          <w:szCs w:val="20"/>
          <w:color w:val="auto"/>
        </w:rPr>
      </w:pPr>
    </w:p>
    <w:p>
      <w:pPr>
        <w:ind w:right="560" w:firstLine="598"/>
        <w:spacing w:after="0" w:line="282" w:lineRule="auto"/>
        <w:rPr>
          <w:sz w:val="20"/>
          <w:szCs w:val="20"/>
          <w:color w:val="auto"/>
        </w:rPr>
      </w:pPr>
      <w:r>
        <w:rPr>
          <w:rFonts w:ascii="Times New Roman" w:cs="Times New Roman" w:eastAsia="Times New Roman" w:hAnsi="Times New Roman"/>
          <w:sz w:val="18"/>
          <w:szCs w:val="18"/>
          <w:color w:val="auto"/>
        </w:rPr>
        <w:t>Financial Advisory net revenue increased $168 million, or 12%, as compared to 2017, which reflected an increase in M&amp;A Advisory revenue, partially offset by a decrease in Restructuring revenue. The increase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1" w:name="page52"/>
    <w:bookmarkEnd w:id="51"/>
    <w:p>
      <w:pPr>
        <w:ind w:right="120"/>
        <w:spacing w:after="0" w:line="282" w:lineRule="auto"/>
        <w:rPr>
          <w:sz w:val="20"/>
          <w:szCs w:val="20"/>
          <w:color w:val="auto"/>
        </w:rPr>
      </w:pPr>
      <w:r>
        <w:rPr>
          <w:rFonts w:ascii="Times New Roman" w:cs="Times New Roman" w:eastAsia="Times New Roman" w:hAnsi="Times New Roman"/>
          <w:sz w:val="18"/>
          <w:szCs w:val="18"/>
          <w:color w:val="auto"/>
        </w:rPr>
        <w:t>Financial Advisory net revenue was primarily due to an increase in the number of completed transactions involving fees greater than $5 million as compared to 2017.</w:t>
      </w:r>
    </w:p>
    <w:p>
      <w:pPr>
        <w:spacing w:after="0" w:line="162" w:lineRule="exact"/>
        <w:rPr>
          <w:sz w:val="20"/>
          <w:szCs w:val="20"/>
          <w:color w:val="auto"/>
        </w:rPr>
      </w:pPr>
    </w:p>
    <w:p>
      <w:pPr>
        <w:ind w:right="480" w:firstLine="598"/>
        <w:spacing w:after="0" w:line="282" w:lineRule="auto"/>
        <w:rPr>
          <w:sz w:val="20"/>
          <w:szCs w:val="20"/>
          <w:color w:val="auto"/>
        </w:rPr>
      </w:pPr>
      <w:r>
        <w:rPr>
          <w:rFonts w:ascii="Times New Roman" w:cs="Times New Roman" w:eastAsia="Times New Roman" w:hAnsi="Times New Roman"/>
          <w:sz w:val="18"/>
          <w:szCs w:val="18"/>
          <w:color w:val="auto"/>
        </w:rPr>
        <w:t>Operating expenses increased $55 million, or 5%, as compared to 2017, primarily due to an increase in compensation associated with increased revenue and the impact of the new revenue recognition guidance.</w:t>
      </w:r>
    </w:p>
    <w:p>
      <w:pPr>
        <w:spacing w:after="0" w:line="162" w:lineRule="exact"/>
        <w:rPr>
          <w:sz w:val="20"/>
          <w:szCs w:val="20"/>
          <w:color w:val="auto"/>
        </w:rPr>
      </w:pPr>
    </w:p>
    <w:p>
      <w:pPr>
        <w:ind w:right="340" w:firstLine="598"/>
        <w:spacing w:after="0" w:line="282" w:lineRule="auto"/>
        <w:rPr>
          <w:sz w:val="20"/>
          <w:szCs w:val="20"/>
          <w:color w:val="auto"/>
        </w:rPr>
      </w:pPr>
      <w:r>
        <w:rPr>
          <w:rFonts w:ascii="Times New Roman" w:cs="Times New Roman" w:eastAsia="Times New Roman" w:hAnsi="Times New Roman"/>
          <w:sz w:val="18"/>
          <w:szCs w:val="18"/>
          <w:color w:val="auto"/>
        </w:rPr>
        <w:t>Financial Advisory operating income was $357 million, an increase of $113 million, or 46%, as compared to operating income of $244 million in 2017 and, as a percentage of net revenue, was 22.9%, as compared to 17.6% in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2017 versus December 31, 2016</w:t>
      </w:r>
    </w:p>
    <w:p>
      <w:pPr>
        <w:spacing w:after="0" w:line="121" w:lineRule="exact"/>
        <w:rPr>
          <w:sz w:val="20"/>
          <w:szCs w:val="20"/>
          <w:color w:val="auto"/>
        </w:rPr>
      </w:pPr>
    </w:p>
    <w:p>
      <w:pPr>
        <w:ind w:right="260" w:firstLine="598"/>
        <w:spacing w:after="0" w:line="266" w:lineRule="auto"/>
        <w:rPr>
          <w:sz w:val="20"/>
          <w:szCs w:val="20"/>
          <w:color w:val="auto"/>
        </w:rPr>
      </w:pPr>
      <w:r>
        <w:rPr>
          <w:rFonts w:ascii="Times New Roman" w:cs="Times New Roman" w:eastAsia="Times New Roman" w:hAnsi="Times New Roman"/>
          <w:sz w:val="18"/>
          <w:szCs w:val="18"/>
          <w:color w:val="auto"/>
        </w:rPr>
        <w:t>Financial Advisory net revenue increased $87 million, or 7%, as compared to 2016, which reflected an increase in M&amp;A Advisory revenue and Restructuring revenue. The increase in Financial Advisory net revenue was primarily due to an increase in the number of completed transactions involving fees greater than $1 million as compared to 2016.</w:t>
      </w:r>
    </w:p>
    <w:p>
      <w:pPr>
        <w:spacing w:after="0" w:line="176" w:lineRule="exact"/>
        <w:rPr>
          <w:sz w:val="20"/>
          <w:szCs w:val="20"/>
          <w:color w:val="auto"/>
        </w:rPr>
      </w:pPr>
    </w:p>
    <w:p>
      <w:pPr>
        <w:ind w:right="300" w:firstLine="598"/>
        <w:spacing w:after="0" w:line="282" w:lineRule="auto"/>
        <w:rPr>
          <w:sz w:val="20"/>
          <w:szCs w:val="20"/>
          <w:color w:val="auto"/>
        </w:rPr>
      </w:pPr>
      <w:r>
        <w:rPr>
          <w:rFonts w:ascii="Times New Roman" w:cs="Times New Roman" w:eastAsia="Times New Roman" w:hAnsi="Times New Roman"/>
          <w:sz w:val="18"/>
          <w:szCs w:val="18"/>
          <w:color w:val="auto"/>
        </w:rPr>
        <w:t>Operating expenses increased $127 million, or 12%, as compared to 2016, primarily due to an increase in compensation associated with increased revenue.</w:t>
      </w:r>
    </w:p>
    <w:p>
      <w:pPr>
        <w:spacing w:after="0" w:line="162" w:lineRule="exact"/>
        <w:rPr>
          <w:sz w:val="20"/>
          <w:szCs w:val="20"/>
          <w:color w:val="auto"/>
        </w:rPr>
      </w:pPr>
    </w:p>
    <w:p>
      <w:pPr>
        <w:ind w:right="80" w:firstLine="598"/>
        <w:spacing w:after="0" w:line="282" w:lineRule="auto"/>
        <w:rPr>
          <w:sz w:val="20"/>
          <w:szCs w:val="20"/>
          <w:color w:val="auto"/>
        </w:rPr>
      </w:pPr>
      <w:r>
        <w:rPr>
          <w:rFonts w:ascii="Times New Roman" w:cs="Times New Roman" w:eastAsia="Times New Roman" w:hAnsi="Times New Roman"/>
          <w:sz w:val="18"/>
          <w:szCs w:val="18"/>
          <w:color w:val="auto"/>
        </w:rPr>
        <w:t>Financial Advisory operating income was $244 million, a decrease of $40 million, or 14%, as compared to operating income of $284 million in 2016 and, as a percentage of net revenue, was 17.6%, as compared to 21.8% in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Management</w:t>
      </w:r>
    </w:p>
    <w:p>
      <w:pPr>
        <w:spacing w:after="0" w:line="121" w:lineRule="exact"/>
        <w:rPr>
          <w:sz w:val="20"/>
          <w:szCs w:val="20"/>
          <w:color w:val="auto"/>
        </w:rPr>
      </w:pPr>
    </w:p>
    <w:p>
      <w:pPr>
        <w:ind w:right="26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composition of AUM for the Asset Management segment (see Item 1, “Business—Principal Business Lines—Asset Management—Investment Strategies”):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4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AUM by Asset Class: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Emerging Markets</w:t>
            </w:r>
          </w:p>
        </w:tc>
        <w:tc>
          <w:tcPr>
            <w:tcW w:w="27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41,899</w:t>
            </w:r>
          </w:p>
        </w:tc>
        <w:tc>
          <w:tcPr>
            <w:tcW w:w="6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52,349</w:t>
            </w:r>
          </w:p>
        </w:tc>
        <w:tc>
          <w:tcPr>
            <w:tcW w:w="56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41,363</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30,567</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36,243</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57,589</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70,696</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54,668</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Equity</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176,998</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209,358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162,841</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Income:</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Emerging Markets</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Global</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Local</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Multi-Regional</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Fixed Income</w:t>
            </w:r>
          </w:p>
        </w:tc>
        <w:tc>
          <w:tcPr>
            <w:tcW w:w="2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32,938</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10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Private Equity</w:t>
            </w:r>
          </w:p>
        </w:tc>
        <w:tc>
          <w:tcPr>
            <w:tcW w:w="2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FF0FC"/>
          </w:tcPr>
          <w:p>
            <w:pPr>
              <w:spacing w:after="0"/>
              <w:rPr>
                <w:sz w:val="19"/>
                <w:szCs w:val="19"/>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Management</w:t>
            </w:r>
          </w:p>
        </w:tc>
        <w:tc>
          <w:tcPr>
            <w:tcW w:w="24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FF0FC"/>
            </w:tcBorders>
          </w:tcPr>
          <w:p>
            <w:pPr>
              <w:spacing w:after="0"/>
              <w:rPr>
                <w:sz w:val="19"/>
                <w:szCs w:val="19"/>
                <w:color w:val="auto"/>
              </w:rPr>
            </w:pPr>
          </w:p>
        </w:tc>
      </w:tr>
      <w:tr>
        <w:trPr>
          <w:trHeight w:val="223"/>
        </w:trPr>
        <w:tc>
          <w:tcPr>
            <w:tcW w:w="43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AUM</w:t>
            </w:r>
          </w:p>
        </w:tc>
        <w:tc>
          <w:tcPr>
            <w:tcW w:w="2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214,734</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249,459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598"/>
        <w:spacing w:after="0" w:line="266" w:lineRule="auto"/>
        <w:rPr>
          <w:sz w:val="20"/>
          <w:szCs w:val="20"/>
          <w:color w:val="auto"/>
        </w:rPr>
      </w:pPr>
      <w:r>
        <w:rPr>
          <w:rFonts w:ascii="Times New Roman" w:cs="Times New Roman" w:eastAsia="Times New Roman" w:hAnsi="Times New Roman"/>
          <w:sz w:val="18"/>
          <w:szCs w:val="18"/>
          <w:color w:val="auto"/>
        </w:rPr>
        <w:t>Total AUM at December 31, 2018 was $215 billion, a decrease of $34 billion, or 14%, as compared to total AUM of $249 billion at December 31, 2017, due to market depreciation, foreign exchange depreciation and net outflows. Average AUM for the year ended December 31, 2018 increased $15 billion, or 6%, as compared to 2017.</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2" w:name="page53"/>
    <w:bookmarkEnd w:id="52"/>
    <w:p>
      <w:pPr>
        <w:ind w:right="340" w:firstLine="598"/>
        <w:spacing w:after="0" w:line="261" w:lineRule="auto"/>
        <w:rPr>
          <w:sz w:val="20"/>
          <w:szCs w:val="20"/>
          <w:color w:val="auto"/>
        </w:rPr>
      </w:pPr>
      <w:r>
        <w:rPr>
          <w:rFonts w:ascii="Times New Roman" w:cs="Times New Roman" w:eastAsia="Times New Roman" w:hAnsi="Times New Roman"/>
          <w:sz w:val="18"/>
          <w:szCs w:val="18"/>
          <w:color w:val="auto"/>
        </w:rPr>
        <w:t>As of both December 31, 2018 and 2017, approximately 88% of our AUM was managed on behalf of institutional clients, including corporations, labor unions, public pension funds, insurance companies and banks, and through sub-advisory relationships, mutual fund sponsors, broker-dealers and registered advisors. As of both December 31, 2018 and 2017, approximately 12% of our AUM was managed on behalf of individual client relationships, which are principally with family offices and individuals.</w:t>
      </w:r>
    </w:p>
    <w:p>
      <w:pPr>
        <w:spacing w:after="0" w:line="180" w:lineRule="exact"/>
        <w:rPr>
          <w:sz w:val="20"/>
          <w:szCs w:val="20"/>
          <w:color w:val="auto"/>
        </w:rPr>
      </w:pPr>
    </w:p>
    <w:p>
      <w:pPr>
        <w:ind w:right="160" w:firstLine="598"/>
        <w:spacing w:after="0" w:line="266" w:lineRule="auto"/>
        <w:rPr>
          <w:sz w:val="20"/>
          <w:szCs w:val="20"/>
          <w:color w:val="auto"/>
        </w:rPr>
      </w:pPr>
      <w:r>
        <w:rPr>
          <w:rFonts w:ascii="Times New Roman" w:cs="Times New Roman" w:eastAsia="Times New Roman" w:hAnsi="Times New Roman"/>
          <w:sz w:val="18"/>
          <w:szCs w:val="18"/>
          <w:color w:val="auto"/>
        </w:rPr>
        <w:t>As of December 31, 2018, AUM with foreign currency exposure represented approximately 70% of our total AUM, as compared to 74% at December 31, 2017. AUM with foreign currency exposure generally declines in value with the strengthening of the U.S. Dollar and increases in value as the U.S. Dollar weakens, with all other factors held constant.</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is a summary of changes in AUM by asset class for the years ended December 31, 2018, 2017 and 2016:</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8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(37,211)</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(5,554)</w:t>
            </w:r>
          </w:p>
        </w:tc>
        <w:tc>
          <w:tcPr>
            <w:tcW w:w="40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(6,839)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249,459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98"/>
        <w:spacing w:after="0" w:line="261" w:lineRule="auto"/>
        <w:rPr>
          <w:sz w:val="20"/>
          <w:szCs w:val="20"/>
          <w:color w:val="auto"/>
        </w:rPr>
      </w:pPr>
      <w:r>
        <w:rPr>
          <w:rFonts w:ascii="Times New Roman" w:cs="Times New Roman" w:eastAsia="Times New Roman" w:hAnsi="Times New Roman"/>
          <w:sz w:val="18"/>
          <w:szCs w:val="18"/>
          <w:color w:val="auto"/>
        </w:rPr>
        <w:t>Inflows in the Equity asset class were primarily attributable to the Global, Multi-Regional and Emerging Markets platforms, and inflows in the Fixed Income asset class were primarily attributable to the Emerging Markets, Global and Local platforms. Outflows in the Equity asset class were primarily attributable to the Multi-Regional, Emerging Markets and Global equity platforms, and outflows in the Fixed Income asset class were primarily attributable to the Emerging Markets and Global platforms.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8"/>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197,910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Year Ended December 31, 2016</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Pr>
          <w:p>
            <w:pPr>
              <w:spacing w:after="0"/>
              <w:rPr>
                <w:sz w:val="12"/>
                <w:szCs w:val="12"/>
                <w:color w:val="auto"/>
              </w:rPr>
            </w:pPr>
          </w:p>
        </w:tc>
        <w:tc>
          <w:tcPr>
            <w:tcW w:w="7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Inflows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2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31,722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(30,931)</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(3,013)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186,380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3" w:name="page54"/>
    <w:bookmarkEnd w:id="53"/>
    <w:p>
      <w:pPr>
        <w:ind w:right="500" w:firstLine="598"/>
        <w:spacing w:after="0" w:line="282" w:lineRule="auto"/>
        <w:rPr>
          <w:sz w:val="20"/>
          <w:szCs w:val="20"/>
          <w:color w:val="auto"/>
        </w:rPr>
      </w:pPr>
      <w:r>
        <w:rPr>
          <w:rFonts w:ascii="Times New Roman" w:cs="Times New Roman" w:eastAsia="Times New Roman" w:hAnsi="Times New Roman"/>
          <w:sz w:val="18"/>
          <w:szCs w:val="18"/>
          <w:color w:val="auto"/>
        </w:rPr>
        <w:t>As of February 19, 2019, AUM was $232.2 billion, a $17.5 billion increase since December 31, 2018. The increase in AUM was due to market appreciation of $16.2 billion and net inflows of $1.4 billion, offset by foreign exchange depreciation of $0.1 billion.</w:t>
      </w:r>
    </w:p>
    <w:p>
      <w:pPr>
        <w:spacing w:after="0" w:line="162" w:lineRule="exact"/>
        <w:rPr>
          <w:sz w:val="20"/>
          <w:szCs w:val="20"/>
          <w:color w:val="auto"/>
        </w:rPr>
      </w:pPr>
    </w:p>
    <w:p>
      <w:pPr>
        <w:ind w:right="340" w:firstLine="598"/>
        <w:spacing w:after="0" w:line="282" w:lineRule="auto"/>
        <w:rPr>
          <w:sz w:val="20"/>
          <w:szCs w:val="20"/>
          <w:color w:val="auto"/>
        </w:rPr>
      </w:pPr>
      <w:r>
        <w:rPr>
          <w:rFonts w:ascii="Times New Roman" w:cs="Times New Roman" w:eastAsia="Times New Roman" w:hAnsi="Times New Roman"/>
          <w:sz w:val="18"/>
          <w:szCs w:val="18"/>
          <w:color w:val="auto"/>
        </w:rPr>
        <w:t>Average AUM for the years ended December 31, 2018, 2017 and 2016 for each significant asset class is set forth below. Average AUM generally represents the average of the monthly ending AUM balances for the period.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Average AUM by Asset Class:</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w:t>
            </w:r>
          </w:p>
        </w:tc>
        <w:tc>
          <w:tcPr>
            <w:tcW w:w="2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201,404</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188,796</w:t>
            </w:r>
          </w:p>
        </w:tc>
        <w:tc>
          <w:tcPr>
            <w:tcW w:w="180" w:type="dxa"/>
            <w:vAlign w:val="bottom"/>
          </w:tcPr>
          <w:p>
            <w:pPr>
              <w:spacing w:after="0"/>
              <w:rPr>
                <w:sz w:val="19"/>
                <w:szCs w:val="19"/>
                <w:color w:val="auto"/>
              </w:rPr>
            </w:pP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158,747</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Income</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31,516</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Alternative Investments</w:t>
            </w: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Private Equity</w:t>
            </w:r>
          </w:p>
        </w:tc>
        <w:tc>
          <w:tcPr>
            <w:tcW w:w="2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Cash Management</w:t>
            </w:r>
          </w:p>
        </w:tc>
        <w:tc>
          <w:tcPr>
            <w:tcW w:w="2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Average AUM</w:t>
            </w:r>
          </w:p>
        </w:tc>
        <w:tc>
          <w:tcPr>
            <w:tcW w:w="2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241,247</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226,525</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Asset Management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1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1,331,801</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1,255,820</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1,051,316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912,110</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810,870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769,737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419,691</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444,950</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281,579</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 of net revenue</w:t>
            </w: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598"/>
        <w:spacing w:after="0" w:line="282" w:lineRule="auto"/>
        <w:rPr>
          <w:sz w:val="20"/>
          <w:szCs w:val="20"/>
          <w:color w:val="auto"/>
        </w:rPr>
      </w:pPr>
      <w:r>
        <w:rPr>
          <w:rFonts w:ascii="Times New Roman" w:cs="Times New Roman" w:eastAsia="Times New Roman" w:hAnsi="Times New Roman"/>
          <w:sz w:val="18"/>
          <w:szCs w:val="18"/>
          <w:color w:val="auto"/>
        </w:rPr>
        <w:t>Our top ten clients accounted for 26%, 25% and 21% of our total AUM at December 31, 2018, 2017 and 2016, respectively, and no individual client constituted more than 10% of our Asset Management segment net revenue during any of the respective years.</w:t>
      </w:r>
    </w:p>
    <w:p>
      <w:pPr>
        <w:spacing w:after="0" w:line="162" w:lineRule="exact"/>
        <w:rPr>
          <w:sz w:val="20"/>
          <w:szCs w:val="20"/>
          <w:color w:val="auto"/>
        </w:rPr>
      </w:pPr>
    </w:p>
    <w:p>
      <w:pPr>
        <w:ind w:right="380" w:firstLine="598"/>
        <w:spacing w:after="0" w:line="266" w:lineRule="auto"/>
        <w:rPr>
          <w:sz w:val="20"/>
          <w:szCs w:val="20"/>
          <w:color w:val="auto"/>
        </w:rPr>
      </w:pPr>
      <w:r>
        <w:rPr>
          <w:rFonts w:ascii="Times New Roman" w:cs="Times New Roman" w:eastAsia="Times New Roman" w:hAnsi="Times New Roman"/>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25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9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9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2018 versus December 31, 2017</w:t>
      </w:r>
    </w:p>
    <w:p>
      <w:pPr>
        <w:spacing w:after="0" w:line="121" w:lineRule="exact"/>
        <w:rPr>
          <w:sz w:val="20"/>
          <w:szCs w:val="20"/>
          <w:color w:val="auto"/>
        </w:rPr>
      </w:pPr>
    </w:p>
    <w:p>
      <w:pPr>
        <w:jc w:val="both"/>
        <w:ind w:right="460" w:firstLine="598"/>
        <w:spacing w:after="0" w:line="266" w:lineRule="auto"/>
        <w:rPr>
          <w:sz w:val="20"/>
          <w:szCs w:val="20"/>
          <w:color w:val="auto"/>
        </w:rPr>
      </w:pPr>
      <w:r>
        <w:rPr>
          <w:rFonts w:ascii="Times New Roman" w:cs="Times New Roman" w:eastAsia="Times New Roman" w:hAnsi="Times New Roman"/>
          <w:sz w:val="18"/>
          <w:szCs w:val="18"/>
          <w:color w:val="auto"/>
        </w:rPr>
        <w:t>Asset Management net revenue increased $76 million, or 6%, as compared to 2017. Management fees and other revenue was $1,311 million, an increase of $101 million, or 8%, as compared to $1,210 million in 2017, primarily due to an increase in average AUM, as well as the impact of the new revenue recognition guidance. Incentive fees were $21 million, a decrease of $25 million as compared to $46 million in 2017.</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Operating expenses increased $101 million, or 12%, as compared to 2017, primarily due to the impact of the new revenue recognition guidance.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jc w:val="both"/>
        <w:ind w:right="160" w:firstLine="598"/>
        <w:spacing w:after="0" w:line="282" w:lineRule="auto"/>
        <w:rPr>
          <w:sz w:val="20"/>
          <w:szCs w:val="20"/>
          <w:color w:val="auto"/>
        </w:rPr>
      </w:pPr>
      <w:r>
        <w:rPr>
          <w:rFonts w:ascii="Times New Roman" w:cs="Times New Roman" w:eastAsia="Times New Roman" w:hAnsi="Times New Roman"/>
          <w:sz w:val="18"/>
          <w:szCs w:val="18"/>
          <w:color w:val="auto"/>
        </w:rPr>
        <w:t>Asset Management operating income was $420 million, a decrease of $25 million, or 6%, as compared to operating income of $445 million in 2017 and, as a percentage of net revenue, was 31.5%, as compared to 35.4% in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2017 versus December 31, 2016</w:t>
      </w:r>
    </w:p>
    <w:p>
      <w:pPr>
        <w:spacing w:after="0" w:line="121" w:lineRule="exact"/>
        <w:rPr>
          <w:sz w:val="20"/>
          <w:szCs w:val="20"/>
          <w:color w:val="auto"/>
        </w:rPr>
      </w:pPr>
    </w:p>
    <w:p>
      <w:pPr>
        <w:jc w:val="both"/>
        <w:ind w:right="180" w:firstLine="598"/>
        <w:spacing w:after="0" w:line="266" w:lineRule="auto"/>
        <w:rPr>
          <w:sz w:val="20"/>
          <w:szCs w:val="20"/>
          <w:color w:val="auto"/>
        </w:rPr>
      </w:pPr>
      <w:r>
        <w:rPr>
          <w:rFonts w:ascii="Times New Roman" w:cs="Times New Roman" w:eastAsia="Times New Roman" w:hAnsi="Times New Roman"/>
          <w:sz w:val="18"/>
          <w:szCs w:val="18"/>
          <w:color w:val="auto"/>
        </w:rPr>
        <w:t>Asset Management net revenue increased $205 million, or 20%, as compared to 2016. Management fees and other revenue was $1,210 million, an increase of $175 million, or 17%, as compared to $1,035 million in 2016, primarily due to an increase in average AUM. Incentive fees were $46 million, an increase of $30 million as compared to $16 million in 2016.</w:t>
      </w:r>
    </w:p>
    <w:p>
      <w:pPr>
        <w:spacing w:after="0" w:line="176" w:lineRule="exact"/>
        <w:rPr>
          <w:sz w:val="20"/>
          <w:szCs w:val="20"/>
          <w:color w:val="auto"/>
        </w:rPr>
      </w:pPr>
    </w:p>
    <w:p>
      <w:pPr>
        <w:ind w:right="620" w:firstLine="598"/>
        <w:spacing w:after="0" w:line="282" w:lineRule="auto"/>
        <w:rPr>
          <w:sz w:val="20"/>
          <w:szCs w:val="20"/>
          <w:color w:val="auto"/>
        </w:rPr>
      </w:pPr>
      <w:r>
        <w:rPr>
          <w:rFonts w:ascii="Times New Roman" w:cs="Times New Roman" w:eastAsia="Times New Roman" w:hAnsi="Times New Roman"/>
          <w:sz w:val="18"/>
          <w:szCs w:val="18"/>
          <w:color w:val="auto"/>
        </w:rPr>
        <w:t>Operating expenses increased $41 million, or 5%, as compared to 2016, primarily due to increases in compensation associated with increased revenue.</w:t>
      </w:r>
    </w:p>
    <w:p>
      <w:pPr>
        <w:spacing w:after="0" w:line="162" w:lineRule="exact"/>
        <w:rPr>
          <w:sz w:val="20"/>
          <w:szCs w:val="20"/>
          <w:color w:val="auto"/>
        </w:rPr>
      </w:pPr>
    </w:p>
    <w:p>
      <w:pPr>
        <w:ind w:right="340" w:firstLine="598"/>
        <w:spacing w:after="0" w:line="282" w:lineRule="auto"/>
        <w:rPr>
          <w:sz w:val="20"/>
          <w:szCs w:val="20"/>
          <w:color w:val="auto"/>
        </w:rPr>
      </w:pPr>
      <w:r>
        <w:rPr>
          <w:rFonts w:ascii="Times New Roman" w:cs="Times New Roman" w:eastAsia="Times New Roman" w:hAnsi="Times New Roman"/>
          <w:sz w:val="18"/>
          <w:szCs w:val="18"/>
          <w:color w:val="auto"/>
        </w:rPr>
        <w:t>Asset Management operating income was $445 million, an increase of $163 million, or 58%, as compared to operating income of $282 million in 2016 and, as a percentage of net revenue, was 35.4%, as compared to 26.8% in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Corporate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17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17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(55,021)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(49,458)</w:t>
            </w:r>
          </w:p>
        </w:tc>
      </w:tr>
      <w:tr>
        <w:trPr>
          <w:trHeight w:val="223"/>
        </w:trPr>
        <w:tc>
          <w:tcPr>
            <w:tcW w:w="458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Interest (Expense)</w:t>
            </w:r>
          </w:p>
        </w:tc>
        <w:tc>
          <w:tcPr>
            <w:tcW w:w="2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(45,914)</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 (Expense)</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(17,106)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27,085</w:t>
            </w:r>
          </w:p>
        </w:tc>
        <w:tc>
          <w:tcPr>
            <w:tcW w:w="100" w:type="dxa"/>
            <w:vAlign w:val="bottom"/>
          </w:tcPr>
          <w:p>
            <w:pPr>
              <w:spacing w:after="0"/>
              <w:rPr>
                <w:sz w:val="19"/>
                <w:szCs w:val="19"/>
                <w:color w:val="auto"/>
              </w:rPr>
            </w:pPr>
          </w:p>
        </w:tc>
      </w:tr>
      <w:tr>
        <w:trPr>
          <w:trHeight w:val="223"/>
        </w:trPr>
        <w:tc>
          <w:tcPr>
            <w:tcW w:w="458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Revenue (Expense)</w:t>
            </w:r>
          </w:p>
        </w:tc>
        <w:tc>
          <w:tcPr>
            <w:tcW w:w="2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(60,975)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(Benefit) (a)</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(135,591)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29,118</w:t>
            </w:r>
          </w:p>
        </w:tc>
        <w:tc>
          <w:tcPr>
            <w:tcW w:w="100" w:type="dxa"/>
            <w:vAlign w:val="bottom"/>
          </w:tcPr>
          <w:p>
            <w:pPr>
              <w:spacing w:after="0"/>
              <w:rPr>
                <w:sz w:val="19"/>
                <w:szCs w:val="19"/>
                <w:color w:val="auto"/>
              </w:rPr>
            </w:pPr>
          </w:p>
        </w:tc>
      </w:tr>
      <w:tr>
        <w:trPr>
          <w:trHeight w:val="223"/>
        </w:trPr>
        <w:tc>
          <w:tcPr>
            <w:tcW w:w="45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ind w:left="600" w:right="100" w:hanging="592"/>
        <w:spacing w:after="0" w:line="261" w:lineRule="auto"/>
        <w:tabs>
          <w:tab w:leader="none" w:pos="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in 2018, $6,523 relating to the partial redemption of the Company’s 2020 Notes, $10,000 relating to expenses associated with the unconditional commitment to the Lazard Foundation and $6,495 relating to the benefit pursuant to the tax receivable agreement, (ii) in 2017, $202,546 relating to the benefit pursuant to the tax receivable agreement and (iii) in 2016, $3,148 relating to the redemption of the remaining portion of the Company’s 2017 Notes.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Corporate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2018 versus December 31, 2017</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 interest expense decreased $2 million, or 4%, as compared to 2017.</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revenue decreased $64 million as compared to 2017, primarily due to lower gains in 2018 attributable to investments held in connection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LFI.</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Operating expenses increased $170 million as compared to 2017. Operating expenses included, in 2018 and 2017, benefits of $6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million, respectively, pursuant to the tax receivable agreement (see Note 19 of Notes to Consolidated Financial Statements). Excluding the impact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benefits, operating expenses decreased $26 million compared to 2017, primarily due to a decrease in compensation and benefits expense, including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charges pertaining to LFI, partially offset by charges of $10 million associated with the unconditional commitment to the Lazard Foundation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million relating to the redemption of a portion of the 2020 Notes in 2018.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2017 versus December 31, 2016</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 interest expense remained substantially unchanged as compared to 2016.</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revenue increased $20 million, or 73%, as compared to 2016, primarily due to gains in 2017 attributable to investments held in connection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LFI.</w:t>
      </w:r>
    </w:p>
    <w:p>
      <w:pPr>
        <w:spacing w:after="0" w:line="207" w:lineRule="exact"/>
        <w:rPr>
          <w:sz w:val="20"/>
          <w:szCs w:val="20"/>
          <w:color w:val="auto"/>
        </w:rPr>
      </w:pPr>
    </w:p>
    <w:p>
      <w:pPr>
        <w:ind w:right="100" w:firstLine="598"/>
        <w:spacing w:after="0" w:line="266" w:lineRule="auto"/>
        <w:rPr>
          <w:sz w:val="20"/>
          <w:szCs w:val="20"/>
          <w:color w:val="auto"/>
        </w:rPr>
      </w:pPr>
      <w:r>
        <w:rPr>
          <w:rFonts w:ascii="Times New Roman" w:cs="Times New Roman" w:eastAsia="Times New Roman" w:hAnsi="Times New Roman"/>
          <w:sz w:val="18"/>
          <w:szCs w:val="18"/>
          <w:color w:val="auto"/>
        </w:rPr>
        <w:t>Operating expenses decreased $165 million as compared to 2016. Operating expenses included, in 2017, a benefit of $203 million pursuant to the tax receivable agreement (see Note 19 of Notes to Consolidated Financial Statements). Excluding the impact of such benefit, operating expenses increased $38 million compared to 2016, primarily due to an increase in compensation and benefits expense, including an increase in charges pertaining to LFI.</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right="80" w:firstLine="598"/>
        <w:spacing w:after="0" w:line="258" w:lineRule="auto"/>
        <w:rPr>
          <w:sz w:val="20"/>
          <w:szCs w:val="20"/>
          <w:color w:val="auto"/>
        </w:rPr>
      </w:pPr>
      <w:r>
        <w:rPr>
          <w:rFonts w:ascii="Times New Roman" w:cs="Times New Roman" w:eastAsia="Times New Roman" w:hAnsi="Times New Roman"/>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also were affected: (i) in 2018, by Lazard Group’s issuance of $500 million aggregate principal amount of its 4.50% senior notes maturing in 2028 (the “2028 Notes”) and the redemption of a portion of the 2020 Notes and (ii) in 2016, by the issuance of the 2027 Notes and the redemption of the remaining balance of the 2017 Notes.</w:t>
      </w:r>
    </w:p>
    <w:p>
      <w:pPr>
        <w:spacing w:after="0" w:line="76" w:lineRule="exact"/>
        <w:rPr>
          <w:sz w:val="20"/>
          <w:szCs w:val="20"/>
          <w:color w:val="auto"/>
        </w:rPr>
      </w:pPr>
    </w:p>
    <w:p>
      <w:pPr>
        <w:jc w:val="both"/>
        <w:ind w:right="500" w:firstLine="598"/>
        <w:spacing w:after="0" w:line="266" w:lineRule="auto"/>
        <w:rPr>
          <w:sz w:val="20"/>
          <w:szCs w:val="20"/>
          <w:color w:val="auto"/>
        </w:rPr>
      </w:pPr>
      <w:r>
        <w:rPr>
          <w:rFonts w:ascii="Times New Roman" w:cs="Times New Roman" w:eastAsia="Times New Roman" w:hAnsi="Times New Roman"/>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76" w:lineRule="exact"/>
        <w:rPr>
          <w:sz w:val="20"/>
          <w:szCs w:val="20"/>
          <w:color w:val="auto"/>
        </w:rPr>
      </w:pPr>
    </w:p>
    <w:p>
      <w:pPr>
        <w:ind w:right="420" w:firstLine="598"/>
        <w:spacing w:after="0" w:line="282" w:lineRule="auto"/>
        <w:rPr>
          <w:sz w:val="20"/>
          <w:szCs w:val="20"/>
          <w:color w:val="auto"/>
        </w:rPr>
      </w:pPr>
      <w:r>
        <w:rPr>
          <w:rFonts w:ascii="Times New Roman" w:cs="Times New Roman" w:eastAsia="Times New Roman" w:hAnsi="Times New Roman"/>
          <w:sz w:val="18"/>
          <w:szCs w:val="18"/>
          <w:color w:val="auto"/>
        </w:rPr>
        <w:t>The Company makes cash payments for, or in respect of, a significant portion of its incentive compensation during the first three months of each calendar year with respect to the prior year’s results. The Company also paid a special dividend in 2018, 2017 and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(a)</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operating activities (b)</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activities (c)</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54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(Decrease) Increase in Cash and Cash Equivalents and</w:t>
            </w: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Consists of the following:</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4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56"/>
        </w:trPr>
        <w:tc>
          <w:tcPr>
            <w:tcW w:w="4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4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1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deferred expenses and stock units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provision</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and other acquisition-related (benefits) costs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pursuant to tax receivable agreement</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acquisition of portion of business already owned</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r>
      <w:tr>
        <w:trPr>
          <w:trHeight w:val="22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11150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600" w:hanging="592"/>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changes in operating assets and liabilities.</w:t>
      </w:r>
    </w:p>
    <w:p>
      <w:pPr>
        <w:spacing w:after="0" w:line="49" w:lineRule="exact"/>
        <w:rPr>
          <w:rFonts w:ascii="Times New Roman" w:cs="Times New Roman" w:eastAsia="Times New Roman" w:hAnsi="Times New Roman"/>
          <w:sz w:val="18"/>
          <w:szCs w:val="18"/>
          <w:color w:val="auto"/>
        </w:rPr>
      </w:pPr>
    </w:p>
    <w:p>
      <w:pPr>
        <w:ind w:left="600" w:right="180" w:hanging="592"/>
        <w:spacing w:after="0" w:line="261"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purchases of shares of Class A common stock, tax withholdings related to the settlement of RSUs, restricted stock awards and PRSUs, Class A common stock dividends, changes in customer deposits, distributions to noncontrolling interest holders, activity relating to borrowings (including, in 2018, the redemption of a portion of the 2020 Notes and issuance of the 2028 Notes and, in 2016, the redemption of the remaining balance of the Company’s 2017 Notes and issuance of the 2027 Notes), and payments made under the tax receivable agreement.</w:t>
      </w:r>
    </w:p>
    <w:p>
      <w:pPr>
        <w:spacing w:after="0" w:line="261" w:lineRule="exact"/>
        <w:rPr>
          <w:sz w:val="20"/>
          <w:szCs w:val="20"/>
          <w:color w:val="auto"/>
        </w:rPr>
      </w:pPr>
    </w:p>
    <w:p>
      <w:pPr>
        <w:ind w:right="340" w:firstLine="598"/>
        <w:spacing w:after="0" w:line="282" w:lineRule="auto"/>
        <w:rPr>
          <w:sz w:val="20"/>
          <w:szCs w:val="20"/>
          <w:color w:val="auto"/>
        </w:rPr>
      </w:pPr>
      <w:r>
        <w:rPr>
          <w:rFonts w:ascii="Times New Roman" w:cs="Times New Roman" w:eastAsia="Times New Roman" w:hAnsi="Times New Roman"/>
          <w:sz w:val="18"/>
          <w:szCs w:val="18"/>
          <w:color w:val="auto"/>
        </w:rPr>
        <w:t>See Note 3 of Notes to Consolidated Financial Statements for a discussion of new accounting guidance impacting the Consolidated Statements of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Company’s liquidity and capital resources are derived from operating activities, financing activities and equity offerings.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20" w:firstLine="598"/>
        <w:spacing w:after="0" w:line="313" w:lineRule="auto"/>
        <w:rPr>
          <w:sz w:val="20"/>
          <w:szCs w:val="20"/>
          <w:color w:val="auto"/>
        </w:rPr>
      </w:pPr>
      <w:r>
        <w:rPr>
          <w:rFonts w:ascii="Times New Roman" w:cs="Times New Roman" w:eastAsia="Times New Roman" w:hAnsi="Times New Roman"/>
          <w:sz w:val="17"/>
          <w:szCs w:val="17"/>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38" w:lineRule="exact"/>
        <w:rPr>
          <w:sz w:val="20"/>
          <w:szCs w:val="20"/>
          <w:color w:val="auto"/>
        </w:rPr>
      </w:pPr>
    </w:p>
    <w:p>
      <w:pPr>
        <w:ind w:right="80" w:firstLine="598"/>
        <w:spacing w:after="0" w:line="261" w:lineRule="auto"/>
        <w:rPr>
          <w:sz w:val="20"/>
          <w:szCs w:val="20"/>
          <w:color w:val="auto"/>
        </w:rPr>
      </w:pPr>
      <w:r>
        <w:rPr>
          <w:rFonts w:ascii="Times New Roman" w:cs="Times New Roman" w:eastAsia="Times New Roman" w:hAnsi="Times New Roman"/>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0"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year ended December 31, 2018, as reflected on the consolidated statements of financial condition, both “deposits with banks and short-term investments” and “deposits and other customer payables” increased as compared to December 31, 2017, due to a higher level of LFB customer-related demand deposits, primarily from clients and funds managed by LFG.</w:t>
      </w:r>
    </w:p>
    <w:p>
      <w:pPr>
        <w:spacing w:after="0" w:line="182" w:lineRule="exact"/>
        <w:rPr>
          <w:sz w:val="20"/>
          <w:szCs w:val="20"/>
          <w:color w:val="auto"/>
        </w:rPr>
      </w:pPr>
    </w:p>
    <w:p>
      <w:pPr>
        <w:ind w:right="80" w:firstLine="598"/>
        <w:spacing w:after="0" w:line="259" w:lineRule="auto"/>
        <w:rPr>
          <w:sz w:val="20"/>
          <w:szCs w:val="20"/>
          <w:color w:val="auto"/>
        </w:rPr>
      </w:pPr>
      <w:r>
        <w:rPr>
          <w:rFonts w:ascii="Times New Roman" w:cs="Times New Roman" w:eastAsia="Times New Roman" w:hAnsi="Times New Roman"/>
          <w:sz w:val="18"/>
          <w:szCs w:val="18"/>
          <w:color w:val="auto"/>
        </w:rPr>
        <w:t>Lazard’s consolidated financial statements are presented in U.S. Dollars. Many of Lazard’s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57" w:name="page58"/>
    <w:bookmarkEnd w:id="57"/>
    <w:p>
      <w:pPr>
        <w:ind w:right="140"/>
        <w:spacing w:after="0" w:line="282" w:lineRule="auto"/>
        <w:rPr>
          <w:sz w:val="20"/>
          <w:szCs w:val="20"/>
          <w:color w:val="auto"/>
        </w:rPr>
      </w:pPr>
      <w:r>
        <w:rPr>
          <w:rFonts w:ascii="Times New Roman" w:cs="Times New Roman" w:eastAsia="Times New Roman" w:hAnsi="Times New Roman"/>
          <w:sz w:val="18"/>
          <w:szCs w:val="18"/>
          <w:color w:val="auto"/>
        </w:rPr>
        <w:t>reported as a component of stockholders’ equity. Foreign currency remeasurement gains and losses on transactions in non-functional currencies are included on the consolidated statements of operations.</w:t>
      </w:r>
    </w:p>
    <w:p>
      <w:pPr>
        <w:spacing w:after="0" w:line="162"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levels, investments in U.S. Treasury securities, credit lines, principal investment commitments, interest and principal payments on debt, capital expenditures, dividend payments, purchases of shares of Class A common stock and matters relating to liquidity and to compliance with regulatory net capital requirements. At December 31, 2018, Lazard had approximately $1,247 million of cash, with such amount including approximately $665 million held at Lazard’s operations outside the U.S. Lazard provides for income taxes on substantially all of its foreign earnings, and pursuant to the Tax Act there are no additional U.S. taxes that would be imposed on undistributed foreign earnings. We expect that no material amount of additional taxes would be recognized upon receipt of dividends or distributions of such earnings from our foreign operations.</w:t>
      </w:r>
    </w:p>
    <w:p>
      <w:pPr>
        <w:spacing w:after="0" w:line="188" w:lineRule="exact"/>
        <w:rPr>
          <w:sz w:val="20"/>
          <w:szCs w:val="20"/>
          <w:color w:val="auto"/>
        </w:rPr>
      </w:pPr>
    </w:p>
    <w:p>
      <w:pPr>
        <w:jc w:val="both"/>
        <w:ind w:right="300" w:firstLine="598"/>
        <w:spacing w:after="0" w:line="261" w:lineRule="auto"/>
        <w:rPr>
          <w:sz w:val="20"/>
          <w:szCs w:val="20"/>
          <w:color w:val="auto"/>
        </w:rPr>
      </w:pPr>
      <w:r>
        <w:rPr>
          <w:rFonts w:ascii="Times New Roman" w:cs="Times New Roman" w:eastAsia="Times New Roman" w:hAnsi="Times New Roman"/>
          <w:sz w:val="18"/>
          <w:szCs w:val="18"/>
          <w:color w:val="auto"/>
        </w:rPr>
        <w:t>We maintain lines of credit in excess of anticipated liquidity requirements. As of December 31, 2018, Lazard had approximately $168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$17 million (at December 31, 2018 exchange rates).</w:t>
      </w:r>
    </w:p>
    <w:p>
      <w:pPr>
        <w:spacing w:after="0" w:line="180" w:lineRule="exact"/>
        <w:rPr>
          <w:sz w:val="20"/>
          <w:szCs w:val="20"/>
          <w:color w:val="auto"/>
        </w:rPr>
      </w:pPr>
    </w:p>
    <w:p>
      <w:pPr>
        <w:ind w:right="360" w:firstLine="598"/>
        <w:spacing w:after="0" w:line="261" w:lineRule="auto"/>
        <w:rPr>
          <w:sz w:val="20"/>
          <w:szCs w:val="20"/>
          <w:color w:val="auto"/>
        </w:rPr>
      </w:pPr>
      <w:r>
        <w:rPr>
          <w:rFonts w:ascii="Times New Roman" w:cs="Times New Roman" w:eastAsia="Times New Roman" w:hAnsi="Times New Roman"/>
          <w:sz w:val="18"/>
          <w:szCs w:val="18"/>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520" w:firstLine="598"/>
        <w:spacing w:after="0" w:line="282" w:lineRule="auto"/>
        <w:rPr>
          <w:sz w:val="20"/>
          <w:szCs w:val="20"/>
          <w:color w:val="auto"/>
        </w:rPr>
      </w:pPr>
      <w:r>
        <w:rPr>
          <w:rFonts w:ascii="Times New Roman" w:cs="Times New Roman" w:eastAsia="Times New Roman" w:hAnsi="Times New Roman"/>
          <w:sz w:val="18"/>
          <w:szCs w:val="18"/>
          <w:color w:val="auto"/>
        </w:rPr>
        <w:t>The table below sets forth our corporate indebtedness as of December 31, 2018 and 2017. The agreements with respect to this indebtedness are discussed in more detail in our consolidated financial statements and related notes included elsewhere in this Form 10-K.</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Outstanding as of</w:t>
            </w: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34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1"/>
                <w:szCs w:val="11"/>
                <w:color w:val="auto"/>
              </w:rPr>
            </w:pPr>
          </w:p>
        </w:tc>
        <w:tc>
          <w:tcPr>
            <w:tcW w:w="10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1"/>
                <w:szCs w:val="11"/>
                <w:color w:val="auto"/>
              </w:rPr>
            </w:pPr>
          </w:p>
        </w:tc>
        <w:tc>
          <w:tcPr>
            <w:tcW w:w="100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40" w:type="dxa"/>
            <w:vAlign w:val="bottom"/>
            <w:gridSpan w:val="2"/>
            <w:vMerge w:val="continue"/>
          </w:tcPr>
          <w:p>
            <w:pPr>
              <w:spacing w:after="0"/>
              <w:rPr>
                <w:sz w:val="15"/>
                <w:szCs w:val="15"/>
                <w:color w:val="auto"/>
              </w:rPr>
            </w:pPr>
          </w:p>
        </w:tc>
        <w:tc>
          <w:tcPr>
            <w:tcW w:w="9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1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Group 2025 Senior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Lazard Group 2028 Senior Notes</w:t>
            </w:r>
          </w:p>
        </w:tc>
        <w:tc>
          <w:tcPr>
            <w:tcW w:w="9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598"/>
        <w:spacing w:after="0" w:line="266" w:lineRule="auto"/>
        <w:rPr>
          <w:sz w:val="20"/>
          <w:szCs w:val="20"/>
          <w:color w:val="auto"/>
        </w:rPr>
      </w:pPr>
      <w:r>
        <w:rPr>
          <w:rFonts w:ascii="Times New Roman" w:cs="Times New Roman" w:eastAsia="Times New Roman" w:hAnsi="Times New Roman"/>
          <w:sz w:val="18"/>
          <w:szCs w:val="18"/>
          <w:color w:val="auto"/>
        </w:rPr>
        <w:t>During September 2018, Lazard Group completed an offering of the 2028 Notes. Lazard Group used a portion of the net proceeds of the 2028 Notes to redeem or otherwise retire $250 million of the 2020 Notes, which, including the recognition of unamortized issuance costs, resulted in a loss on debt extinguishment in connection with the redemption of such 2020 Notes of approximately $7 million.</w:t>
      </w:r>
    </w:p>
    <w:p>
      <w:pPr>
        <w:spacing w:after="0" w:line="176" w:lineRule="exact"/>
        <w:rPr>
          <w:sz w:val="20"/>
          <w:szCs w:val="20"/>
          <w:color w:val="auto"/>
        </w:rPr>
      </w:pPr>
    </w:p>
    <w:p>
      <w:pPr>
        <w:jc w:val="both"/>
        <w:ind w:right="140" w:firstLine="598"/>
        <w:spacing w:after="0" w:line="266" w:lineRule="auto"/>
        <w:rPr>
          <w:sz w:val="20"/>
          <w:szCs w:val="20"/>
          <w:color w:val="auto"/>
        </w:rPr>
      </w:pPr>
      <w:r>
        <w:rPr>
          <w:rFonts w:ascii="Times New Roman" w:cs="Times New Roman" w:eastAsia="Times New Roman" w:hAnsi="Times New Roman"/>
          <w:sz w:val="18"/>
          <w:szCs w:val="18"/>
          <w:color w:val="auto"/>
        </w:rPr>
        <w:t>During November 2016, Lazard Group completed an offering of the 2027 Notes. Lazard Group used a portion of the net proceeds of the 2027 Notes to redeem or otherwise retire the remaining $98 million of 2017 Notes, which, including the recognition of unamortized issuance costs, resulted in a loss on debt extinguishment in connection with the redemption of such 2017 Notes of approximately $3 million.</w:t>
      </w:r>
    </w:p>
    <w:p>
      <w:pPr>
        <w:spacing w:after="0" w:line="176" w:lineRule="exact"/>
        <w:rPr>
          <w:sz w:val="20"/>
          <w:szCs w:val="20"/>
          <w:color w:val="auto"/>
        </w:rPr>
      </w:pPr>
    </w:p>
    <w:p>
      <w:pPr>
        <w:ind w:right="40" w:firstLine="598"/>
        <w:spacing w:after="0" w:line="266" w:lineRule="auto"/>
        <w:rPr>
          <w:sz w:val="20"/>
          <w:szCs w:val="20"/>
          <w:color w:val="auto"/>
        </w:rPr>
      </w:pPr>
      <w:r>
        <w:rPr>
          <w:rFonts w:ascii="Times New Roman" w:cs="Times New Roman" w:eastAsia="Times New Roman" w:hAnsi="Times New Roman"/>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ind w:firstLine="598"/>
        <w:spacing w:after="0" w:line="255" w:lineRule="auto"/>
        <w:rPr>
          <w:sz w:val="20"/>
          <w:szCs w:val="20"/>
          <w:color w:val="auto"/>
        </w:rPr>
      </w:pPr>
      <w:r>
        <w:rPr>
          <w:rFonts w:ascii="Times New Roman" w:cs="Times New Roman" w:eastAsia="Times New Roman" w:hAnsi="Times New Roman"/>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December 31, 2018, Lazard Group was in compliance with such ratios, with its Consolidated Leverage Ratio being 1.33 to 1.00 and its Consolidated Interest Coverage Ratio being 20.23 to 1.00. In any event, no amounts were outstanding under the Amended and Restated Credit Agreement as of December 31, 2018.</w:t>
      </w:r>
    </w:p>
    <w:p>
      <w:pPr>
        <w:spacing w:after="0" w:line="185"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December 31, 2018,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Note 12 of Notes to Consolidated Financial Statements for additional information regarding senior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21" w:lineRule="exact"/>
        <w:rPr>
          <w:sz w:val="20"/>
          <w:szCs w:val="20"/>
          <w:color w:val="auto"/>
        </w:rPr>
      </w:pPr>
    </w:p>
    <w:p>
      <w:pPr>
        <w:ind w:right="200" w:firstLine="598"/>
        <w:spacing w:after="0" w:line="266" w:lineRule="auto"/>
        <w:rPr>
          <w:sz w:val="20"/>
          <w:szCs w:val="20"/>
          <w:color w:val="auto"/>
        </w:rPr>
      </w:pPr>
      <w:r>
        <w:rPr>
          <w:rFonts w:ascii="Times New Roman" w:cs="Times New Roman" w:eastAsia="Times New Roman" w:hAnsi="Times New Roman"/>
          <w:sz w:val="18"/>
          <w:szCs w:val="18"/>
          <w:color w:val="auto"/>
        </w:rPr>
        <w:t>At December 31, 2018, total stockholders’ equity was $970 million, as compared to $1,259 million and $1,294 million at December 31, 2017 and 2016, respectively, including $917 million, $1,200 million and $1,236 million attributable to Lazard Ltd on the respective dates. The net activity in stockholders’ equity during the years ended December 31, 2018 and 2017 is reflected in the table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Borders>
              <w:bottom w:val="single" w:sz="8" w:color="auto"/>
            </w:tcBorders>
            <w:gridSpan w:val="5"/>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9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 Beginning of Year</w:t>
            </w:r>
          </w:p>
        </w:tc>
        <w:tc>
          <w:tcPr>
            <w:tcW w:w="196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FF0FC"/>
          </w:tcPr>
          <w:p>
            <w:pPr>
              <w:spacing w:after="0"/>
              <w:rPr>
                <w:sz w:val="19"/>
                <w:szCs w:val="19"/>
                <w:color w:val="auto"/>
              </w:rPr>
            </w:pPr>
          </w:p>
        </w:tc>
      </w:tr>
      <w:tr>
        <w:trPr>
          <w:trHeight w:val="211"/>
        </w:trPr>
        <w:tc>
          <w:tcPr>
            <w:tcW w:w="58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for the cumulative effect on prior years from the adoption</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 new accounting guidance related to share-based</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606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incentive compensation</w:t>
            </w:r>
          </w:p>
        </w:tc>
        <w:tc>
          <w:tcPr>
            <w:tcW w:w="102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FF0FC"/>
            </w:tcBorders>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adjusted, Beginning of Year</w:t>
            </w:r>
          </w:p>
        </w:tc>
        <w:tc>
          <w:tcPr>
            <w:tcW w:w="1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due to:</w:t>
            </w: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share-based incentive compensation</w:t>
            </w:r>
          </w:p>
        </w:tc>
        <w:tc>
          <w:tcPr>
            <w:tcW w:w="1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Purchase of Class A common stock</w:t>
            </w: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Settlement of share-based incentive compensation (a)</w:t>
            </w:r>
          </w:p>
        </w:tc>
        <w:tc>
          <w:tcPr>
            <w:tcW w:w="1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Class A common stock dividends</w:t>
            </w: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r>
      <w:tr>
        <w:trPr>
          <w:trHeight w:val="230"/>
        </w:trPr>
        <w:tc>
          <w:tcPr>
            <w:tcW w:w="580" w:type="dxa"/>
            <w:vAlign w:val="bottom"/>
          </w:tcPr>
          <w:p>
            <w:pPr>
              <w:spacing w:after="0"/>
              <w:rPr>
                <w:sz w:val="19"/>
                <w:szCs w:val="19"/>
                <w:color w:val="auto"/>
              </w:rPr>
            </w:pPr>
          </w:p>
        </w:tc>
        <w:tc>
          <w:tcPr>
            <w:tcW w:w="60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Distributions to noncontrolling interests, net</w:t>
            </w:r>
          </w:p>
        </w:tc>
        <w:tc>
          <w:tcPr>
            <w:tcW w:w="10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80" w:type="dxa"/>
            <w:vAlign w:val="bottom"/>
          </w:tcPr>
          <w:p>
            <w:pPr>
              <w:spacing w:after="0"/>
              <w:rPr>
                <w:sz w:val="19"/>
                <w:szCs w:val="19"/>
                <w:color w:val="auto"/>
              </w:rPr>
            </w:pPr>
          </w:p>
        </w:tc>
        <w:tc>
          <w:tcPr>
            <w:tcW w:w="6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 net</w:t>
            </w: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80" w:type="dxa"/>
            <w:vAlign w:val="bottom"/>
          </w:tcPr>
          <w:p>
            <w:pPr>
              <w:spacing w:after="0"/>
              <w:rPr>
                <w:sz w:val="19"/>
                <w:szCs w:val="19"/>
                <w:color w:val="auto"/>
              </w:rPr>
            </w:pPr>
          </w:p>
        </w:tc>
        <w:tc>
          <w:tcPr>
            <w:tcW w:w="6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 End of Year</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ind w:left="5620" w:right="4440" w:hanging="5612"/>
        <w:spacing w:after="0" w:line="532" w:lineRule="auto"/>
        <w:tabs>
          <w:tab w:leader="none" w:pos="5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withholding portion of share-based compensation is settled in cash, not shares.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59" w:name="page60"/>
    <w:bookmarkEnd w:id="59"/>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period to period due to a variety of factors. Purchases with respect to such program are set forth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58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80"/>
        </w:trPr>
        <w:tc>
          <w:tcPr>
            <w:tcW w:w="7860" w:type="dxa"/>
            <w:vAlign w:val="bottom"/>
            <w:gridSpan w:val="2"/>
            <w:vMerge w:val="continue"/>
          </w:tcPr>
          <w:p>
            <w:pPr>
              <w:spacing w:after="0"/>
              <w:rPr>
                <w:sz w:val="15"/>
                <w:szCs w:val="15"/>
                <w:color w:val="auto"/>
              </w:rPr>
            </w:pPr>
          </w:p>
        </w:tc>
        <w:tc>
          <w:tcPr>
            <w:tcW w:w="1580" w:type="dxa"/>
            <w:vAlign w:val="bottom"/>
          </w:tcPr>
          <w:p>
            <w:pPr>
              <w:jc w:val="right"/>
              <w:ind w:right="497"/>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7"/>
        </w:trPr>
        <w:tc>
          <w:tcPr>
            <w:tcW w:w="1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624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8,551,271</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6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6,956,097</w:t>
            </w:r>
          </w:p>
        </w:tc>
        <w:tc>
          <w:tcPr>
            <w:tcW w:w="5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6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12,206,652</w:t>
            </w:r>
          </w:p>
        </w:tc>
        <w:tc>
          <w:tcPr>
            <w:tcW w:w="5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80" w:firstLine="598"/>
        <w:spacing w:after="0" w:line="282" w:lineRule="auto"/>
        <w:rPr>
          <w:sz w:val="20"/>
          <w:szCs w:val="20"/>
          <w:color w:val="auto"/>
        </w:rPr>
      </w:pPr>
      <w:r>
        <w:rPr>
          <w:rFonts w:ascii="Times New Roman" w:cs="Times New Roman" w:eastAsia="Times New Roman" w:hAnsi="Times New Roman"/>
          <w:sz w:val="18"/>
          <w:szCs w:val="18"/>
          <w:color w:val="auto"/>
        </w:rPr>
        <w:t>As of December 31, 2018, a total of $296 million of share repurchase authorization remained available under the Company’s share repurchase program, all of which will expire on December 31, 2020.</w:t>
      </w:r>
    </w:p>
    <w:p>
      <w:pPr>
        <w:spacing w:after="0" w:line="162" w:lineRule="exact"/>
        <w:rPr>
          <w:sz w:val="20"/>
          <w:szCs w:val="20"/>
          <w:color w:val="auto"/>
        </w:rPr>
      </w:pPr>
    </w:p>
    <w:p>
      <w:pPr>
        <w:ind w:right="200" w:firstLine="598"/>
        <w:spacing w:after="0" w:line="266" w:lineRule="auto"/>
        <w:rPr>
          <w:sz w:val="20"/>
          <w:szCs w:val="20"/>
          <w:color w:val="auto"/>
        </w:rPr>
      </w:pPr>
      <w:r>
        <w:rPr>
          <w:rFonts w:ascii="Times New Roman" w:cs="Times New Roman" w:eastAsia="Times New Roman" w:hAnsi="Times New Roman"/>
          <w:sz w:val="18"/>
          <w:szCs w:val="18"/>
          <w:color w:val="auto"/>
        </w:rPr>
        <w:t>In addition, on February 4, 2019, the Board of Directors of Lazard authorized the repurchase of up to $300 million of additional shares of Class A common stock, which authorization will expire on December 31, 2020, bringing the total available share repurchase authorization as of February 4, 2019 to approximately $510 million.</w:t>
      </w:r>
    </w:p>
    <w:p>
      <w:pPr>
        <w:spacing w:after="0" w:line="176" w:lineRule="exact"/>
        <w:rPr>
          <w:sz w:val="20"/>
          <w:szCs w:val="20"/>
          <w:color w:val="auto"/>
        </w:rPr>
      </w:pPr>
    </w:p>
    <w:p>
      <w:pPr>
        <w:ind w:right="300" w:firstLine="59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the Company had in place trading plans under Rule 10b5-1 of the Securities Exchange Act of 1934, as amended, pursuant to which it effected stock repurchases in the open market.</w:t>
      </w:r>
    </w:p>
    <w:p>
      <w:pPr>
        <w:spacing w:after="0" w:line="162" w:lineRule="exact"/>
        <w:rPr>
          <w:sz w:val="20"/>
          <w:szCs w:val="20"/>
          <w:color w:val="auto"/>
        </w:rPr>
      </w:pPr>
    </w:p>
    <w:p>
      <w:pPr>
        <w:jc w:val="both"/>
        <w:ind w:right="220" w:firstLine="598"/>
        <w:spacing w:after="0" w:line="266" w:lineRule="auto"/>
        <w:rPr>
          <w:sz w:val="20"/>
          <w:szCs w:val="20"/>
          <w:color w:val="auto"/>
        </w:rPr>
      </w:pPr>
      <w:r>
        <w:rPr>
          <w:rFonts w:ascii="Times New Roman" w:cs="Times New Roman" w:eastAsia="Times New Roman" w:hAnsi="Times New Roman"/>
          <w:sz w:val="18"/>
          <w:szCs w:val="18"/>
          <w:color w:val="auto"/>
        </w:rPr>
        <w:t>On February 4, 2019, the Board of Directors of Lazard declared dividends totaling $0.94 per share, comprised of a quarterly dividend of $0.44 per share, and an extra cash dividend of $0.50 per share, on our Class A common stock. The dividends are payable on March 1, 2019, to stockholders of record on February 15, 2019.</w:t>
      </w:r>
    </w:p>
    <w:p>
      <w:pPr>
        <w:spacing w:after="0" w:line="176" w:lineRule="exact"/>
        <w:rPr>
          <w:sz w:val="20"/>
          <w:szCs w:val="20"/>
          <w:color w:val="auto"/>
        </w:rPr>
      </w:pPr>
    </w:p>
    <w:p>
      <w:pPr>
        <w:ind w:right="360" w:firstLine="598"/>
        <w:spacing w:after="0" w:line="282" w:lineRule="auto"/>
        <w:rPr>
          <w:sz w:val="20"/>
          <w:szCs w:val="20"/>
          <w:color w:val="auto"/>
        </w:rPr>
      </w:pPr>
      <w:r>
        <w:rPr>
          <w:rFonts w:ascii="Times New Roman" w:cs="Times New Roman" w:eastAsia="Times New Roman" w:hAnsi="Times New Roman"/>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62" w:lineRule="exact"/>
        <w:rPr>
          <w:sz w:val="20"/>
          <w:szCs w:val="20"/>
          <w:color w:val="auto"/>
        </w:rPr>
      </w:pPr>
    </w:p>
    <w:p>
      <w:pPr>
        <w:ind w:right="120" w:firstLine="598"/>
        <w:spacing w:after="0" w:line="282" w:lineRule="auto"/>
        <w:rPr>
          <w:sz w:val="20"/>
          <w:szCs w:val="20"/>
          <w:color w:val="auto"/>
        </w:rPr>
      </w:pPr>
      <w:r>
        <w:rPr>
          <w:rFonts w:ascii="Times New Roman" w:cs="Times New Roman" w:eastAsia="Times New Roman" w:hAnsi="Times New Roman"/>
          <w:sz w:val="18"/>
          <w:szCs w:val="18"/>
          <w:color w:val="auto"/>
        </w:rPr>
        <w:t>See Notes 14 and 15 of Notes to Consolidated Financial Statements for additional information regarding Lazard’s stockholders’ equity and incentive plans,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Capital</w:t>
      </w:r>
    </w:p>
    <w:p>
      <w:pPr>
        <w:spacing w:after="0" w:line="121"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20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this Form 10-K and Note 20 of Notes to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Lazard’s contractual obligations as of December 31,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Contractual Obligations Payment Due by Period</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7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1,885,479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(exclusive of $26,941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committed sublease income) (b)</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879,350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173,146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capital funding commitments (c)</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2,773,167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154,177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530,521</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227,503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592"/>
        <w:spacing w:after="0"/>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12 of Notes to Consolidated Financial Statements.</w:t>
      </w:r>
    </w:p>
    <w:p>
      <w:pPr>
        <w:spacing w:after="0" w:line="49" w:lineRule="exact"/>
        <w:rPr>
          <w:rFonts w:ascii="Times New Roman" w:cs="Times New Roman" w:eastAsia="Times New Roman" w:hAnsi="Times New Roman"/>
          <w:sz w:val="18"/>
          <w:szCs w:val="18"/>
          <w:color w:val="auto"/>
        </w:rPr>
      </w:pPr>
    </w:p>
    <w:p>
      <w:pPr>
        <w:ind w:left="600" w:right="140" w:hanging="592"/>
        <w:spacing w:after="0" w:line="266" w:lineRule="auto"/>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the Company entered into a lease agreement for additional office facilities, which are currently under construction, with delivery anticipated in the third quarter of 2019. Operating lease commitments in the table above include the impact of the new lease agreement. See Note 13 of Notes to Consolidated Financial Statements.</w:t>
      </w:r>
    </w:p>
    <w:p>
      <w:pPr>
        <w:ind w:left="600" w:right="100" w:hanging="592"/>
        <w:spacing w:after="0" w:line="266" w:lineRule="auto"/>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$14,437 are excluded. Such commitments are required to be funded by capital contributions from noncontrolling interest holders. See Note 7 of Notes to Consolidated Financial Statements. These amounts are generally due on demand and therefore are presented in the “less than 1 year” category.</w:t>
      </w:r>
    </w:p>
    <w:p>
      <w:pPr>
        <w:ind w:left="600" w:right="140" w:hanging="592"/>
        <w:spacing w:after="0" w:line="255" w:lineRule="auto"/>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December 31, 2018, a tax receivable agreement obligation of $270,640 was recorded on the consolidated statements of financial condition, of which the Company currently expects that approximately $23,000 will be paid within the next 12 months. See “Critical Accounting Policies and Estimates —Income Taxes” below. See also Notes 13, 15, 16, 17 and 19 of Notes to Consolidated Financial Statements regarding information in connection with commitments, incentive plans, employee benefit plans, income taxes and tax receivable agreement obligations,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121" w:lineRule="exact"/>
        <w:rPr>
          <w:sz w:val="20"/>
          <w:szCs w:val="20"/>
          <w:color w:val="auto"/>
        </w:rPr>
      </w:pPr>
    </w:p>
    <w:p>
      <w:pPr>
        <w:ind w:right="80" w:firstLine="598"/>
        <w:spacing w:after="0" w:line="255" w:lineRule="auto"/>
        <w:rPr>
          <w:sz w:val="20"/>
          <w:szCs w:val="20"/>
          <w:color w:val="auto"/>
        </w:rPr>
      </w:pPr>
      <w:r>
        <w:rPr>
          <w:rFonts w:ascii="Times New Roman" w:cs="Times New Roman" w:eastAsia="Times New Roman" w:hAnsi="Times New Roman"/>
          <w:sz w:val="18"/>
          <w:szCs w:val="18"/>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or general macroeconomic conditions, it may adversely affect our financial position and results of operations by impacting overall levels of M&amp;A activity, reducing our AUM or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our consolidated financial condition and results of operations is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1" w:name="page62"/>
    <w:bookmarkEnd w:id="61"/>
    <w:p>
      <w:pPr>
        <w:spacing w:after="0" w:line="282" w:lineRule="auto"/>
        <w:rPr>
          <w:sz w:val="20"/>
          <w:szCs w:val="20"/>
          <w:color w:val="auto"/>
        </w:rPr>
      </w:pPr>
      <w:r>
        <w:rPr>
          <w:rFonts w:ascii="Times New Roman" w:cs="Times New Roman" w:eastAsia="Times New Roman" w:hAnsi="Times New Roman"/>
          <w:sz w:val="18"/>
          <w:szCs w:val="18"/>
          <w:color w:val="auto"/>
        </w:rPr>
        <w:t>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62"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Lazard believes that the critical accounting policies set forth below comprise the most significant estimates and judgments used in the preparation of its consolidated financial statements.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60" w:firstLine="598"/>
        <w:spacing w:after="0" w:line="282" w:lineRule="auto"/>
        <w:rPr>
          <w:sz w:val="20"/>
          <w:szCs w:val="20"/>
          <w:color w:val="auto"/>
        </w:rPr>
      </w:pPr>
      <w:r>
        <w:rPr>
          <w:rFonts w:ascii="Times New Roman" w:cs="Times New Roman" w:eastAsia="Times New Roman" w:hAnsi="Times New Roman"/>
          <w:sz w:val="18"/>
          <w:szCs w:val="18"/>
          <w:color w:val="auto"/>
        </w:rPr>
        <w:t>Lazard generates substantially all of its net revenue from providing Financial Advisory and Asset Management services to clients. Lazard recognizes revenue when the following criteria are met:</w:t>
      </w:r>
    </w:p>
    <w:p>
      <w:pPr>
        <w:spacing w:after="0" w:line="54" w:lineRule="exact"/>
        <w:rPr>
          <w:sz w:val="20"/>
          <w:szCs w:val="20"/>
          <w:color w:val="auto"/>
        </w:rPr>
      </w:pPr>
    </w:p>
    <w:p>
      <w:pPr>
        <w:ind w:left="1200" w:hanging="598"/>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with a client has been identified;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in the contract have been identified;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or other transaction price has been determined;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or other transaction price has been allocated to each performance obligation in the contract;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satisfied the applicable performance obligation.</w:t>
      </w:r>
    </w:p>
    <w:p>
      <w:pPr>
        <w:spacing w:after="0" w:line="225" w:lineRule="exact"/>
        <w:rPr>
          <w:sz w:val="20"/>
          <w:szCs w:val="20"/>
          <w:color w:val="auto"/>
        </w:rPr>
      </w:pPr>
    </w:p>
    <w:p>
      <w:pPr>
        <w:ind w:right="200" w:firstLine="598"/>
        <w:spacing w:after="0" w:line="282"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62"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0"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January 1, 2018, the Company adopted new revenue recognition guidance. See Notes 3 and 4 of Notes to Consolidated Financial Statements.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98"/>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62" w:name="page63"/>
    <w:bookmarkEnd w:id="62"/>
    <w:p>
      <w:pPr>
        <w:ind w:right="80" w:firstLine="598"/>
        <w:spacing w:after="0" w:line="261" w:lineRule="auto"/>
        <w:rPr>
          <w:sz w:val="20"/>
          <w:szCs w:val="20"/>
          <w:color w:val="auto"/>
        </w:rPr>
      </w:pPr>
      <w:r>
        <w:rPr>
          <w:rFonts w:ascii="Times New Roman" w:cs="Times New Roman" w:eastAsia="Times New Roman" w:hAnsi="Times New Roman"/>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2018, on a consolidated basis, we recorded gross deferred tax assets of approximately $735.6 million, with such amount partially offset by a valuation allowance of approximately $73.1 million (as described below).</w:t>
      </w:r>
    </w:p>
    <w:p>
      <w:pPr>
        <w:spacing w:after="0" w:line="180" w:lineRule="exact"/>
        <w:rPr>
          <w:sz w:val="20"/>
          <w:szCs w:val="20"/>
          <w:color w:val="auto"/>
        </w:rPr>
      </w:pPr>
    </w:p>
    <w:p>
      <w:pPr>
        <w:ind w:right="100" w:firstLine="598"/>
        <w:spacing w:after="0" w:line="261" w:lineRule="auto"/>
        <w:rPr>
          <w:sz w:val="20"/>
          <w:szCs w:val="20"/>
          <w:color w:val="auto"/>
        </w:rPr>
      </w:pPr>
      <w:r>
        <w:rPr>
          <w:rFonts w:ascii="Times New Roman" w:cs="Times New Roman" w:eastAsia="Times New Roman" w:hAnsi="Times New Roman"/>
          <w:sz w:val="18"/>
          <w:szCs w:val="18"/>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1200" w:hanging="598"/>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w:t>
      </w:r>
    </w:p>
    <w:p>
      <w:pPr>
        <w:spacing w:after="0" w:line="225" w:lineRule="exact"/>
        <w:rPr>
          <w:sz w:val="20"/>
          <w:szCs w:val="20"/>
          <w:color w:val="auto"/>
        </w:rPr>
      </w:pPr>
    </w:p>
    <w:p>
      <w:pPr>
        <w:ind w:right="380" w:firstLine="598"/>
        <w:spacing w:after="0" w:line="282" w:lineRule="auto"/>
        <w:rPr>
          <w:sz w:val="20"/>
          <w:szCs w:val="20"/>
          <w:color w:val="auto"/>
        </w:rPr>
      </w:pPr>
      <w:r>
        <w:rPr>
          <w:rFonts w:ascii="Times New Roman" w:cs="Times New Roman" w:eastAsia="Times New Roman" w:hAnsi="Times New Roman"/>
          <w:sz w:val="18"/>
          <w:szCs w:val="18"/>
          <w:color w:val="auto"/>
        </w:rPr>
        <w:t>The assessment regarding whether a valuation allowance is required or should be adjusted also considers all available information, including the following:</w:t>
      </w:r>
    </w:p>
    <w:p>
      <w:pPr>
        <w:spacing w:after="0" w:line="54" w:lineRule="exact"/>
        <w:rPr>
          <w:sz w:val="20"/>
          <w:szCs w:val="20"/>
          <w:color w:val="auto"/>
        </w:rPr>
      </w:pPr>
    </w:p>
    <w:p>
      <w:pPr>
        <w:ind w:left="1200" w:hanging="598"/>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magnitude and duration of any past losses and current operating results;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periods;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near-term and medium-term financial outlook.</w:t>
      </w:r>
    </w:p>
    <w:p>
      <w:pPr>
        <w:spacing w:after="0" w:line="225" w:lineRule="exact"/>
        <w:rPr>
          <w:sz w:val="20"/>
          <w:szCs w:val="20"/>
          <w:color w:val="auto"/>
        </w:rPr>
      </w:pPr>
    </w:p>
    <w:p>
      <w:pPr>
        <w:ind w:right="40" w:firstLine="598"/>
        <w:spacing w:after="0" w:line="266" w:lineRule="auto"/>
        <w:rPr>
          <w:sz w:val="20"/>
          <w:szCs w:val="20"/>
          <w:color w:val="auto"/>
        </w:rPr>
      </w:pPr>
      <w:r>
        <w:rPr>
          <w:rFonts w:ascii="Times New Roman" w:cs="Times New Roman" w:eastAsia="Times New Roman" w:hAnsi="Times New Roman"/>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76"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$73.1 million of deferred tax assets held by these entities as of December 31, 2018.</w:t>
      </w:r>
    </w:p>
    <w:p>
      <w:pPr>
        <w:spacing w:after="0" w:line="184" w:lineRule="exact"/>
        <w:rPr>
          <w:sz w:val="20"/>
          <w:szCs w:val="20"/>
          <w:color w:val="auto"/>
        </w:rPr>
      </w:pPr>
    </w:p>
    <w:p>
      <w:pPr>
        <w:ind w:right="60" w:firstLine="598"/>
        <w:spacing w:after="0" w:line="256" w:lineRule="auto"/>
        <w:rPr>
          <w:sz w:val="20"/>
          <w:szCs w:val="20"/>
          <w:color w:val="auto"/>
        </w:rPr>
      </w:pPr>
      <w:r>
        <w:rPr>
          <w:rFonts w:ascii="Times New Roman" w:cs="Times New Roman" w:eastAsia="Times New Roman" w:hAnsi="Times New Roman"/>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88"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On January 1, 2017, we adopted new accounting guidance on share-based incentive compensation. As a result of the adoption of this new guidance, we recognized excess tax benefits of $33.0 million and $9.0 million from the vesting of share-based incentive compensation in the provision for income taxes in the consolidated statements of operations for the years ended December 31, 2018 and 2017, respectively. Upon adoption of the new guidance, we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3" w:name="page64"/>
    <w:bookmarkEnd w:id="63"/>
    <w:p>
      <w:pPr>
        <w:ind w:right="60"/>
        <w:spacing w:after="0" w:line="256" w:lineRule="auto"/>
        <w:rPr>
          <w:sz w:val="20"/>
          <w:szCs w:val="20"/>
          <w:color w:val="auto"/>
        </w:rPr>
      </w:pPr>
      <w:r>
        <w:rPr>
          <w:rFonts w:ascii="Times New Roman" w:cs="Times New Roman" w:eastAsia="Times New Roman" w:hAnsi="Times New Roman"/>
          <w:sz w:val="18"/>
          <w:szCs w:val="18"/>
          <w:color w:val="auto"/>
        </w:rPr>
        <w:t>also recorded deferred tax assets of $81.5 million, net of a valuation allowance of $12.1 million, for previously unrecognized excess tax benefits (including tax benefits from dividends or dividend equivalents) on share-based incentive compensation, with an offsetting adjustment to retained earnings. See Note 17 of Notes to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consolidated statements of operations and the classification of cash flows in the relevant periods.</w:t>
      </w:r>
    </w:p>
    <w:p>
      <w:pPr>
        <w:spacing w:after="0" w:line="188" w:lineRule="exact"/>
        <w:rPr>
          <w:sz w:val="20"/>
          <w:szCs w:val="20"/>
          <w:color w:val="auto"/>
        </w:rPr>
      </w:pPr>
    </w:p>
    <w:p>
      <w:pPr>
        <w:ind w:right="180" w:firstLine="598"/>
        <w:spacing w:after="0" w:line="258" w:lineRule="auto"/>
        <w:rPr>
          <w:sz w:val="20"/>
          <w:szCs w:val="20"/>
          <w:color w:val="auto"/>
        </w:rPr>
      </w:pPr>
      <w:r>
        <w:rPr>
          <w:rFonts w:ascii="Times New Roman" w:cs="Times New Roman" w:eastAsia="Times New Roman" w:hAnsi="Times New Roman"/>
          <w:sz w:val="18"/>
          <w:szCs w:val="18"/>
          <w:color w:val="auto"/>
        </w:rPr>
        <w:t>On December 22, 2017,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 The Tax Act further included anti-base erosion provisions such as the BEAT and tax on GILTI.</w:t>
      </w:r>
    </w:p>
    <w:p>
      <w:pPr>
        <w:spacing w:after="0" w:line="184" w:lineRule="exact"/>
        <w:rPr>
          <w:sz w:val="20"/>
          <w:szCs w:val="20"/>
          <w:color w:val="auto"/>
        </w:rPr>
      </w:pPr>
    </w:p>
    <w:p>
      <w:pPr>
        <w:jc w:val="both"/>
        <w:ind w:right="140" w:firstLine="598"/>
        <w:spacing w:after="0" w:line="266" w:lineRule="auto"/>
        <w:rPr>
          <w:sz w:val="20"/>
          <w:szCs w:val="20"/>
          <w:color w:val="auto"/>
        </w:rPr>
      </w:pPr>
      <w:r>
        <w:rPr>
          <w:rFonts w:ascii="Times New Roman" w:cs="Times New Roman" w:eastAsia="Times New Roman" w:hAnsi="Times New Roman"/>
          <w:sz w:val="18"/>
          <w:szCs w:val="18"/>
          <w:color w:val="auto"/>
        </w:rPr>
        <w:t>Lazard is a holding company that is treated as a publicly traded partnership for U.S. tax purposes, and our U.S. and certain foreign subsidiaries were impacted by the Tax Act. See Notes 17 and 19 of Notes to Consolidated Financial Statements for additional information regarding the impact of the Tax Act on us.</w:t>
      </w:r>
    </w:p>
    <w:p>
      <w:pPr>
        <w:spacing w:after="0" w:line="176"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Item 1A, “Risk Factors” and Note 17 of Notes to Consolidated Financial Statements for additional information related to income taxes.</w:t>
      </w:r>
    </w:p>
    <w:p>
      <w:pPr>
        <w:spacing w:after="0" w:line="3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Amended and Restated Tax Receivable Agreement</w:t>
      </w:r>
    </w:p>
    <w:p>
      <w:pPr>
        <w:spacing w:after="0" w:line="119" w:lineRule="exact"/>
        <w:rPr>
          <w:sz w:val="20"/>
          <w:szCs w:val="20"/>
          <w:color w:val="auto"/>
        </w:rPr>
      </w:pPr>
    </w:p>
    <w:p>
      <w:pPr>
        <w:ind w:right="40" w:firstLine="598"/>
        <w:spacing w:after="0" w:line="261" w:lineRule="auto"/>
        <w:rPr>
          <w:sz w:val="20"/>
          <w:szCs w:val="20"/>
          <w:color w:val="auto"/>
        </w:rPr>
      </w:pPr>
      <w:r>
        <w:rPr>
          <w:rFonts w:ascii="Times New Roman" w:cs="Times New Roman" w:eastAsia="Times New Roman" w:hAnsi="Times New Roman"/>
          <w:sz w:val="18"/>
          <w:szCs w:val="18"/>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See Note 19 of Notes to Consolidated Financial Statements for additional information regarding the Amended and Restated Tax Receivable Agreement.</w:t>
      </w:r>
    </w:p>
    <w:p>
      <w:pPr>
        <w:spacing w:after="0" w:line="180"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and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income tax expense.</w:t>
      </w:r>
    </w:p>
    <w:p>
      <w:pPr>
        <w:spacing w:after="0" w:line="189" w:lineRule="exact"/>
        <w:rPr>
          <w:sz w:val="20"/>
          <w:szCs w:val="20"/>
          <w:color w:val="auto"/>
        </w:rPr>
      </w:pPr>
    </w:p>
    <w:p>
      <w:pPr>
        <w:ind w:right="220" w:firstLine="598"/>
        <w:spacing w:after="0" w:line="266" w:lineRule="auto"/>
        <w:rPr>
          <w:sz w:val="20"/>
          <w:szCs w:val="20"/>
          <w:color w:val="auto"/>
        </w:rPr>
      </w:pPr>
      <w:r>
        <w:rPr>
          <w:rFonts w:ascii="Times New Roman" w:cs="Times New Roman" w:eastAsia="Times New Roman" w:hAnsi="Times New Roman"/>
          <w:sz w:val="18"/>
          <w:szCs w:val="18"/>
          <w:color w:val="auto"/>
        </w:rPr>
        <w:t>The cumulative liability relating to our obligations under the Amended and Restated Tax Receivable Agreement recorded as of December 31, 2018 and 2017 was $271 million and $310 million, respectively, which includes the impact of the Tax Act as of both periods, and is recorded in “tax receivable agreement obligation” on the consolidated statements of financial condition.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Investments consist primarily of interest-bearing deposits, debt and equity securities, and interests in alternative investment, debt, equity and private equity funds.</w:t>
      </w:r>
    </w:p>
    <w:p>
      <w:pPr>
        <w:spacing w:after="0" w:line="162"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These investments, with the exception of interest-bearing deposits,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7 of Notes to Consolidated Financial Statements for additional information on the measurement of the fair value of investments.</w:t>
      </w:r>
    </w:p>
    <w:p>
      <w:pPr>
        <w:spacing w:after="0" w:line="180" w:lineRule="exact"/>
        <w:rPr>
          <w:sz w:val="20"/>
          <w:szCs w:val="20"/>
          <w:color w:val="auto"/>
        </w:rPr>
      </w:pPr>
    </w:p>
    <w:p>
      <w:pPr>
        <w:ind w:right="340" w:firstLine="598"/>
        <w:spacing w:after="0" w:line="282" w:lineRule="auto"/>
        <w:rPr>
          <w:sz w:val="20"/>
          <w:szCs w:val="20"/>
          <w:color w:val="auto"/>
        </w:rPr>
      </w:pPr>
      <w:r>
        <w:rPr>
          <w:rFonts w:ascii="Times New Roman" w:cs="Times New Roman" w:eastAsia="Times New Roman" w:hAnsi="Times New Roman"/>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Data relating to investments is set forth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Seed investments by asset class: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Equities (a)</w:t>
            </w:r>
          </w:p>
        </w:tc>
        <w:tc>
          <w:tcPr>
            <w:tcW w:w="17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73,410</w:t>
            </w:r>
          </w:p>
        </w:tc>
        <w:tc>
          <w:tcPr>
            <w:tcW w:w="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111,067</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Fixed income</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Alternative investments</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80" w:type="dxa"/>
            <w:vAlign w:val="bottom"/>
            <w:tcBorders>
              <w:bottom w:val="single" w:sz="8" w:color="CFF0FC"/>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seed investments</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90,089</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134,674</w:t>
            </w:r>
          </w:p>
        </w:tc>
        <w:tc>
          <w:tcPr>
            <w:tcW w:w="80" w:type="dxa"/>
            <w:vAlign w:val="bottom"/>
            <w:shd w:val="clear" w:color="auto" w:fill="CFF0FC"/>
          </w:tcPr>
          <w:p>
            <w:pPr>
              <w:spacing w:after="0"/>
              <w:rPr>
                <w:sz w:val="19"/>
                <w:szCs w:val="19"/>
                <w:color w:val="auto"/>
              </w:rPr>
            </w:pPr>
          </w:p>
        </w:tc>
      </w:tr>
      <w:tr>
        <w:trPr>
          <w:trHeight w:val="223"/>
        </w:trPr>
        <w:tc>
          <w:tcPr>
            <w:tcW w:w="59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Other investments owned: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Private equity (b)</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41,788</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57,457</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Fixed income and other (c)</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226,346</w:t>
            </w:r>
          </w:p>
        </w:tc>
        <w:tc>
          <w:tcPr>
            <w:tcW w:w="2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23,780</w:t>
            </w:r>
          </w:p>
        </w:tc>
        <w:tc>
          <w:tcPr>
            <w:tcW w:w="80" w:type="dxa"/>
            <w:vAlign w:val="bottom"/>
            <w:shd w:val="clear" w:color="auto" w:fill="CFF0FC"/>
          </w:tcPr>
          <w:p>
            <w:pPr>
              <w:spacing w:after="0"/>
              <w:rPr>
                <w:sz w:val="19"/>
                <w:szCs w:val="19"/>
                <w:color w:val="auto"/>
              </w:rPr>
            </w:pPr>
          </w:p>
        </w:tc>
      </w:tr>
      <w:tr>
        <w:trPr>
          <w:trHeight w:val="223"/>
        </w:trPr>
        <w:tc>
          <w:tcPr>
            <w:tcW w:w="59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Total other investments owned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268,644</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81,793</w:t>
            </w:r>
          </w:p>
        </w:tc>
        <w:tc>
          <w:tcPr>
            <w:tcW w:w="8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7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4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358,733</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216,467</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9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Add:</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Private equity consolidated, not owned (d)</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76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LFI (e)</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201,860</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191,497</w:t>
            </w:r>
          </w:p>
        </w:tc>
        <w:tc>
          <w:tcPr>
            <w:tcW w:w="80" w:type="dxa"/>
            <w:vAlign w:val="bottom"/>
            <w:tcBorders>
              <w:bottom w:val="single" w:sz="8" w:color="CFF0FC"/>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575,148</w:t>
            </w:r>
          </w:p>
        </w:tc>
        <w:tc>
          <w:tcPr>
            <w:tcW w:w="2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427,186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2" w:lineRule="exact"/>
        <w:rPr>
          <w:sz w:val="20"/>
          <w:szCs w:val="20"/>
          <w:color w:val="auto"/>
        </w:rPr>
      </w:pPr>
    </w:p>
    <w:p>
      <w:pPr>
        <w:ind w:left="440" w:hanging="432"/>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2018 and 2017, seed investments in directly owned equity securities were invested as follows:</w:t>
      </w:r>
    </w:p>
    <w:p>
      <w:pPr>
        <w:spacing w:after="0" w:line="12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invested in:</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Financials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0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Consumer</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9"/>
                <w:szCs w:val="19"/>
                <w:color w:val="auto"/>
              </w:rPr>
            </w:pPr>
          </w:p>
        </w:tc>
      </w:tr>
      <w:tr>
        <w:trPr>
          <w:trHeight w:val="230"/>
        </w:trPr>
        <w:tc>
          <w:tcPr>
            <w:tcW w:w="6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Industrial</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r>
      <w:tr>
        <w:trPr>
          <w:trHeight w:val="230"/>
        </w:trPr>
        <w:tc>
          <w:tcPr>
            <w:tcW w:w="60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2" w:lineRule="exact"/>
        <w:rPr>
          <w:sz w:val="20"/>
          <w:szCs w:val="20"/>
          <w:color w:val="auto"/>
        </w:rPr>
      </w:pPr>
    </w:p>
    <w:p>
      <w:pPr>
        <w:ind w:left="600" w:right="60" w:hanging="592"/>
        <w:spacing w:after="0" w:line="274" w:lineRule="auto"/>
        <w:tabs>
          <w:tab w:leader="none" w:pos="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investments include investments related to certain legacy businesses and co-investments in private equity funds managed by our Asset Management business. Co-investments owned were $27 million and $36 million as of December 31, 2018 and 2017, respectively.</w:t>
      </w:r>
    </w:p>
    <w:p>
      <w:pPr>
        <w:ind w:left="600" w:right="100" w:hanging="592"/>
        <w:spacing w:after="0" w:line="282" w:lineRule="auto"/>
        <w:tabs>
          <w:tab w:leader="none" w:pos="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2018, includes investments in U.S. Treasury securities of approximately $200 million with original maturities of greater than three months and less than one year.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65" w:name="page66"/>
    <w:bookmarkEnd w:id="65"/>
    <w:p>
      <w:pPr>
        <w:ind w:left="600" w:right="140" w:hanging="592"/>
        <w:spacing w:after="0" w:line="266" w:lineRule="auto"/>
        <w:tabs>
          <w:tab w:leader="none" w:pos="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ind w:left="600" w:hanging="592"/>
        <w:spacing w:after="0" w:line="258" w:lineRule="auto"/>
        <w:tabs>
          <w:tab w:leader="none" w:pos="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$69 million in three entities as of December 31, 2018, as compared to $53 million in two entities as of December 31, 2017.</w:t>
      </w:r>
    </w:p>
    <w:p>
      <w:pPr>
        <w:spacing w:after="0" w:line="184"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At December 31, 2018 and 2017, total investments with a fair value of $575 million and $427 million, respectively, included $57 million and $80 million, respectively, or 10% and 19%, respectively, of investments that were classified using NAV or its equivalent as a practical expedient. See Notes 6 and 7 of Notes to Consolidated Financial Statements for additional information regarding investments measured at fair value, including the levels of fair value within which such measurements of fair value fall.</w:t>
      </w:r>
    </w:p>
    <w:p>
      <w:pPr>
        <w:spacing w:after="0" w:line="180" w:lineRule="exact"/>
        <w:rPr>
          <w:sz w:val="20"/>
          <w:szCs w:val="20"/>
          <w:color w:val="auto"/>
        </w:rPr>
      </w:pPr>
    </w:p>
    <w:p>
      <w:pPr>
        <w:ind w:right="100" w:firstLine="598"/>
        <w:spacing w:after="0" w:line="266" w:lineRule="auto"/>
        <w:rPr>
          <w:sz w:val="20"/>
          <w:szCs w:val="20"/>
          <w:color w:val="auto"/>
        </w:rPr>
      </w:pPr>
      <w:r>
        <w:rPr>
          <w:rFonts w:ascii="Times New Roman" w:cs="Times New Roman" w:eastAsia="Times New Roman" w:hAnsi="Times New Roman"/>
          <w:sz w:val="18"/>
          <w:szCs w:val="18"/>
          <w:color w:val="auto"/>
        </w:rPr>
        <w:t>As of December 31, 2018 and 2017, the Company held seed investments of approximately $90 million and $135 million, respectively. Seed investments held in entities in which the Company maintained a controlling interest were $31 million in eight entities as of December 31, 2018, as compared to $28 million in eight entities as of December 31, 2017.</w:t>
      </w:r>
    </w:p>
    <w:p>
      <w:pPr>
        <w:spacing w:after="0" w:line="176" w:lineRule="exact"/>
        <w:rPr>
          <w:sz w:val="20"/>
          <w:szCs w:val="20"/>
          <w:color w:val="auto"/>
        </w:rPr>
      </w:pPr>
    </w:p>
    <w:p>
      <w:pPr>
        <w:ind w:right="260" w:firstLine="598"/>
        <w:spacing w:after="0" w:line="261" w:lineRule="auto"/>
        <w:rPr>
          <w:sz w:val="20"/>
          <w:szCs w:val="20"/>
          <w:color w:val="auto"/>
        </w:rPr>
      </w:pPr>
      <w:r>
        <w:rPr>
          <w:rFonts w:ascii="Times New Roman" w:cs="Times New Roman" w:eastAsia="Times New Roman" w:hAnsi="Times New Roman"/>
          <w:sz w:val="18"/>
          <w:szCs w:val="18"/>
          <w:color w:val="auto"/>
        </w:rPr>
        <w:t>As of December 31, 2018 and 2017, the Company did not consolidate or deconsolidate any seed investment entities or LFI investment entities. As such, 100% of the recorded balance of seed investments and LFI investments as of December 31, 2018 and 2017 represented the Company’s economic interest in the seed investments. See “—Consolidation of Variable Interest Entities” below for more information on the Company’s policy regarding the consolidation of seed and LFI investment entities.</w:t>
      </w:r>
    </w:p>
    <w:p>
      <w:pPr>
        <w:spacing w:after="0" w:line="180" w:lineRule="exact"/>
        <w:rPr>
          <w:sz w:val="20"/>
          <w:szCs w:val="20"/>
          <w:color w:val="auto"/>
        </w:rPr>
      </w:pPr>
    </w:p>
    <w:p>
      <w:pPr>
        <w:ind w:right="160" w:firstLine="598"/>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121" w:lineRule="exact"/>
        <w:rPr>
          <w:sz w:val="20"/>
          <w:szCs w:val="20"/>
          <w:color w:val="auto"/>
        </w:rPr>
      </w:pPr>
    </w:p>
    <w:p>
      <w:pPr>
        <w:ind w:right="280" w:firstLine="598"/>
        <w:spacing w:after="0" w:line="282" w:lineRule="auto"/>
        <w:rPr>
          <w:sz w:val="20"/>
          <w:szCs w:val="20"/>
          <w:color w:val="auto"/>
        </w:rPr>
      </w:pPr>
      <w:r>
        <w:rPr>
          <w:rFonts w:ascii="Times New Roman" w:cs="Times New Roman" w:eastAsia="Times New Roman" w:hAnsi="Times New Roman"/>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62" w:lineRule="exact"/>
        <w:rPr>
          <w:sz w:val="20"/>
          <w:szCs w:val="20"/>
          <w:color w:val="auto"/>
        </w:rPr>
      </w:pPr>
    </w:p>
    <w:p>
      <w:pPr>
        <w:ind w:right="40" w:firstLine="598"/>
        <w:spacing w:after="0" w:line="266" w:lineRule="auto"/>
        <w:rPr>
          <w:sz w:val="20"/>
          <w:szCs w:val="20"/>
          <w:color w:val="auto"/>
        </w:rPr>
      </w:pPr>
      <w:r>
        <w:rPr>
          <w:rFonts w:ascii="Times New Roman" w:cs="Times New Roman" w:eastAsia="Times New Roman" w:hAnsi="Times New Roman"/>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76" w:lineRule="exact"/>
        <w:rPr>
          <w:sz w:val="20"/>
          <w:szCs w:val="20"/>
          <w:color w:val="auto"/>
        </w:rPr>
      </w:pPr>
    </w:p>
    <w:p>
      <w:pPr>
        <w:ind w:right="140" w:firstLine="598"/>
        <w:spacing w:after="0" w:line="266" w:lineRule="auto"/>
        <w:rPr>
          <w:sz w:val="20"/>
          <w:szCs w:val="20"/>
          <w:color w:val="auto"/>
        </w:rPr>
      </w:pPr>
      <w:r>
        <w:rPr>
          <w:rFonts w:ascii="Times New Roman" w:cs="Times New Roman" w:eastAsia="Times New Roman" w:hAnsi="Times New Roman"/>
          <w:sz w:val="18"/>
          <w:szCs w:val="18"/>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10 of Notes to Consolidated Financial Statements for additional information regarding goodwill.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21" w:lineRule="exact"/>
        <w:rPr>
          <w:sz w:val="20"/>
          <w:szCs w:val="20"/>
          <w:color w:val="auto"/>
        </w:rPr>
      </w:pPr>
    </w:p>
    <w:p>
      <w:pPr>
        <w:ind w:right="200" w:firstLine="59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68" w:lineRule="exact"/>
        <w:rPr>
          <w:sz w:val="20"/>
          <w:szCs w:val="20"/>
          <w:color w:val="auto"/>
        </w:rPr>
      </w:pPr>
    </w:p>
    <w:p>
      <w:pPr>
        <w:ind w:left="1200" w:right="400" w:hanging="598"/>
        <w:spacing w:after="0" w:line="289" w:lineRule="auto"/>
        <w:tabs>
          <w:tab w:leader="none" w:pos="12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0" w:lineRule="exact"/>
        <w:rPr>
          <w:rFonts w:ascii="Times New Roman" w:cs="Times New Roman" w:eastAsia="Times New Roman" w:hAnsi="Times New Roman"/>
          <w:sz w:val="17"/>
          <w:szCs w:val="17"/>
          <w:color w:val="auto"/>
        </w:rPr>
      </w:pPr>
    </w:p>
    <w:p>
      <w:pPr>
        <w:ind w:left="1200" w:right="60" w:hanging="598"/>
        <w:spacing w:after="0" w:line="258" w:lineRule="auto"/>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84"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0"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Lazard makes seed and LFI investments in certain entities that are considered VOEs and often require consolidation as a result of our investment. The impact of seed and LFI investment entities that require consolidation on the consolidated financial statements, including any consolidation or deconsolidation of such entities, is not material to our financial statements. Our exposure to loss from entities in which we have made such investments is limited to the extent of our investment in, or investment commitment to, such entities. See “Critical Accounting Policies and Estimates—Investments” above for more information regarding our investments.</w:t>
      </w:r>
    </w:p>
    <w:p>
      <w:pPr>
        <w:spacing w:after="0" w:line="184"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60" w:firstLine="598"/>
        <w:spacing w:after="0" w:line="256" w:lineRule="auto"/>
        <w:rPr>
          <w:sz w:val="20"/>
          <w:szCs w:val="20"/>
          <w:color w:val="auto"/>
        </w:rPr>
      </w:pPr>
      <w:r>
        <w:rPr>
          <w:rFonts w:ascii="Times New Roman" w:cs="Times New Roman" w:eastAsia="Times New Roman" w:hAnsi="Times New Roman"/>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88" w:lineRule="exact"/>
        <w:rPr>
          <w:sz w:val="20"/>
          <w:szCs w:val="20"/>
          <w:color w:val="auto"/>
        </w:rPr>
      </w:pPr>
    </w:p>
    <w:p>
      <w:pPr>
        <w:ind w:right="180" w:firstLine="598"/>
        <w:spacing w:after="0" w:line="261" w:lineRule="auto"/>
        <w:rPr>
          <w:sz w:val="20"/>
          <w:szCs w:val="20"/>
          <w:color w:val="auto"/>
        </w:rPr>
      </w:pPr>
      <w:r>
        <w:rPr>
          <w:rFonts w:ascii="Times New Roman" w:cs="Times New Roman" w:eastAsia="Times New Roman" w:hAnsi="Times New Roman"/>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7" w:name="page68"/>
    <w:bookmarkEnd w:id="67"/>
    <w:p>
      <w:pPr>
        <w:ind w:right="180" w:firstLine="598"/>
        <w:spacing w:after="0" w:line="258" w:lineRule="auto"/>
        <w:rPr>
          <w:sz w:val="20"/>
          <w:szCs w:val="20"/>
          <w:color w:val="auto"/>
        </w:rPr>
      </w:pPr>
      <w:r>
        <w:rPr>
          <w:rFonts w:ascii="Times New Roman" w:cs="Times New Roman" w:eastAsia="Times New Roman" w:hAnsi="Times New Roman"/>
          <w:sz w:val="18"/>
          <w:szCs w:val="18"/>
          <w:color w:val="auto"/>
        </w:rPr>
        <w:t>Equity Market Price Risk—At December 31, 2018 and 2017, the Company’s exposure to equity market price risk in its investment portfolio, which primarily relates to investments in equity securities, equity funds and hedge funds, was approximately $84 million and $107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$0.8 million and $2.0 million in the carrying value of such investments as of December 31, 2018 and 2017, respectively, including the effect of the hedging transactions.</w:t>
      </w:r>
    </w:p>
    <w:p>
      <w:pPr>
        <w:spacing w:after="0" w:line="184" w:lineRule="exact"/>
        <w:rPr>
          <w:sz w:val="20"/>
          <w:szCs w:val="20"/>
          <w:color w:val="auto"/>
        </w:rPr>
      </w:pPr>
    </w:p>
    <w:p>
      <w:pPr>
        <w:ind w:right="40" w:firstLine="598"/>
        <w:spacing w:after="0" w:line="258" w:lineRule="auto"/>
        <w:rPr>
          <w:sz w:val="20"/>
          <w:szCs w:val="20"/>
          <w:color w:val="auto"/>
        </w:rPr>
      </w:pPr>
      <w:r>
        <w:rPr>
          <w:rFonts w:ascii="Times New Roman" w:cs="Times New Roman" w:eastAsia="Times New Roman" w:hAnsi="Times New Roman"/>
          <w:sz w:val="18"/>
          <w:szCs w:val="18"/>
          <w:color w:val="auto"/>
        </w:rPr>
        <w:t>Interest Rate/Credit Spread Risk—At December 31, 2018 and 2017, the Company’s exposure to interest rate and credit spread risk in its investment portfolio related to investments in debt securities or funds which invest primarily in debt securities was $245 million and $58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$0.9 million and $1.3 million in the carrying value of such investments as of December 31, 2018 and 2017, respectively, including the effect of the hedging transactions.</w:t>
      </w:r>
    </w:p>
    <w:p>
      <w:pPr>
        <w:spacing w:after="0" w:line="184" w:lineRule="exact"/>
        <w:rPr>
          <w:sz w:val="20"/>
          <w:szCs w:val="20"/>
          <w:color w:val="auto"/>
        </w:rPr>
      </w:pPr>
    </w:p>
    <w:p>
      <w:pPr>
        <w:ind w:right="280" w:firstLine="598"/>
        <w:spacing w:after="0" w:line="256" w:lineRule="auto"/>
        <w:rPr>
          <w:sz w:val="20"/>
          <w:szCs w:val="20"/>
          <w:color w:val="auto"/>
        </w:rPr>
      </w:pPr>
      <w:r>
        <w:rPr>
          <w:rFonts w:ascii="Times New Roman" w:cs="Times New Roman" w:eastAsia="Times New Roman" w:hAnsi="Times New Roman"/>
          <w:sz w:val="18"/>
          <w:szCs w:val="18"/>
          <w:color w:val="auto"/>
        </w:rPr>
        <w:t>Foreign Exchange Rate Risk—At December 31, 2018 and 2017, the Company’s exposure to foreign exchange rate risk in its investment portfolio, which primarily relates to investments in foreign currency denominated equity and debt securities, was $41 million and $65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$0.1 million and $1.7 million in the carrying value of such investments as of both December 31, 2018 and 2017, respectively, including the effect of the hedging transactions.</w:t>
      </w:r>
    </w:p>
    <w:p>
      <w:pPr>
        <w:spacing w:after="0" w:line="188" w:lineRule="exact"/>
        <w:rPr>
          <w:sz w:val="20"/>
          <w:szCs w:val="20"/>
          <w:color w:val="auto"/>
        </w:rPr>
      </w:pPr>
    </w:p>
    <w:p>
      <w:pPr>
        <w:ind w:right="160" w:firstLine="598"/>
        <w:spacing w:after="0" w:line="261" w:lineRule="auto"/>
        <w:rPr>
          <w:sz w:val="20"/>
          <w:szCs w:val="20"/>
          <w:color w:val="auto"/>
        </w:rPr>
      </w:pPr>
      <w:r>
        <w:rPr>
          <w:rFonts w:ascii="Times New Roman" w:cs="Times New Roman" w:eastAsia="Times New Roman" w:hAnsi="Times New Roman"/>
          <w:sz w:val="18"/>
          <w:szCs w:val="18"/>
          <w:color w:val="auto"/>
        </w:rPr>
        <w:t>Private Equity—The Company invests in private equity primarily as a part of its co-investment activities and in connection with certain legacy businesses. At December 31, 2018 and 2017, the Company’s exposure to changes in fair value of such investments was approximately $42 million and $57 million, respectively. The Company estimates that a hypothetical 10% adverse change in fair value would result in a decrease of approximately $4.2 million and $5.7 million in the carrying value of such investments as of December 31, 2018 and 2017, respectively.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Receivables</w:t>
      </w:r>
    </w:p>
    <w:p>
      <w:pPr>
        <w:spacing w:after="0" w:line="121" w:lineRule="exact"/>
        <w:rPr>
          <w:sz w:val="20"/>
          <w:szCs w:val="20"/>
          <w:color w:val="auto"/>
        </w:rPr>
      </w:pPr>
    </w:p>
    <w:p>
      <w:pPr>
        <w:ind w:right="40" w:firstLine="598"/>
        <w:spacing w:after="0" w:line="254" w:lineRule="auto"/>
        <w:rPr>
          <w:sz w:val="20"/>
          <w:szCs w:val="20"/>
          <w:color w:val="auto"/>
        </w:rPr>
      </w:pPr>
      <w:r>
        <w:rPr>
          <w:rFonts w:ascii="Times New Roman" w:cs="Times New Roman" w:eastAsia="Times New Roman" w:hAnsi="Times New Roman"/>
          <w:sz w:val="18"/>
          <w:szCs w:val="18"/>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December 31, 2018, total receivables amounted to $686 million, net of an allowance for doubtful accounts of $40 million. As of that date, Financial Advisory and Asset Management fees, and customers and other receivables comprised 73% and 27% of total receivables, respectively. At December 31, 2017, total receivables amounted to $572 million, net of an allowance for doubtful accounts of $24 million. As of that date, Financial Advisory and Asset Management fees, and customers and other receivables comprised 85% and 15% of total receivables, respectively. At December 31, 2018 and 2017, the Company had receivables past due or deemed uncollectible of approximately $42 million and $35 million, respectively. See also “Critical Accounting Policies and Estimates—Revenue Recognition” above and Note 5 of Notes to Consolidated Financial Statements for additional information regarding receivables.</w:t>
      </w:r>
    </w:p>
    <w:p>
      <w:pPr>
        <w:spacing w:after="0" w:line="189"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LFB engages in lending activities, including commitments to extend credit (primarily for clients of LFG). At December 31, 2018 and 2017, customer receivables included $64 million and $61 million of LFB loans, respectively, with such loans being fully collateralized and closely monitored for counterparty creditworthiness.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Credit Concentrations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 reduce the exposure to concentrations of credit, the Company monitors large exposures to individual counterparties.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Derivatives</w:t>
      </w:r>
    </w:p>
    <w:p>
      <w:pPr>
        <w:spacing w:after="0" w:line="121"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$12 million and $4 million at December 31, 2018 and 2017, respectively, and derivative liabilities, excluding the derivative liability arising from the Company’s obligation pertaining to LFI and other similar deferred compensation arrangements, amounted to $1 million and $16 million at such respective dates.</w:t>
      </w:r>
    </w:p>
    <w:p>
      <w:pPr>
        <w:spacing w:after="0" w:line="184"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$188 million and $182 million at December 31, 2018 and 2017,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60" w:firstLine="598"/>
        <w:spacing w:after="0" w:line="289" w:lineRule="auto"/>
        <w:rPr>
          <w:sz w:val="20"/>
          <w:szCs w:val="20"/>
          <w:color w:val="auto"/>
        </w:rPr>
      </w:pPr>
      <w:r>
        <w:rPr>
          <w:rFonts w:ascii="Times New Roman" w:cs="Times New Roman" w:eastAsia="Times New Roman" w:hAnsi="Times New Roman"/>
          <w:sz w:val="17"/>
          <w:szCs w:val="17"/>
          <w:color w:val="auto"/>
        </w:rPr>
        <w:t>A significant portion of the Company’s indebtedness has fixed interest rates, while its cash and cash equivalents generally have market interest rates. Based on account balances as of December 31, 2018, Lazard estimates that its annual operating income relating to cash and cash equivalents would increase by approximately $12 million in the event interest rates were to increase by 1% and decrease by approximately $12 million if rates were to decrease by 1%.</w:t>
      </w:r>
    </w:p>
    <w:p>
      <w:pPr>
        <w:spacing w:after="0" w:line="158" w:lineRule="exact"/>
        <w:rPr>
          <w:sz w:val="20"/>
          <w:szCs w:val="20"/>
          <w:color w:val="auto"/>
        </w:rPr>
      </w:pPr>
    </w:p>
    <w:p>
      <w:pPr>
        <w:ind w:right="180" w:firstLine="598"/>
        <w:spacing w:after="0" w:line="256" w:lineRule="auto"/>
        <w:rPr>
          <w:sz w:val="20"/>
          <w:szCs w:val="20"/>
          <w:color w:val="auto"/>
        </w:rPr>
      </w:pPr>
      <w:r>
        <w:rPr>
          <w:rFonts w:ascii="Times New Roman" w:cs="Times New Roman" w:eastAsia="Times New Roman" w:hAnsi="Times New Roman"/>
          <w:sz w:val="18"/>
          <w:szCs w:val="18"/>
          <w:color w:val="auto"/>
        </w:rPr>
        <w:t>As of December 31, 2018, the Company’s cash and cash equivalents totaled approximately $1,247 million. Substantially all of the Company’s cash and cash equivalents were invested in (i) highly liquid institutional money market funds (a significant majority of which were invested solely in U.S. Government or agency money market funds), (ii) short-term interest bearing and non-interest bearing accounts at a number of leading banks throughout the world, (iii) short-term certificates of deposit from such banks and (iv)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121" w:lineRule="exact"/>
        <w:rPr>
          <w:sz w:val="20"/>
          <w:szCs w:val="20"/>
          <w:color w:val="auto"/>
        </w:rPr>
      </w:pPr>
    </w:p>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 See Item 1A, “Risk Factors” above for more information regarding operational risk in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121" w:lineRule="exact"/>
        <w:rPr>
          <w:sz w:val="20"/>
          <w:szCs w:val="20"/>
          <w:color w:val="auto"/>
        </w:rPr>
      </w:pPr>
    </w:p>
    <w:p>
      <w:pPr>
        <w:ind w:right="140" w:firstLine="598"/>
        <w:spacing w:after="0" w:line="282" w:lineRule="auto"/>
        <w:rPr>
          <w:sz w:val="20"/>
          <w:szCs w:val="20"/>
          <w:color w:val="auto"/>
        </w:rPr>
      </w:pPr>
      <w:r>
        <w:rPr>
          <w:rFonts w:ascii="Times New Roman" w:cs="Times New Roman" w:eastAsia="Times New Roman" w:hAnsi="Times New Roman"/>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69" w:name="page70"/>
    <w:bookmarkEnd w:id="69"/>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firstLine="598"/>
        <w:spacing w:after="0" w:line="282"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included under the caption “Management’s Discussion and Analysis of Financial Condition and Results of Operations—Risk Management.”</w:t>
      </w:r>
    </w:p>
    <w:p>
      <w:pPr>
        <w:spacing w:after="0" w:line="36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240" w:top="333" w:right="77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00" w:type="dxa"/>
            <w:vAlign w:val="bottom"/>
            <w:gridSpan w:val="17"/>
          </w:tcPr>
          <w:p>
            <w:pPr>
              <w:ind w:left="70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08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24"/>
                <w:szCs w:val="24"/>
                <w:color w:val="auto"/>
              </w:rPr>
            </w:pPr>
          </w:p>
        </w:tc>
      </w:tr>
      <w:tr>
        <w:trPr>
          <w:trHeight w:val="291"/>
        </w:trPr>
        <w:tc>
          <w:tcPr>
            <w:tcW w:w="440" w:type="dxa"/>
            <w:vAlign w:val="bottom"/>
          </w:tcPr>
          <w:p>
            <w:pPr>
              <w:spacing w:after="0"/>
              <w:rPr>
                <w:sz w:val="24"/>
                <w:szCs w:val="24"/>
                <w:color w:val="auto"/>
              </w:rPr>
            </w:pPr>
          </w:p>
        </w:tc>
        <w:tc>
          <w:tcPr>
            <w:tcW w:w="49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Management’s Report on Internal Control Over Financial Reporting</w:t>
              </w:r>
            </w:hyperlink>
          </w:p>
        </w:tc>
        <w:tc>
          <w:tcPr>
            <w:tcW w:w="5500" w:type="dxa"/>
            <w:vAlign w:val="bottom"/>
            <w:gridSpan w:val="9"/>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318"/>
        </w:trPr>
        <w:tc>
          <w:tcPr>
            <w:tcW w:w="440" w:type="dxa"/>
            <w:vAlign w:val="bottom"/>
          </w:tcPr>
          <w:p>
            <w:pPr>
              <w:spacing w:after="0"/>
              <w:rPr>
                <w:sz w:val="24"/>
                <w:szCs w:val="24"/>
                <w:color w:val="auto"/>
              </w:rPr>
            </w:pPr>
          </w:p>
        </w:tc>
        <w:tc>
          <w:tcPr>
            <w:tcW w:w="43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Reports of Independent Registered Public Accounting Firm</w:t>
              </w:r>
            </w:hyperlink>
          </w:p>
        </w:tc>
        <w:tc>
          <w:tcPr>
            <w:tcW w:w="6120" w:type="dxa"/>
            <w:vAlign w:val="bottom"/>
            <w:gridSpan w:val="10"/>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r>
        <w:trPr>
          <w:trHeight w:val="318"/>
        </w:trPr>
        <w:tc>
          <w:tcPr>
            <w:tcW w:w="440" w:type="dxa"/>
            <w:vAlign w:val="bottom"/>
          </w:tcPr>
          <w:p>
            <w:pPr>
              <w:spacing w:after="0"/>
              <w:rPr>
                <w:sz w:val="24"/>
                <w:szCs w:val="24"/>
                <w:color w:val="auto"/>
              </w:rPr>
            </w:pPr>
          </w:p>
        </w:tc>
        <w:tc>
          <w:tcPr>
            <w:tcW w:w="10420" w:type="dxa"/>
            <w:vAlign w:val="bottom"/>
            <w:gridSpan w:val="18"/>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Consolidated Statements of Financial Condition as of December 31, 2018 and 2017</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4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420" w:type="dxa"/>
            <w:vAlign w:val="bottom"/>
            <w:gridSpan w:val="18"/>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Consolidated Statements of Operations for the years ended December 31, 2018, 2017 and 2016</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318"/>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Consolidated Statements of Comprehensive Income for the years ended December 31, 2018,</w:t>
              </w:r>
            </w:hyperlink>
          </w:p>
        </w:tc>
        <w:tc>
          <w:tcPr>
            <w:tcW w:w="120" w:type="dxa"/>
            <w:vAlign w:val="bottom"/>
            <w:tcBorders>
              <w:top w:val="single" w:sz="8" w:color="0000EE"/>
            </w:tcBorders>
            <w:gridSpan w:val="2"/>
          </w:tcPr>
          <w:p>
            <w:pPr>
              <w:spacing w:after="0"/>
              <w:rPr>
                <w:sz w:val="24"/>
                <w:szCs w:val="24"/>
                <w:color w:val="auto"/>
              </w:rPr>
            </w:pPr>
          </w:p>
        </w:tc>
        <w:tc>
          <w:tcPr>
            <w:tcW w:w="356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2017 and 2016</w:t>
              </w:r>
            </w:hyperlink>
          </w:p>
        </w:tc>
        <w:tc>
          <w:tcPr>
            <w:tcW w:w="9120" w:type="dxa"/>
            <w:vAlign w:val="bottom"/>
            <w:gridSpan w:val="1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318"/>
        </w:trPr>
        <w:tc>
          <w:tcPr>
            <w:tcW w:w="440" w:type="dxa"/>
            <w:vAlign w:val="bottom"/>
          </w:tcPr>
          <w:p>
            <w:pPr>
              <w:spacing w:after="0"/>
              <w:rPr>
                <w:sz w:val="24"/>
                <w:szCs w:val="24"/>
                <w:color w:val="auto"/>
              </w:rPr>
            </w:pPr>
          </w:p>
        </w:tc>
        <w:tc>
          <w:tcPr>
            <w:tcW w:w="69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Consolidated Statements of Cash Flows for the years ended December 31, 2018, 2017 and 2016</w:t>
              </w:r>
            </w:hyperlink>
          </w:p>
        </w:tc>
        <w:tc>
          <w:tcPr>
            <w:tcW w:w="35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318"/>
        </w:trPr>
        <w:tc>
          <w:tcPr>
            <w:tcW w:w="440" w:type="dxa"/>
            <w:vAlign w:val="bottom"/>
          </w:tcPr>
          <w:p>
            <w:pPr>
              <w:spacing w:after="0"/>
              <w:rPr>
                <w:sz w:val="24"/>
                <w:szCs w:val="24"/>
                <w:color w:val="auto"/>
              </w:rPr>
            </w:pPr>
          </w:p>
        </w:tc>
        <w:tc>
          <w:tcPr>
            <w:tcW w:w="5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Consolidated Statements of Changes in Stockholders’ Equity for the years ended</w:t>
              </w:r>
            </w:hyperlink>
          </w:p>
        </w:tc>
        <w:tc>
          <w:tcPr>
            <w:tcW w:w="454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gridSpan w:val="17"/>
          </w:tcPr>
          <w:p>
            <w:pPr>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December 31, 2018, 2017 and 2016</w:t>
              </w:r>
            </w:hyperlink>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31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Notes to Consolidated Financial Statements</w:t>
              </w:r>
            </w:hyperlink>
          </w:p>
        </w:tc>
        <w:tc>
          <w:tcPr>
            <w:tcW w:w="7260" w:type="dxa"/>
            <w:vAlign w:val="bottom"/>
            <w:gridSpan w:val="11"/>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318"/>
        </w:trPr>
        <w:tc>
          <w:tcPr>
            <w:tcW w:w="282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9"/>
              </w:rPr>
            </w:pPr>
            <w:hyperlink w:anchor="page132">
              <w:r>
                <w:rPr>
                  <w:rFonts w:ascii="Times New Roman" w:cs="Times New Roman" w:eastAsia="Times New Roman" w:hAnsi="Times New Roman"/>
                  <w:sz w:val="18"/>
                  <w:szCs w:val="18"/>
                  <w:b w:val="1"/>
                  <w:bCs w:val="1"/>
                  <w:color w:val="0000EE"/>
                  <w:w w:val="99"/>
                </w:rPr>
                <w:t>Supplemental Financial Information</w:t>
              </w:r>
            </w:hyperlink>
          </w:p>
        </w:tc>
        <w:tc>
          <w:tcPr>
            <w:tcW w:w="804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440" w:type="dxa"/>
            <w:vAlign w:val="bottom"/>
          </w:tcPr>
          <w:p>
            <w:pPr>
              <w:spacing w:after="0"/>
              <w:rPr>
                <w:sz w:val="24"/>
                <w:szCs w:val="24"/>
                <w:color w:val="auto"/>
              </w:rPr>
            </w:pPr>
          </w:p>
        </w:tc>
        <w:tc>
          <w:tcPr>
            <w:tcW w:w="12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32">
              <w:r>
                <w:rPr>
                  <w:rFonts w:ascii="Times New Roman" w:cs="Times New Roman" w:eastAsia="Times New Roman" w:hAnsi="Times New Roman"/>
                  <w:sz w:val="18"/>
                  <w:szCs w:val="18"/>
                  <w:color w:val="0000EE"/>
                  <w:w w:val="99"/>
                </w:rPr>
                <w:t>Quarterly Results</w:t>
              </w:r>
            </w:hyperlink>
          </w:p>
        </w:tc>
        <w:tc>
          <w:tcPr>
            <w:tcW w:w="9140" w:type="dxa"/>
            <w:vAlign w:val="bottom"/>
            <w:gridSpan w:val="1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r>
      <w:tr>
        <w:trPr>
          <w:trHeight w:val="358"/>
        </w:trPr>
        <w:tc>
          <w:tcPr>
            <w:tcW w:w="108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40" w:type="dxa"/>
            <w:vAlign w:val="bottom"/>
          </w:tcPr>
          <w:p>
            <w:pPr>
              <w:spacing w:after="0"/>
              <w:rPr>
                <w:sz w:val="24"/>
                <w:szCs w:val="24"/>
                <w:color w:val="auto"/>
              </w:rPr>
            </w:pPr>
          </w:p>
        </w:tc>
        <w:tc>
          <w:tcPr>
            <w:tcW w:w="104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Schedule I—Condensed Financial Information of Registrant (Parent Company Only)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40" w:type="dxa"/>
            <w:vAlign w:val="bottom"/>
          </w:tcPr>
          <w:p>
            <w:pPr>
              <w:spacing w:after="0"/>
              <w:rPr>
                <w:sz w:val="24"/>
                <w:szCs w:val="24"/>
                <w:color w:val="auto"/>
              </w:rPr>
            </w:pPr>
          </w:p>
        </w:tc>
        <w:tc>
          <w:tcPr>
            <w:tcW w:w="5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141">
              <w:r>
                <w:rPr>
                  <w:rFonts w:ascii="Times New Roman" w:cs="Times New Roman" w:eastAsia="Times New Roman" w:hAnsi="Times New Roman"/>
                  <w:sz w:val="18"/>
                  <w:szCs w:val="18"/>
                  <w:color w:val="0000EE"/>
                  <w:w w:val="99"/>
                </w:rPr>
                <w:t>Condensed Statements of Financial Condition as of December 31, 2018 and 2017</w:t>
              </w:r>
            </w:hyperlink>
          </w:p>
        </w:tc>
        <w:tc>
          <w:tcPr>
            <w:tcW w:w="4540" w:type="dxa"/>
            <w:vAlign w:val="bottom"/>
            <w:gridSpan w:val="8"/>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F-2</w:t>
            </w:r>
          </w:p>
        </w:tc>
      </w:tr>
      <w:tr>
        <w:trPr>
          <w:trHeight w:val="318"/>
        </w:trPr>
        <w:tc>
          <w:tcPr>
            <w:tcW w:w="440" w:type="dxa"/>
            <w:vAlign w:val="bottom"/>
          </w:tcPr>
          <w:p>
            <w:pPr>
              <w:spacing w:after="0"/>
              <w:rPr>
                <w:sz w:val="24"/>
                <w:szCs w:val="24"/>
                <w:color w:val="auto"/>
              </w:rPr>
            </w:pPr>
          </w:p>
        </w:tc>
        <w:tc>
          <w:tcPr>
            <w:tcW w:w="6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42">
              <w:r>
                <w:rPr>
                  <w:rFonts w:ascii="Times New Roman" w:cs="Times New Roman" w:eastAsia="Times New Roman" w:hAnsi="Times New Roman"/>
                  <w:sz w:val="18"/>
                  <w:szCs w:val="18"/>
                  <w:color w:val="0000EE"/>
                  <w:w w:val="99"/>
                </w:rPr>
                <w:t>Condensed Statements of Operations for the years ended December 31, 2018, 2017 and 2016</w:t>
              </w:r>
            </w:hyperlink>
          </w:p>
        </w:tc>
        <w:tc>
          <w:tcPr>
            <w:tcW w:w="370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r>
      <w:tr>
        <w:trPr>
          <w:trHeight w:val="318"/>
        </w:trPr>
        <w:tc>
          <w:tcPr>
            <w:tcW w:w="440" w:type="dxa"/>
            <w:vAlign w:val="bottom"/>
          </w:tcPr>
          <w:p>
            <w:pPr>
              <w:spacing w:after="0"/>
              <w:rPr>
                <w:sz w:val="24"/>
                <w:szCs w:val="24"/>
                <w:color w:val="auto"/>
              </w:rPr>
            </w:pPr>
          </w:p>
        </w:tc>
        <w:tc>
          <w:tcPr>
            <w:tcW w:w="65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Condensed Statements of Comprehensive Income for the years ended December 31, 2018,</w:t>
              </w:r>
            </w:hyperlink>
          </w:p>
        </w:tc>
        <w:tc>
          <w:tcPr>
            <w:tcW w:w="386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43">
              <w:r>
                <w:rPr>
                  <w:rFonts w:ascii="Times New Roman" w:cs="Times New Roman" w:eastAsia="Times New Roman" w:hAnsi="Times New Roman"/>
                  <w:sz w:val="18"/>
                  <w:szCs w:val="18"/>
                  <w:color w:val="0000EE"/>
                  <w:w w:val="99"/>
                </w:rPr>
                <w:t>2017 and 2016</w:t>
              </w:r>
            </w:hyperlink>
          </w:p>
        </w:tc>
        <w:tc>
          <w:tcPr>
            <w:tcW w:w="9120" w:type="dxa"/>
            <w:vAlign w:val="bottom"/>
            <w:gridSpan w:val="1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318"/>
        </w:trPr>
        <w:tc>
          <w:tcPr>
            <w:tcW w:w="440" w:type="dxa"/>
            <w:vAlign w:val="bottom"/>
          </w:tcPr>
          <w:p>
            <w:pPr>
              <w:spacing w:after="0"/>
              <w:rPr>
                <w:sz w:val="24"/>
                <w:szCs w:val="24"/>
                <w:color w:val="auto"/>
              </w:rPr>
            </w:pPr>
          </w:p>
        </w:tc>
        <w:tc>
          <w:tcPr>
            <w:tcW w:w="10420" w:type="dxa"/>
            <w:vAlign w:val="bottom"/>
            <w:gridSpan w:val="18"/>
          </w:tcPr>
          <w:p>
            <w:pPr>
              <w:spacing w:after="0"/>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Condensed Statements of Cash Flows for the years ended December 31, 2018, 2017 and 2016</w:t>
              </w:r>
            </w:hyperlink>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r>
      <w:tr>
        <w:trPr>
          <w:trHeight w:val="318"/>
        </w:trPr>
        <w:tc>
          <w:tcPr>
            <w:tcW w:w="440" w:type="dxa"/>
            <w:vAlign w:val="bottom"/>
          </w:tcPr>
          <w:p>
            <w:pPr>
              <w:spacing w:after="0"/>
              <w:rPr>
                <w:sz w:val="24"/>
                <w:szCs w:val="24"/>
                <w:color w:val="auto"/>
              </w:rPr>
            </w:pPr>
          </w:p>
        </w:tc>
        <w:tc>
          <w:tcPr>
            <w:tcW w:w="676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Notes to Condensed Financial Statements</w:t>
              </w:r>
            </w:hyperlink>
          </w:p>
        </w:tc>
        <w:tc>
          <w:tcPr>
            <w:tcW w:w="366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F-6</w:t>
            </w:r>
          </w:p>
        </w:tc>
      </w:tr>
      <w:tr>
        <w:trPr>
          <w:trHeight w:val="858"/>
        </w:trPr>
        <w:tc>
          <w:tcPr>
            <w:tcW w:w="4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780" w:type="dxa"/>
            <w:vAlign w:val="bottom"/>
            <w:tcBorders>
              <w:top w:val="single" w:sz="8" w:color="0000EE"/>
            </w:tcBorders>
            <w:gridSpan w:val="5"/>
          </w:tcPr>
          <w:p>
            <w:pPr>
              <w:spacing w:after="0"/>
              <w:rPr>
                <w:sz w:val="24"/>
                <w:szCs w:val="24"/>
                <w:color w:val="auto"/>
              </w:rPr>
            </w:pPr>
          </w:p>
        </w:tc>
        <w:tc>
          <w:tcPr>
            <w:tcW w:w="28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100" w:firstLine="598"/>
        <w:spacing w:after="0" w:line="261" w:lineRule="auto"/>
        <w:rPr>
          <w:sz w:val="20"/>
          <w:szCs w:val="20"/>
          <w:color w:val="auto"/>
        </w:rPr>
      </w:pPr>
      <w:r>
        <w:rPr>
          <w:rFonts w:ascii="Times New Roman" w:cs="Times New Roman" w:eastAsia="Times New Roman" w:hAnsi="Times New Roman"/>
          <w:sz w:val="18"/>
          <w:szCs w:val="18"/>
          <w:color w:val="auto"/>
        </w:rPr>
        <w:t>Management of Lazard Ltd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consolidated financial statements for external purposes in accordance with U.S. generally accepted accounting principles.</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117" w:lineRule="exact"/>
        <w:rPr>
          <w:sz w:val="20"/>
          <w:szCs w:val="20"/>
          <w:color w:val="auto"/>
        </w:rPr>
      </w:pPr>
    </w:p>
    <w:p>
      <w:pPr>
        <w:ind w:left="1200" w:right="140" w:hanging="598"/>
        <w:spacing w:after="0" w:line="282" w:lineRule="auto"/>
        <w:tabs>
          <w:tab w:leader="none" w:pos="1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3" w:lineRule="exact"/>
        <w:rPr>
          <w:rFonts w:ascii="Times New Roman" w:cs="Times New Roman" w:eastAsia="Times New Roman" w:hAnsi="Times New Roman"/>
          <w:sz w:val="18"/>
          <w:szCs w:val="18"/>
          <w:color w:val="auto"/>
        </w:rPr>
      </w:pPr>
    </w:p>
    <w:p>
      <w:pPr>
        <w:ind w:left="1200" w:right="300" w:hanging="598"/>
        <w:spacing w:after="0" w:line="266" w:lineRule="auto"/>
        <w:tabs>
          <w:tab w:leader="none" w:pos="1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U.S. generally accepted accounting principles, and that our receipts and expenditures are being made only in accordance with authorizations of the Company’s management and directors; and</w:t>
      </w:r>
    </w:p>
    <w:p>
      <w:pPr>
        <w:spacing w:after="0" w:line="68" w:lineRule="exact"/>
        <w:rPr>
          <w:rFonts w:ascii="Times New Roman" w:cs="Times New Roman" w:eastAsia="Times New Roman" w:hAnsi="Times New Roman"/>
          <w:sz w:val="18"/>
          <w:szCs w:val="18"/>
          <w:color w:val="auto"/>
        </w:rPr>
      </w:pPr>
    </w:p>
    <w:p>
      <w:pPr>
        <w:ind w:left="1200" w:right="40" w:hanging="598"/>
        <w:spacing w:after="0" w:line="282" w:lineRule="auto"/>
        <w:tabs>
          <w:tab w:leader="none" w:pos="1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62"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2018.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 xml:space="preserve">Internal Control-Integrated Framework (2013). </w:t>
      </w:r>
      <w:r>
        <w:rPr>
          <w:rFonts w:ascii="Times New Roman" w:cs="Times New Roman" w:eastAsia="Times New Roman" w:hAnsi="Times New Roman"/>
          <w:sz w:val="18"/>
          <w:szCs w:val="18"/>
          <w:color w:val="auto"/>
        </w:rPr>
        <w:t>Based on management’s assessment and those criteria, management concluded that the Company maintained effective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as of December 31, 2018.</w:t>
      </w:r>
    </w:p>
    <w:p>
      <w:pPr>
        <w:spacing w:after="0" w:line="180" w:lineRule="exact"/>
        <w:rPr>
          <w:sz w:val="20"/>
          <w:szCs w:val="20"/>
          <w:color w:val="auto"/>
        </w:rPr>
      </w:pPr>
    </w:p>
    <w:p>
      <w:pPr>
        <w:jc w:val="both"/>
        <w:ind w:right="40" w:firstLine="59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560" w:firstLine="598"/>
        <w:spacing w:after="0" w:line="313" w:lineRule="auto"/>
        <w:rPr>
          <w:sz w:val="20"/>
          <w:szCs w:val="20"/>
          <w:color w:val="auto"/>
        </w:rPr>
      </w:pPr>
      <w:r>
        <w:rPr>
          <w:rFonts w:ascii="Times New Roman" w:cs="Times New Roman" w:eastAsia="Times New Roman" w:hAnsi="Times New Roman"/>
          <w:sz w:val="17"/>
          <w:szCs w:val="17"/>
          <w:color w:val="auto"/>
        </w:rPr>
        <w:t>The Company’s independent registered public accounting firm, Deloitte &amp; Touche LLP, audited the Company’s internal control over financial reporting as of December 31, 2018, as stated in their report which appears under “Report of Independent Registered Public Accounting Firm.”</w:t>
      </w: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72" w:name="page73"/>
    <w:bookmarkEnd w:id="72"/>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Lazard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40" w:firstLine="877"/>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Lazard Ltd and subsidiaries (the “Company”) as of December 31, 2018,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COSO.</w:t>
      </w:r>
    </w:p>
    <w:p>
      <w:pPr>
        <w:spacing w:after="0" w:line="167" w:lineRule="exact"/>
        <w:rPr>
          <w:sz w:val="20"/>
          <w:szCs w:val="20"/>
          <w:color w:val="auto"/>
        </w:rPr>
      </w:pPr>
    </w:p>
    <w:p>
      <w:pPr>
        <w:jc w:val="both"/>
        <w:ind w:right="420" w:firstLine="877"/>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and financial statement schedule as listed in the Index at Item 8 as of and for the year ended December 31, 2018 of the Company, and our report dated February 25, 2019, expressed an unqualified opinion on those consolidated financial statements and financial statement schedule.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ind w:right="240" w:firstLine="877"/>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ind w:firstLine="877"/>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ind w:right="20" w:firstLine="877"/>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4" w:lineRule="exact"/>
        <w:rPr>
          <w:sz w:val="20"/>
          <w:szCs w:val="20"/>
          <w:color w:val="auto"/>
        </w:rPr>
      </w:pPr>
    </w:p>
    <w:p>
      <w:pPr>
        <w:ind w:right="140" w:firstLine="877"/>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73" w:name="page74"/>
    <w:bookmarkEnd w:id="73"/>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Lazard Ltd: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16" w:lineRule="exact"/>
        <w:rPr>
          <w:sz w:val="20"/>
          <w:szCs w:val="20"/>
          <w:color w:val="auto"/>
        </w:rPr>
      </w:pPr>
    </w:p>
    <w:p>
      <w:pPr>
        <w:ind w:right="60" w:firstLine="877"/>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Lazard Ltd and subsidiaries (the “Company”) as of December 31, 2018 and 2017, and the related consolidated statements of operations, comprehensive income, cash flows, and changes in stockholders’ equity for each of the three years in the period ended December 31, 2018, the related notes and the schedule listed in the Index at Item 8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61" w:lineRule="exact"/>
        <w:rPr>
          <w:sz w:val="20"/>
          <w:szCs w:val="20"/>
          <w:color w:val="auto"/>
        </w:rPr>
      </w:pPr>
    </w:p>
    <w:p>
      <w:pPr>
        <w:ind w:right="20" w:firstLine="877"/>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2018,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and our report dated February 25, 2019, expressed an unqualified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on the Company’s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ind w:right="160" w:firstLine="877"/>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firstLine="877"/>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auditors since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74" w:name="page75"/>
    <w:bookmarkEnd w:id="74"/>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and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70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1,246,537</w:t>
            </w:r>
          </w:p>
        </w:tc>
        <w:tc>
          <w:tcPr>
            <w:tcW w:w="280" w:type="dxa"/>
            <w:vAlign w:val="bottom"/>
          </w:tcPr>
          <w:p>
            <w:pPr>
              <w:spacing w:after="0"/>
              <w:rPr>
                <w:sz w:val="19"/>
                <w:szCs w:val="19"/>
                <w:color w:val="auto"/>
              </w:rPr>
            </w:pPr>
          </w:p>
        </w:tc>
        <w:tc>
          <w:tcPr>
            <w:tcW w:w="460" w:type="dxa"/>
            <w:vAlign w:val="bottom"/>
            <w:gridSpan w:val="2"/>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1,483,836</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with banks and short-term investments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935,431</w:t>
            </w:r>
          </w:p>
        </w:tc>
        <w:tc>
          <w:tcPr>
            <w:tcW w:w="120" w:type="dxa"/>
            <w:vAlign w:val="bottom"/>
            <w:shd w:val="clear" w:color="auto" w:fill="CFF0FC"/>
          </w:tcPr>
          <w:p>
            <w:pPr>
              <w:spacing w:after="0"/>
              <w:rPr>
                <w:sz w:val="19"/>
                <w:szCs w:val="19"/>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with clearing organizations and other segregated cash</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35,539</w:t>
            </w:r>
          </w:p>
        </w:tc>
        <w:tc>
          <w:tcPr>
            <w:tcW w:w="120" w:type="dxa"/>
            <w:vAlign w:val="bottom"/>
          </w:tcPr>
          <w:p>
            <w:pPr>
              <w:spacing w:after="0"/>
              <w:rPr>
                <w:sz w:val="19"/>
                <w:szCs w:val="19"/>
                <w:color w:val="auto"/>
              </w:rPr>
            </w:pPr>
          </w:p>
        </w:tc>
      </w:tr>
      <w:tr>
        <w:trPr>
          <w:trHeight w:val="211"/>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(net of allowance for doubtful accounts of $40,164 and $23,746</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 December 31, 2018 and 2017, respectively):</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487,800</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Customers and other</w:t>
            </w:r>
          </w:p>
        </w:tc>
        <w:tc>
          <w:tcPr>
            <w:tcW w:w="1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83,816</w:t>
            </w:r>
          </w:p>
        </w:tc>
        <w:tc>
          <w:tcPr>
            <w:tcW w:w="120" w:type="dxa"/>
            <w:vAlign w:val="bottom"/>
            <w:shd w:val="clear" w:color="auto" w:fill="CFF0FC"/>
          </w:tcPr>
          <w:p>
            <w:pPr>
              <w:spacing w:after="0"/>
              <w:rPr>
                <w:sz w:val="19"/>
                <w:szCs w:val="19"/>
                <w:color w:val="auto"/>
              </w:rPr>
            </w:pPr>
          </w:p>
        </w:tc>
      </w:tr>
      <w:tr>
        <w:trPr>
          <w:trHeight w:val="223"/>
        </w:trPr>
        <w:tc>
          <w:tcPr>
            <w:tcW w:w="6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571,616</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427,186</w:t>
            </w:r>
          </w:p>
        </w:tc>
        <w:tc>
          <w:tcPr>
            <w:tcW w:w="120" w:type="dxa"/>
            <w:vAlign w:val="bottom"/>
            <w:shd w:val="clear" w:color="auto" w:fill="CFF0FC"/>
          </w:tcPr>
          <w:p>
            <w:pPr>
              <w:spacing w:after="0"/>
              <w:rPr>
                <w:sz w:val="19"/>
                <w:szCs w:val="19"/>
                <w:color w:val="auto"/>
              </w:rPr>
            </w:pPr>
          </w:p>
        </w:tc>
      </w:tr>
      <w:tr>
        <w:trPr>
          <w:trHeight w:val="211"/>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Property (net of accumulated amortization and depreciation of $339,770</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$317,827 at December 31, 2018 and 2017, respectively)</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212,946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205,301</w:t>
            </w:r>
          </w:p>
        </w:tc>
        <w:tc>
          <w:tcPr>
            <w:tcW w:w="120" w:type="dxa"/>
            <w:vAlign w:val="bottom"/>
          </w:tcPr>
          <w:p>
            <w:pPr>
              <w:spacing w:after="0"/>
              <w:rPr>
                <w:sz w:val="20"/>
                <w:szCs w:val="20"/>
                <w:color w:val="auto"/>
              </w:rPr>
            </w:pPr>
          </w:p>
        </w:tc>
      </w:tr>
      <w:tr>
        <w:trPr>
          <w:trHeight w:val="211"/>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other intangible assets (net of accumulated amortization</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$65,949 and $63,099 at December 31, 2018 and 2017, respectively)</w:t>
            </w: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375,318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391,364</w:t>
            </w:r>
          </w:p>
        </w:tc>
        <w:tc>
          <w:tcPr>
            <w:tcW w:w="120" w:type="dxa"/>
            <w:vAlign w:val="bottom"/>
            <w:shd w:val="clear" w:color="auto" w:fill="CFF0FC"/>
          </w:tcPr>
          <w:p>
            <w:pPr>
              <w:spacing w:after="0"/>
              <w:rPr>
                <w:sz w:val="20"/>
                <w:szCs w:val="20"/>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650,260</w:t>
            </w:r>
          </w:p>
        </w:tc>
        <w:tc>
          <w:tcPr>
            <w:tcW w:w="120" w:type="dxa"/>
            <w:vAlign w:val="bottom"/>
          </w:tcPr>
          <w:p>
            <w:pPr>
              <w:spacing w:after="0"/>
              <w:rPr>
                <w:sz w:val="19"/>
                <w:szCs w:val="19"/>
                <w:color w:val="auto"/>
              </w:rPr>
            </w:pPr>
          </w:p>
        </w:tc>
      </w:tr>
      <w:tr>
        <w:trPr>
          <w:trHeight w:val="23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228,144</w:t>
            </w:r>
          </w:p>
        </w:tc>
        <w:tc>
          <w:tcPr>
            <w:tcW w:w="120" w:type="dxa"/>
            <w:vAlign w:val="bottom"/>
            <w:shd w:val="clear" w:color="auto" w:fill="CFF0FC"/>
          </w:tcPr>
          <w:p>
            <w:pPr>
              <w:spacing w:after="0"/>
              <w:rPr>
                <w:sz w:val="19"/>
                <w:szCs w:val="19"/>
                <w:color w:val="auto"/>
              </w:rPr>
            </w:pPr>
          </w:p>
        </w:tc>
      </w:tr>
      <w:tr>
        <w:trPr>
          <w:trHeight w:val="223"/>
        </w:trPr>
        <w:tc>
          <w:tcPr>
            <w:tcW w:w="6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4,997,241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4,928,677</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75" w:name="page76"/>
    <w:bookmarkEnd w:id="75"/>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and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1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1,154,207</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992,338</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593,781</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Senior debt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1,190,383</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receivable agreement obligation</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310,275</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576,986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573,588</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4,027,148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3,669,772</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par value $.01 per share; 15,000,000 shares authorized:</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Series A - no shares issued and outstanding</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Series B - no shares issued and outstanding</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Class A, par value $.01 per share (500,000,000 shares authorized;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129,766,091 shares issued at December 31, 2018 and 2017,</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including shares held by subsidiaries as indicated below)</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20"/>
                <w:szCs w:val="20"/>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788,140</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1,080,413</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(273,818)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(232,518)</w:t>
            </w:r>
          </w:p>
        </w:tc>
      </w:tr>
      <w:tr>
        <w:trPr>
          <w:trHeight w:val="223"/>
        </w:trPr>
        <w:tc>
          <w:tcPr>
            <w:tcW w:w="6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1,673,735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1,637,333</w:t>
            </w:r>
          </w:p>
        </w:tc>
        <w:tc>
          <w:tcPr>
            <w:tcW w:w="120" w:type="dxa"/>
            <w:vAlign w:val="bottom"/>
          </w:tcPr>
          <w:p>
            <w:pPr>
              <w:spacing w:after="0"/>
              <w:rPr>
                <w:sz w:val="19"/>
                <w:szCs w:val="19"/>
                <w:color w:val="auto"/>
              </w:rPr>
            </w:pPr>
          </w:p>
        </w:tc>
      </w:tr>
      <w:tr>
        <w:trPr>
          <w:trHeight w:val="211"/>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A common stock held by subsidiaries, at cost (17,574,805 and</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10,747,142 shares at December 31, 2018 and 2017, respectively)</w:t>
            </w:r>
          </w:p>
        </w:tc>
        <w:tc>
          <w:tcPr>
            <w:tcW w:w="1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(756,884)</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(437,530)</w:t>
            </w:r>
          </w:p>
        </w:tc>
      </w:tr>
      <w:tr>
        <w:trPr>
          <w:trHeight w:val="223"/>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Lazard Ltd Stockholders’ Equity</w:t>
            </w:r>
          </w:p>
        </w:tc>
        <w:tc>
          <w:tcPr>
            <w:tcW w:w="1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916,851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1,199,803</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59,102</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970,093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1,258,905</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4,997,241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4,928,677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banking and other advisory fees</w:t>
            </w: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1,554,114</w:t>
            </w:r>
          </w:p>
        </w:tc>
        <w:tc>
          <w:tcPr>
            <w:tcW w:w="100" w:type="dxa"/>
            <w:vAlign w:val="bottom"/>
          </w:tcPr>
          <w:p>
            <w:pPr>
              <w:spacing w:after="0"/>
              <w:rPr>
                <w:sz w:val="19"/>
                <w:szCs w:val="19"/>
                <w:color w:val="auto"/>
              </w:rPr>
            </w:pP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1,385,536</w:t>
            </w:r>
          </w:p>
        </w:tc>
        <w:tc>
          <w:tcPr>
            <w:tcW w:w="180" w:type="dxa"/>
            <w:vAlign w:val="bottom"/>
          </w:tcPr>
          <w:p>
            <w:pPr>
              <w:spacing w:after="0"/>
              <w:rPr>
                <w:sz w:val="19"/>
                <w:szCs w:val="19"/>
                <w:color w:val="auto"/>
              </w:rPr>
            </w:pP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1,298,364</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management fees</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1,268,399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1,195,550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998,887</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109,599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81,179</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2,697,829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2,383,663</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53,518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50,292</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revenue</w:t>
            </w: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2,826,352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2,644,311</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2,333,371</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1,512,873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1,340,543</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Occupancy and equipment</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124,842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109,305</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83,202</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Technology and information services</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121,671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97,461</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services</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45,512</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Fund administration and outsourced services</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132,964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71,305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63,421</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and other acquisition-related (benefits) costs</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(15,897)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Benefit pursuant to tax receivable agreement</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(6,495)</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(202,546)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89,486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44,069</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41,219</w:t>
            </w:r>
          </w:p>
        </w:tc>
        <w:tc>
          <w:tcPr>
            <w:tcW w:w="10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2,145,586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1,818,865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1,815,910</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825,446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517,461</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148,317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565,599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123,769</w:t>
            </w:r>
          </w:p>
        </w:tc>
        <w:tc>
          <w:tcPr>
            <w:tcW w:w="10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393,692</w:t>
            </w:r>
          </w:p>
        </w:tc>
        <w:tc>
          <w:tcPr>
            <w:tcW w:w="100" w:type="dxa"/>
            <w:vAlign w:val="bottom"/>
          </w:tcPr>
          <w:p>
            <w:pPr>
              <w:spacing w:after="0"/>
              <w:rPr>
                <w:sz w:val="19"/>
                <w:szCs w:val="19"/>
                <w:color w:val="auto"/>
              </w:rPr>
            </w:pPr>
          </w:p>
        </w:tc>
      </w:tr>
      <w:tr>
        <w:trPr>
          <w:trHeight w:val="20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LESS - NET INCOME ATTRIBUTABLE TO</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1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shd w:val="clear" w:color="auto" w:fill="CFF0FC"/>
          </w:tcPr>
          <w:p>
            <w:pPr>
              <w:spacing w:after="0"/>
              <w:rPr>
                <w:sz w:val="20"/>
                <w:szCs w:val="20"/>
                <w:color w:val="auto"/>
              </w:rPr>
            </w:pPr>
          </w:p>
        </w:tc>
      </w:tr>
      <w:tr>
        <w:trPr>
          <w:trHeight w:val="263"/>
        </w:trPr>
        <w:tc>
          <w:tcPr>
            <w:tcW w:w="5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LAZARD LTD</w:t>
            </w:r>
          </w:p>
        </w:tc>
        <w:tc>
          <w:tcPr>
            <w:tcW w:w="11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527,125</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253,583</w:t>
            </w: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387,698</w:t>
            </w:r>
          </w:p>
        </w:tc>
        <w:tc>
          <w:tcPr>
            <w:tcW w:w="100" w:type="dxa"/>
            <w:vAlign w:val="bottom"/>
            <w:tcBorders>
              <w:bottom w:val="single" w:sz="8" w:color="CFF0FC"/>
            </w:tcBorders>
          </w:tcPr>
          <w:p>
            <w:pPr>
              <w:spacing w:after="0"/>
              <w:rPr>
                <w:sz w:val="22"/>
                <w:szCs w:val="22"/>
                <w:color w:val="auto"/>
              </w:rPr>
            </w:pPr>
          </w:p>
        </w:tc>
      </w:tr>
      <w:tr>
        <w:trPr>
          <w:trHeight w:val="188"/>
        </w:trPr>
        <w:tc>
          <w:tcPr>
            <w:tcW w:w="56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 LAZARD LTD CLASS A</w:t>
            </w: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8"/>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7"/>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WEIGHTED AVERAGE SHARES OF</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 OUTSTANDING:</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119,006,531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121,573,442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124,770,401</w:t>
            </w: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129,767,592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132,479,728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132,633,630</w:t>
            </w:r>
          </w:p>
        </w:tc>
        <w:tc>
          <w:tcPr>
            <w:tcW w:w="100" w:type="dxa"/>
            <w:vAlign w:val="bottom"/>
          </w:tcPr>
          <w:p>
            <w:pPr>
              <w:spacing w:after="0"/>
              <w:rPr>
                <w:sz w:val="19"/>
                <w:szCs w:val="19"/>
                <w:color w:val="auto"/>
              </w:rPr>
            </w:pPr>
          </w:p>
        </w:tc>
      </w:tr>
      <w:tr>
        <w:trPr>
          <w:trHeight w:val="207"/>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INCOME PER SHARE OF COMMON</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5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70"/>
        </w:trPr>
        <w:tc>
          <w:tcPr>
            <w:tcW w:w="5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Pr>
          <w:p>
            <w:pPr>
              <w:spacing w:after="0"/>
              <w:rPr>
                <w:sz w:val="23"/>
                <w:szCs w:val="23"/>
                <w:color w:val="auto"/>
              </w:rPr>
            </w:pP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3"/>
                <w:szCs w:val="23"/>
                <w:color w:val="auto"/>
              </w:rPr>
            </w:pPr>
          </w:p>
        </w:tc>
      </w:tr>
      <w:tr>
        <w:trPr>
          <w:trHeight w:val="210"/>
        </w:trPr>
        <w:tc>
          <w:tcPr>
            <w:tcW w:w="56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7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532,449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259,847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393,692</w:t>
            </w:r>
          </w:p>
        </w:tc>
        <w:tc>
          <w:tcPr>
            <w:tcW w:w="120" w:type="dxa"/>
            <w:vAlign w:val="bottom"/>
            <w:shd w:val="clear" w:color="auto" w:fill="CFF0FC"/>
          </w:tcPr>
          <w:p>
            <w:pPr>
              <w:spacing w:after="0"/>
              <w:rPr>
                <w:sz w:val="19"/>
                <w:szCs w:val="19"/>
                <w:color w:val="auto"/>
              </w:rPr>
            </w:pPr>
          </w:p>
        </w:tc>
      </w:tr>
      <w:tr>
        <w:trPr>
          <w:trHeight w:val="201"/>
        </w:trPr>
        <w:tc>
          <w:tcPr>
            <w:tcW w:w="67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8"/>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(46,602)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71,669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(57,920)</w:t>
            </w:r>
          </w:p>
        </w:tc>
      </w:tr>
      <w:tr>
        <w:trPr>
          <w:trHeight w:val="230"/>
        </w:trPr>
        <w:tc>
          <w:tcPr>
            <w:tcW w:w="6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benefit plans: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6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Prior service costs (net of tax benefit of $543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7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for the year ended December 31, 2018)</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r>
      <w:tr>
        <w:trPr>
          <w:trHeight w:val="211"/>
        </w:trPr>
        <w:tc>
          <w:tcPr>
            <w:tcW w:w="6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Actuarial gain (loss) (net of tax expense (benefit) of</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$131, $(3,507) and $(5,205) for the years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ended December 31, 2018, 2017 and 2016,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(24,473)</w:t>
            </w:r>
          </w:p>
        </w:tc>
      </w:tr>
      <w:tr>
        <w:trPr>
          <w:trHeight w:val="211"/>
        </w:trPr>
        <w:tc>
          <w:tcPr>
            <w:tcW w:w="6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Adjustment for items reclassified to earnings (net of</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tax expense of $2,335, $2,220 and $1,757 for the</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years ended December 31, 2018, 2017 and 2016,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7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shd w:val="clear" w:color="auto" w:fill="CFF0FC"/>
          </w:tcPr>
          <w:p>
            <w:pPr>
              <w:spacing w:after="0"/>
              <w:rPr>
                <w:sz w:val="20"/>
                <w:szCs w:val="20"/>
                <w:color w:val="auto"/>
              </w:rPr>
            </w:pP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81,705</w:t>
            </w:r>
          </w:p>
        </w:tc>
        <w:tc>
          <w:tcPr>
            <w:tcW w:w="10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(79,867)</w:t>
            </w:r>
          </w:p>
        </w:tc>
        <w:tc>
          <w:tcPr>
            <w:tcW w:w="120" w:type="dxa"/>
            <w:vAlign w:val="bottom"/>
            <w:tcBorders>
              <w:bottom w:val="single" w:sz="8" w:color="CFF0FC"/>
            </w:tcBorders>
          </w:tcPr>
          <w:p>
            <w:pPr>
              <w:spacing w:after="0"/>
              <w:rPr>
                <w:sz w:val="19"/>
                <w:szCs w:val="19"/>
                <w:color w:val="auto"/>
              </w:rPr>
            </w:pP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491,148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341,552</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313,825</w:t>
            </w:r>
          </w:p>
        </w:tc>
        <w:tc>
          <w:tcPr>
            <w:tcW w:w="120" w:type="dxa"/>
            <w:vAlign w:val="bottom"/>
            <w:shd w:val="clear" w:color="auto" w:fill="CFF0FC"/>
          </w:tcPr>
          <w:p>
            <w:pPr>
              <w:spacing w:after="0"/>
              <w:rPr>
                <w:sz w:val="19"/>
                <w:szCs w:val="19"/>
                <w:color w:val="auto"/>
              </w:rPr>
            </w:pPr>
          </w:p>
        </w:tc>
      </w:tr>
      <w:tr>
        <w:trPr>
          <w:trHeight w:val="207"/>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 COMPREHENSIVE INCOME ATTRIBUTABLE TO</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6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00" w:type="dxa"/>
            <w:vAlign w:val="bottom"/>
            <w:tcBorders>
              <w:bottom w:val="single" w:sz="8" w:color="CFF0FC"/>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20" w:type="dxa"/>
            <w:vAlign w:val="bottom"/>
            <w:tcBorders>
              <w:bottom w:val="single" w:sz="8" w:color="CFF0FC"/>
            </w:tcBorders>
          </w:tcPr>
          <w:p>
            <w:pPr>
              <w:spacing w:after="0"/>
              <w:rPr>
                <w:sz w:val="20"/>
                <w:szCs w:val="20"/>
                <w:color w:val="auto"/>
              </w:rPr>
            </w:pPr>
          </w:p>
        </w:tc>
      </w:tr>
      <w:tr>
        <w:trPr>
          <w:trHeight w:val="201"/>
        </w:trPr>
        <w:tc>
          <w:tcPr>
            <w:tcW w:w="672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INCOME ATTRIBUTABLE TO</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8"/>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LAZARD LTD</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485,825</w:t>
            </w:r>
          </w:p>
        </w:tc>
        <w:tc>
          <w:tcPr>
            <w:tcW w:w="1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335,287</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307,832</w:t>
            </w:r>
          </w:p>
        </w:tc>
        <w:tc>
          <w:tcPr>
            <w:tcW w:w="120" w:type="dxa"/>
            <w:vAlign w:val="bottom"/>
            <w:shd w:val="clear" w:color="auto" w:fill="CFF0FC"/>
          </w:tcPr>
          <w:p>
            <w:pPr>
              <w:spacing w:after="0"/>
              <w:rPr>
                <w:sz w:val="20"/>
                <w:szCs w:val="20"/>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8" w:name="page79"/>
    <w:bookmarkEnd w:id="78"/>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532,449</w:t>
            </w:r>
          </w:p>
        </w:tc>
        <w:tc>
          <w:tcPr>
            <w:tcW w:w="1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259,847</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393,692</w:t>
            </w:r>
          </w:p>
        </w:tc>
        <w:tc>
          <w:tcPr>
            <w:tcW w:w="100" w:type="dxa"/>
            <w:vAlign w:val="bottom"/>
          </w:tcPr>
          <w:p>
            <w:pPr>
              <w:spacing w:after="0"/>
              <w:rPr>
                <w:sz w:val="18"/>
                <w:szCs w:val="18"/>
                <w:color w:val="auto"/>
              </w:rPr>
            </w:pPr>
          </w:p>
        </w:tc>
      </w:tr>
      <w:tr>
        <w:trPr>
          <w:trHeight w:val="205"/>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w:t>
            </w: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 of property</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33,264</w:t>
            </w:r>
          </w:p>
        </w:tc>
        <w:tc>
          <w:tcPr>
            <w:tcW w:w="100" w:type="dxa"/>
            <w:vAlign w:val="bottom"/>
          </w:tcPr>
          <w:p>
            <w:pPr>
              <w:spacing w:after="0"/>
              <w:rPr>
                <w:sz w:val="18"/>
                <w:szCs w:val="18"/>
                <w:color w:val="auto"/>
              </w:rPr>
            </w:pPr>
          </w:p>
        </w:tc>
      </w:tr>
      <w:tr>
        <w:trPr>
          <w:trHeight w:val="205"/>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Amortization of deferred expenses and share-based incentive</w:t>
            </w: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compensation</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371,434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359,381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341,825</w:t>
            </w: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Amortization and other acquisition-related (benefits) costs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(15,897)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35,247</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Deferred tax provision</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45,386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501,163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63,660</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Benefit pursuant to tax receivable agreement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(6,495)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(202,546)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Gain on acquisition of portion of business already owned</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(12,668)</w:t>
            </w:r>
          </w:p>
        </w:tc>
      </w:tr>
      <w:tr>
        <w:trPr>
          <w:trHeight w:val="205"/>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(Increase) decrease in operating assets and increase (decrease) in</w:t>
            </w: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liabilities: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Receivables-net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(131,637)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(156,129)</w:t>
            </w:r>
          </w:p>
        </w:tc>
      </w:tr>
      <w:tr>
        <w:trPr>
          <w:trHeight w:val="21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Investments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(150,839)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71,552</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assets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(138,842)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(80,550)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(55,611)</w:t>
            </w:r>
          </w:p>
        </w:tc>
      </w:tr>
      <w:tr>
        <w:trPr>
          <w:trHeight w:val="21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Accrued compensation and benefits and other liabilities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152,853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(85,379)</w:t>
            </w:r>
          </w:p>
        </w:tc>
      </w:tr>
      <w:tr>
        <w:trPr>
          <w:trHeight w:val="207"/>
        </w:trPr>
        <w:tc>
          <w:tcPr>
            <w:tcW w:w="58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2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699,038</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1,029,115</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632,601</w:t>
            </w:r>
          </w:p>
        </w:tc>
        <w:tc>
          <w:tcPr>
            <w:tcW w:w="100" w:type="dxa"/>
            <w:vAlign w:val="bottom"/>
            <w:tcBorders>
              <w:bottom w:val="single" w:sz="8" w:color="CFF0FC"/>
            </w:tcBorders>
          </w:tcPr>
          <w:p>
            <w:pPr>
              <w:spacing w:after="0"/>
              <w:rPr>
                <w:sz w:val="17"/>
                <w:szCs w:val="17"/>
                <w:color w:val="auto"/>
              </w:rPr>
            </w:pPr>
          </w:p>
        </w:tc>
      </w:tr>
      <w:tr>
        <w:trPr>
          <w:trHeight w:val="212"/>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Additions to property</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(49,593)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(27,670)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(38,749)</w:t>
            </w:r>
          </w:p>
        </w:tc>
      </w:tr>
      <w:tr>
        <w:trPr>
          <w:trHeight w:val="21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Disposals of property</w:t>
            </w:r>
          </w:p>
        </w:tc>
        <w:tc>
          <w:tcPr>
            <w:tcW w:w="10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shd w:val="clear" w:color="auto" w:fill="CFF0FC"/>
          </w:tcPr>
          <w:p>
            <w:pPr>
              <w:spacing w:after="0"/>
              <w:rPr>
                <w:sz w:val="19"/>
                <w:szCs w:val="19"/>
                <w:color w:val="auto"/>
              </w:rPr>
            </w:pPr>
          </w:p>
        </w:tc>
      </w:tr>
      <w:tr>
        <w:trPr>
          <w:trHeight w:val="207"/>
        </w:trPr>
        <w:tc>
          <w:tcPr>
            <w:tcW w:w="58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(46,209)</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(26,920)</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(37,653)</w:t>
            </w:r>
          </w:p>
        </w:tc>
        <w:tc>
          <w:tcPr>
            <w:tcW w:w="100" w:type="dxa"/>
            <w:vAlign w:val="bottom"/>
            <w:tcBorders>
              <w:bottom w:val="single" w:sz="8" w:color="CFF0FC"/>
            </w:tcBorders>
          </w:tcPr>
          <w:p>
            <w:pPr>
              <w:spacing w:after="0"/>
              <w:rPr>
                <w:sz w:val="17"/>
                <w:szCs w:val="17"/>
                <w:color w:val="auto"/>
              </w:rPr>
            </w:pPr>
          </w:p>
        </w:tc>
      </w:tr>
      <w:tr>
        <w:trPr>
          <w:trHeight w:val="212"/>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Customer deposits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112,061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421,885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7,197</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Issuance of senior debt, net of expenses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490,970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296,757</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Excess tax benefits from share-based incentive compensation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24,484</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Payments for:</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Senior debt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(255,543)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(101,441)</w:t>
            </w:r>
          </w:p>
        </w:tc>
      </w:tr>
      <w:tr>
        <w:trPr>
          <w:trHeight w:val="213"/>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(1,619)</w:t>
            </w:r>
          </w:p>
        </w:tc>
      </w:tr>
      <w:tr>
        <w:trPr>
          <w:trHeight w:val="21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(12,889)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(5,193)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(2,111)</w:t>
            </w:r>
          </w:p>
        </w:tc>
      </w:tr>
      <w:tr>
        <w:trPr>
          <w:trHeight w:val="213"/>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Payments under tax receivable agreement</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(33,140)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(10,086)</w:t>
            </w:r>
          </w:p>
        </w:tc>
      </w:tr>
      <w:tr>
        <w:trPr>
          <w:trHeight w:val="21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Purchase of Class A common stock</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(552,872)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(306,741)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(300,217)</w:t>
            </w:r>
          </w:p>
        </w:tc>
      </w:tr>
      <w:tr>
        <w:trPr>
          <w:trHeight w:val="213"/>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Class A common stock dividends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(359,639)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(341,450)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(336,138)</w:t>
            </w:r>
          </w:p>
        </w:tc>
      </w:tr>
      <w:tr>
        <w:trPr>
          <w:trHeight w:val="219"/>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Settlement of share-based incentive compensation</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(110,361)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(67,899)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(56,078)</w:t>
            </w:r>
          </w:p>
        </w:tc>
      </w:tr>
      <w:tr>
        <w:trPr>
          <w:trHeight w:val="213"/>
        </w:trPr>
        <w:tc>
          <w:tcPr>
            <w:tcW w:w="58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(6,329)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(10,984)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(4,667)</w:t>
            </w:r>
          </w:p>
        </w:tc>
      </w:tr>
      <w:tr>
        <w:trPr>
          <w:trHeight w:val="212"/>
        </w:trPr>
        <w:tc>
          <w:tcPr>
            <w:tcW w:w="584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(726,104)</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(318,508)</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(479,755)</w:t>
            </w:r>
          </w:p>
        </w:tc>
        <w:tc>
          <w:tcPr>
            <w:tcW w:w="100" w:type="dxa"/>
            <w:vAlign w:val="bottom"/>
            <w:tcBorders>
              <w:top w:val="single" w:sz="8" w:color="CFF0FC"/>
            </w:tcBorders>
            <w:shd w:val="clear" w:color="auto" w:fill="CFF0FC"/>
          </w:tcPr>
          <w:p>
            <w:pPr>
              <w:spacing w:after="0"/>
              <w:rPr>
                <w:sz w:val="18"/>
                <w:szCs w:val="18"/>
                <w:color w:val="auto"/>
              </w:rPr>
            </w:pPr>
          </w:p>
        </w:tc>
      </w:tr>
      <w:tr>
        <w:trPr>
          <w:trHeight w:val="194"/>
        </w:trPr>
        <w:tc>
          <w:tcPr>
            <w:tcW w:w="5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w:t>
            </w: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EQUIVALENTS AND RESTRICTED CASH</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(89,646)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(64,602)</w:t>
            </w:r>
          </w:p>
        </w:tc>
      </w:tr>
      <w:tr>
        <w:trPr>
          <w:trHeight w:val="197"/>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w:t>
            </w:r>
          </w:p>
        </w:tc>
        <w:tc>
          <w:tcPr>
            <w:tcW w:w="10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8"/>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CASH EQUIVALENTS AND RESTRICTED CASH</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(162,921)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847,323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50,591</w:t>
            </w:r>
          </w:p>
        </w:tc>
        <w:tc>
          <w:tcPr>
            <w:tcW w:w="100" w:type="dxa"/>
            <w:vAlign w:val="bottom"/>
            <w:shd w:val="clear" w:color="auto" w:fill="CFF0FC"/>
          </w:tcPr>
          <w:p>
            <w:pPr>
              <w:spacing w:after="0"/>
              <w:rPr>
                <w:sz w:val="18"/>
                <w:szCs w:val="18"/>
                <w:color w:val="auto"/>
              </w:rPr>
            </w:pPr>
          </w:p>
        </w:tc>
      </w:tr>
      <w:tr>
        <w:trPr>
          <w:trHeight w:val="200"/>
        </w:trPr>
        <w:tc>
          <w:tcPr>
            <w:tcW w:w="5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8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0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2,454,806</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1,607,483</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1,556,892</w:t>
            </w:r>
          </w:p>
        </w:tc>
        <w:tc>
          <w:tcPr>
            <w:tcW w:w="100" w:type="dxa"/>
            <w:vAlign w:val="bottom"/>
            <w:tcBorders>
              <w:bottom w:val="single" w:sz="8" w:color="CFF0FC"/>
            </w:tcBorders>
          </w:tcPr>
          <w:p>
            <w:pPr>
              <w:spacing w:after="0"/>
              <w:rPr>
                <w:sz w:val="18"/>
                <w:szCs w:val="18"/>
                <w:color w:val="auto"/>
              </w:rPr>
            </w:pPr>
          </w:p>
        </w:tc>
      </w:tr>
      <w:tr>
        <w:trPr>
          <w:trHeight w:val="197"/>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2,291,885</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2,454,806</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1,607,483</w:t>
            </w:r>
          </w:p>
        </w:tc>
        <w:tc>
          <w:tcPr>
            <w:tcW w:w="100" w:type="dxa"/>
            <w:vAlign w:val="bottom"/>
            <w:shd w:val="clear" w:color="auto" w:fill="CFF0FC"/>
          </w:tcPr>
          <w:p>
            <w:pPr>
              <w:spacing w:after="0"/>
              <w:rPr>
                <w:sz w:val="18"/>
                <w:szCs w:val="18"/>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RESTRICTED CASH WITHIN THE CONSOLIDATED</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STATEMENTS OF FINANCIAL CONDITION: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1,246,537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1,483,836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1,158,785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Deposits with banks and short-term investments</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1,006,969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935,431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deposited with clearing organizations and other segregated cash</w:t>
            </w:r>
          </w:p>
        </w:tc>
        <w:tc>
          <w:tcPr>
            <w:tcW w:w="10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38,379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35,539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CASH AND CASH EQUIVALENTS AND</w:t>
            </w: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13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2,291,885</w:t>
            </w:r>
          </w:p>
        </w:tc>
        <w:tc>
          <w:tcPr>
            <w:tcW w:w="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2,454,806</w:t>
            </w:r>
          </w:p>
        </w:tc>
        <w:tc>
          <w:tcPr>
            <w:tcW w:w="220" w:type="dxa"/>
            <w:vAlign w:val="bottom"/>
          </w:tcPr>
          <w:p>
            <w:pPr>
              <w:spacing w:after="0"/>
              <w:rPr>
                <w:sz w:val="22"/>
                <w:szCs w:val="22"/>
                <w:color w:val="auto"/>
              </w:rPr>
            </w:pP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1,607,483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8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INFORMATION:</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paid during the year for:</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w:t>
            </w:r>
          </w:p>
        </w:tc>
        <w:tc>
          <w:tcPr>
            <w:tcW w:w="1040" w:type="dxa"/>
            <w:vAlign w:val="bottom"/>
          </w:tcPr>
          <w:p>
            <w:pPr>
              <w:spacing w:after="0"/>
              <w:rPr>
                <w:sz w:val="22"/>
                <w:szCs w:val="22"/>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50,812</w:t>
            </w:r>
          </w:p>
        </w:tc>
        <w:tc>
          <w:tcPr>
            <w:tcW w:w="260" w:type="dxa"/>
            <w:vAlign w:val="bottom"/>
          </w:tcPr>
          <w:p>
            <w:pPr>
              <w:spacing w:after="0"/>
              <w:rPr>
                <w:sz w:val="22"/>
                <w:szCs w:val="22"/>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49,601</w:t>
            </w:r>
          </w:p>
        </w:tc>
        <w:tc>
          <w:tcPr>
            <w:tcW w:w="220" w:type="dxa"/>
            <w:vAlign w:val="bottom"/>
          </w:tcPr>
          <w:p>
            <w:pPr>
              <w:spacing w:after="0"/>
              <w:rPr>
                <w:sz w:val="22"/>
                <w:szCs w:val="22"/>
                <w:color w:val="auto"/>
              </w:rPr>
            </w:pP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46,262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Income taxes, net of refunds</w:t>
            </w:r>
          </w:p>
        </w:tc>
        <w:tc>
          <w:tcPr>
            <w:tcW w:w="104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101,671</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48,738</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72,420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7" w:right="239" w:bottom="1440" w:gutter="0" w:footer="0" w:header="0"/>
        </w:sectPr>
      </w:pPr>
    </w:p>
    <w:bookmarkStart w:id="80" w:name="page81"/>
    <w:bookmarkEnd w:id="80"/>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40" w:type="dxa"/>
            <w:vAlign w:val="bottom"/>
            <w:gridSpan w:val="5"/>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780" w:type="dxa"/>
            <w:vAlign w:val="bottom"/>
            <w:gridSpan w:val="4"/>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60" w:type="dxa"/>
            <w:vAlign w:val="bottom"/>
          </w:tcPr>
          <w:p>
            <w:pPr>
              <w:spacing w:after="0"/>
              <w:rPr>
                <w:sz w:val="12"/>
                <w:szCs w:val="12"/>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Lazard Ltd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20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154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Paid-In-</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0" w:type="dxa"/>
            <w:vAlign w:val="bottom"/>
          </w:tcPr>
          <w:p>
            <w:pPr>
              <w:spacing w:after="0"/>
              <w:rPr>
                <w:sz w:val="13"/>
                <w:szCs w:val="13"/>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 (Loss),</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Held By Subsidiaries</w:t>
            </w:r>
          </w:p>
        </w:tc>
        <w:tc>
          <w:tcPr>
            <w:tcW w:w="60" w:type="dxa"/>
            <w:vAlign w:val="bottom"/>
          </w:tcPr>
          <w:p>
            <w:pPr>
              <w:spacing w:after="0"/>
              <w:rPr>
                <w:sz w:val="13"/>
                <w:szCs w:val="13"/>
                <w:color w:val="auto"/>
              </w:rPr>
            </w:pPr>
          </w:p>
        </w:tc>
        <w:tc>
          <w:tcPr>
            <w:tcW w:w="9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FF0FC"/>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CFF0FC"/>
            </w:tcBorders>
          </w:tcPr>
          <w:p>
            <w:pPr>
              <w:spacing w:after="0"/>
              <w:rPr>
                <w:sz w:val="12"/>
                <w:szCs w:val="12"/>
                <w:color w:val="auto"/>
              </w:rPr>
            </w:pPr>
          </w:p>
        </w:tc>
        <w:tc>
          <w:tcPr>
            <w:tcW w:w="60" w:type="dxa"/>
            <w:vAlign w:val="bottom"/>
            <w:tcBorders>
              <w:top w:val="single" w:sz="8" w:color="auto"/>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11"/>
              <w:spacing w:after="0" w:line="143"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FF0FC"/>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73"/>
              <w:spacing w:after="0" w:line="143" w:lineRule="exact"/>
              <w:rPr>
                <w:sz w:val="20"/>
                <w:szCs w:val="20"/>
                <w:color w:val="auto"/>
              </w:rPr>
            </w:pPr>
            <w:r>
              <w:rPr>
                <w:rFonts w:ascii="Times New Roman" w:cs="Times New Roman" w:eastAsia="Times New Roman" w:hAnsi="Times New Roman"/>
                <w:sz w:val="13"/>
                <w:szCs w:val="13"/>
                <w:b w:val="1"/>
                <w:bCs w:val="1"/>
                <w:color w:val="auto"/>
              </w:rPr>
              <w:t>Shares (*)</w:t>
            </w:r>
          </w:p>
        </w:tc>
        <w:tc>
          <w:tcPr>
            <w:tcW w:w="140" w:type="dxa"/>
            <w:vAlign w:val="bottom"/>
            <w:tcBorders>
              <w:top w:val="single" w:sz="8" w:color="auto"/>
              <w:bottom w:val="single" w:sz="8" w:color="CFF0FC"/>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50"/>
              <w:spacing w:after="0" w:line="143"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ind w:right="31"/>
              <w:spacing w:after="0" w:line="143"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52"/>
              <w:spacing w:after="0" w:line="143" w:lineRule="exact"/>
              <w:rPr>
                <w:sz w:val="20"/>
                <w:szCs w:val="20"/>
                <w:color w:val="auto"/>
              </w:rPr>
            </w:pPr>
            <w:r>
              <w:rPr>
                <w:rFonts w:ascii="Times New Roman" w:cs="Times New Roman" w:eastAsia="Times New Roman" w:hAnsi="Times New Roman"/>
                <w:sz w:val="13"/>
                <w:szCs w:val="13"/>
                <w:b w:val="1"/>
                <w:bCs w:val="1"/>
                <w:color w:val="auto"/>
                <w:w w:val="92"/>
              </w:rPr>
              <w:t>Net of Tax</w:t>
            </w:r>
          </w:p>
        </w:tc>
        <w:tc>
          <w:tcPr>
            <w:tcW w:w="160" w:type="dxa"/>
            <w:vAlign w:val="bottom"/>
            <w:tcBorders>
              <w:bottom w:val="single" w:sz="8" w:color="CFF0FC"/>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CFF0FC"/>
            </w:tcBorders>
          </w:tcPr>
          <w:p>
            <w:pPr>
              <w:spacing w:after="0"/>
              <w:rPr>
                <w:sz w:val="12"/>
                <w:szCs w:val="12"/>
                <w:color w:val="auto"/>
              </w:rPr>
            </w:pPr>
          </w:p>
        </w:tc>
        <w:tc>
          <w:tcPr>
            <w:tcW w:w="60" w:type="dxa"/>
            <w:vAlign w:val="bottom"/>
            <w:tcBorders>
              <w:top w:val="single" w:sz="8" w:color="auto"/>
              <w:bottom w:val="single" w:sz="8" w:color="CFF0FC"/>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7"/>
              <w:spacing w:after="0" w:line="143"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49"/>
              <w:spacing w:after="0" w:line="143"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0"/>
              <w:spacing w:after="0" w:line="143"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 January 1,</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7,921</w:t>
            </w:r>
          </w:p>
        </w:tc>
        <w:tc>
          <w:tcPr>
            <w:tcW w:w="100" w:type="dxa"/>
            <w:vAlign w:val="bottom"/>
            <w:shd w:val="clear" w:color="auto" w:fill="CFF0FC"/>
          </w:tcPr>
          <w:p>
            <w:pPr>
              <w:spacing w:after="0"/>
              <w:rPr>
                <w:sz w:val="11"/>
                <w:szCs w:val="11"/>
                <w:color w:val="auto"/>
              </w:rPr>
            </w:pPr>
          </w:p>
        </w:tc>
        <w:tc>
          <w:tcPr>
            <w:tcW w:w="2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129,766,091</w:t>
            </w:r>
          </w:p>
        </w:tc>
        <w:tc>
          <w:tcPr>
            <w:tcW w:w="14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$ 1,298</w:t>
            </w:r>
          </w:p>
        </w:tc>
        <w:tc>
          <w:tcPr>
            <w:tcW w:w="12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600,034</w:t>
            </w:r>
          </w:p>
        </w:tc>
        <w:tc>
          <w:tcPr>
            <w:tcW w:w="14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$ 1,123,728</w:t>
            </w:r>
          </w:p>
        </w:tc>
        <w:tc>
          <w:tcPr>
            <w:tcW w:w="120" w:type="dxa"/>
            <w:vAlign w:val="bottom"/>
            <w:shd w:val="clear" w:color="auto" w:fill="CFF0FC"/>
          </w:tcPr>
          <w:p>
            <w:pPr>
              <w:spacing w:after="0"/>
              <w:rPr>
                <w:sz w:val="11"/>
                <w:szCs w:val="11"/>
                <w:color w:val="auto"/>
              </w:rPr>
            </w:pPr>
          </w:p>
        </w:tc>
        <w:tc>
          <w:tcPr>
            <w:tcW w:w="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(234,356)</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4,253,381</w:t>
            </w:r>
          </w:p>
        </w:tc>
        <w:tc>
          <w:tcPr>
            <w:tcW w:w="100" w:type="dxa"/>
            <w:vAlign w:val="bottom"/>
            <w:shd w:val="clear" w:color="auto" w:fill="CFF0FC"/>
          </w:tcPr>
          <w:p>
            <w:pPr>
              <w:spacing w:after="0"/>
              <w:rPr>
                <w:sz w:val="11"/>
                <w:szCs w:val="11"/>
                <w:color w:val="auto"/>
              </w:rPr>
            </w:pPr>
          </w:p>
        </w:tc>
        <w:tc>
          <w:tcPr>
            <w:tcW w:w="80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(177,249)</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1,313,455</w:t>
            </w:r>
          </w:p>
        </w:tc>
        <w:tc>
          <w:tcPr>
            <w:tcW w:w="16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53,851</w:t>
            </w:r>
          </w:p>
        </w:tc>
        <w:tc>
          <w:tcPr>
            <w:tcW w:w="16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1,367,306</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gridSpan w:val="2"/>
            <w:vMerge w:val="continue"/>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56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gridSpan w:val="2"/>
            <w:vMerge w:val="continue"/>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3"/>
            <w:vMerge w:val="continue"/>
            <w:shd w:val="clear" w:color="auto" w:fill="CFF0FC"/>
          </w:tcPr>
          <w:p>
            <w:pPr>
              <w:spacing w:after="0"/>
              <w:rPr>
                <w:sz w:val="15"/>
                <w:szCs w:val="15"/>
                <w:color w:val="auto"/>
              </w:rPr>
            </w:pPr>
          </w:p>
        </w:tc>
        <w:tc>
          <w:tcPr>
            <w:tcW w:w="180" w:type="dxa"/>
            <w:vAlign w:val="bottom"/>
            <w:gridSpan w:val="2"/>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5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Comprehensive income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(loss):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387,698</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387,698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393,692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Other comprehensive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(79,866)</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(79,866)</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(79,867)</w:t>
            </w:r>
          </w:p>
        </w:tc>
        <w:tc>
          <w:tcPr>
            <w:tcW w:w="0" w:type="dxa"/>
            <w:vAlign w:val="bottom"/>
          </w:tcPr>
          <w:p>
            <w:pPr>
              <w:spacing w:after="0"/>
              <w:rPr>
                <w:sz w:val="1"/>
                <w:szCs w:val="1"/>
                <w:color w:val="auto"/>
              </w:rPr>
            </w:pPr>
          </w:p>
        </w:tc>
      </w:tr>
      <w:tr>
        <w:trPr>
          <w:trHeight w:val="171"/>
        </w:trPr>
        <w:tc>
          <w:tcPr>
            <w:tcW w:w="1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 net of tax</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Settlement of Series A</w:t>
            </w:r>
          </w:p>
        </w:tc>
        <w:tc>
          <w:tcPr>
            <w:tcW w:w="5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(7,921)</w:t>
            </w: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58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Amortization of share-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based incentive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261,462</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261,462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261,462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Dividend equivalents</w:t>
            </w: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37,284</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(41,102)</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(3,818)</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(3,818)</w:t>
            </w:r>
          </w:p>
        </w:tc>
        <w:tc>
          <w:tcPr>
            <w:tcW w:w="0" w:type="dxa"/>
            <w:vAlign w:val="bottom"/>
          </w:tcPr>
          <w:p>
            <w:pPr>
              <w:spacing w:after="0"/>
              <w:rPr>
                <w:sz w:val="1"/>
                <w:szCs w:val="1"/>
                <w:color w:val="auto"/>
              </w:rPr>
            </w:pPr>
          </w:p>
        </w:tc>
      </w:tr>
      <w:tr>
        <w:trPr>
          <w:trHeight w:val="139"/>
        </w:trPr>
        <w:tc>
          <w:tcPr>
            <w:tcW w:w="15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Class A common stock</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($2.69 per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(336,138)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(336,138)</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(336,138)</w:t>
            </w:r>
          </w:p>
        </w:tc>
        <w:tc>
          <w:tcPr>
            <w:tcW w:w="0" w:type="dxa"/>
            <w:vAlign w:val="bottom"/>
          </w:tcPr>
          <w:p>
            <w:pPr>
              <w:spacing w:after="0"/>
              <w:rPr>
                <w:sz w:val="1"/>
                <w:szCs w:val="1"/>
                <w:color w:val="auto"/>
              </w:rPr>
            </w:pPr>
          </w:p>
        </w:tc>
      </w:tr>
      <w:tr>
        <w:trPr>
          <w:trHeight w:val="171"/>
        </w:trPr>
        <w:tc>
          <w:tcPr>
            <w:tcW w:w="1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Purchase of Class A</w:t>
            </w: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8,551,271</w:t>
            </w:r>
          </w:p>
        </w:tc>
        <w:tc>
          <w:tcPr>
            <w:tcW w:w="100" w:type="dxa"/>
            <w:vAlign w:val="bottom"/>
            <w:shd w:val="clear" w:color="auto" w:fill="CFF0FC"/>
          </w:tcPr>
          <w:p>
            <w:pPr>
              <w:spacing w:after="0"/>
              <w:rPr>
                <w:sz w:val="12"/>
                <w:szCs w:val="12"/>
                <w:color w:val="auto"/>
              </w:rPr>
            </w:pPr>
          </w:p>
        </w:tc>
        <w:tc>
          <w:tcPr>
            <w:tcW w:w="80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(300,217)</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(300,217)</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(300,217)</w:t>
            </w:r>
          </w:p>
        </w:tc>
        <w:tc>
          <w:tcPr>
            <w:tcW w:w="0" w:type="dxa"/>
            <w:vAlign w:val="bottom"/>
          </w:tcPr>
          <w:p>
            <w:pPr>
              <w:spacing w:after="0"/>
              <w:rPr>
                <w:sz w:val="1"/>
                <w:szCs w:val="1"/>
                <w:color w:val="auto"/>
              </w:rPr>
            </w:pPr>
          </w:p>
        </w:tc>
      </w:tr>
      <w:tr>
        <w:trPr>
          <w:trHeight w:val="171"/>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3"/>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Delivery of Class A</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in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share-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based incentive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compensation and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related tax benefit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(224,201)</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(4,235,455)</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168,571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(55,630)</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(55,630)</w:t>
            </w:r>
          </w:p>
        </w:tc>
        <w:tc>
          <w:tcPr>
            <w:tcW w:w="0" w:type="dxa"/>
            <w:vAlign w:val="bottom"/>
          </w:tcPr>
          <w:p>
            <w:pPr>
              <w:spacing w:after="0"/>
              <w:rPr>
                <w:sz w:val="1"/>
                <w:szCs w:val="1"/>
                <w:color w:val="auto"/>
              </w:rPr>
            </w:pPr>
          </w:p>
        </w:tc>
      </w:tr>
      <w:tr>
        <w:trPr>
          <w:trHeight w:val="171"/>
        </w:trPr>
        <w:tc>
          <w:tcPr>
            <w:tcW w:w="1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$448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8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Business acquisitions and</w:t>
            </w: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related equity</w:t>
            </w: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transactions:</w:t>
            </w: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Class A common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stock issuable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(including related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37,861</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37,861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37,861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8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Delivery of Class A</w:t>
            </w: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related tax</w:t>
            </w: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(33,768)</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(940,411)</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35,389</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benefit of $1,074</w:t>
            </w: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5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Distributions to</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2"/>
                <w:szCs w:val="12"/>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171"/>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net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48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9,559</w:t>
            </w:r>
          </w:p>
        </w:tc>
        <w:tc>
          <w:tcPr>
            <w:tcW w:w="14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9,559</w:t>
            </w:r>
          </w:p>
        </w:tc>
        <w:tc>
          <w:tcPr>
            <w:tcW w:w="1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8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 December 31,</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129,766,091</w:t>
            </w:r>
          </w:p>
        </w:tc>
        <w:tc>
          <w:tcPr>
            <w:tcW w:w="14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$ 1,298</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688,231</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$ 1,134,186</w:t>
            </w:r>
          </w:p>
        </w:tc>
        <w:tc>
          <w:tcPr>
            <w:tcW w:w="12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(314,222)</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7,628,786</w:t>
            </w:r>
          </w:p>
        </w:tc>
        <w:tc>
          <w:tcPr>
            <w:tcW w:w="100" w:type="dxa"/>
            <w:vAlign w:val="bottom"/>
          </w:tcPr>
          <w:p>
            <w:pPr>
              <w:spacing w:after="0"/>
              <w:rPr>
                <w:sz w:val="11"/>
                <w:szCs w:val="11"/>
                <w:color w:val="auto"/>
              </w:rPr>
            </w:pPr>
          </w:p>
        </w:tc>
        <w:tc>
          <w:tcPr>
            <w:tcW w:w="8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(273,506)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1,235,987</w:t>
            </w:r>
          </w:p>
        </w:tc>
        <w:tc>
          <w:tcPr>
            <w:tcW w:w="16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57,826</w:t>
            </w:r>
          </w:p>
        </w:tc>
        <w:tc>
          <w:tcPr>
            <w:tcW w:w="16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1,293,813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1" w:name="page82"/>
    <w:bookmarkEnd w:id="81"/>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5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740" w:type="dxa"/>
            <w:vAlign w:val="bottom"/>
            <w:gridSpan w:val="4"/>
          </w:tcPr>
          <w:p>
            <w:pPr>
              <w:jc w:val="center"/>
              <w:ind w:right="108"/>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10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740" w:type="dxa"/>
            <w:vAlign w:val="bottom"/>
            <w:gridSpan w:val="4"/>
          </w:tcPr>
          <w:p>
            <w:pPr>
              <w:jc w:val="center"/>
              <w:ind w:right="108"/>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Lazard Ltd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Paid-In-</w:t>
            </w:r>
          </w:p>
        </w:tc>
        <w:tc>
          <w:tcPr>
            <w:tcW w:w="6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3"/>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5"/>
              </w:rPr>
              <w:t>Income (Loss),</w:t>
            </w:r>
          </w:p>
        </w:tc>
        <w:tc>
          <w:tcPr>
            <w:tcW w:w="1740" w:type="dxa"/>
            <w:vAlign w:val="bottom"/>
            <w:gridSpan w:val="4"/>
          </w:tcPr>
          <w:p>
            <w:pPr>
              <w:jc w:val="center"/>
              <w:ind w:right="108"/>
              <w:spacing w:after="0"/>
              <w:rPr>
                <w:sz w:val="20"/>
                <w:szCs w:val="20"/>
                <w:color w:val="auto"/>
              </w:rPr>
            </w:pPr>
            <w:r>
              <w:rPr>
                <w:rFonts w:ascii="Times New Roman" w:cs="Times New Roman" w:eastAsia="Times New Roman" w:hAnsi="Times New Roman"/>
                <w:sz w:val="13"/>
                <w:szCs w:val="13"/>
                <w:b w:val="1"/>
                <w:bCs w:val="1"/>
                <w:color w:val="auto"/>
                <w:w w:val="96"/>
              </w:rPr>
              <w:t>Held By Subsidiaries</w:t>
            </w: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000" w:type="dxa"/>
            <w:vAlign w:val="bottom"/>
            <w:tcBorders>
              <w:top w:val="single" w:sz="8" w:color="auto"/>
            </w:tcBorders>
            <w:gridSpan w:val="2"/>
          </w:tcPr>
          <w:p>
            <w:pPr>
              <w:ind w:left="140"/>
              <w:spacing w:after="0" w:line="143" w:lineRule="exact"/>
              <w:rPr>
                <w:sz w:val="20"/>
                <w:szCs w:val="20"/>
                <w:color w:val="auto"/>
              </w:rPr>
            </w:pPr>
            <w:r>
              <w:rPr>
                <w:rFonts w:ascii="Times New Roman" w:cs="Times New Roman" w:eastAsia="Times New Roman" w:hAnsi="Times New Roman"/>
                <w:sz w:val="13"/>
                <w:szCs w:val="13"/>
                <w:b w:val="1"/>
                <w:bCs w:val="1"/>
                <w:color w:val="auto"/>
              </w:rPr>
              <w:t>Shares (*)</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90"/>
              <w:spacing w:after="0" w:line="143"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0" w:type="dxa"/>
            <w:vAlign w:val="bottom"/>
          </w:tcPr>
          <w:p>
            <w:pPr>
              <w:spacing w:after="0"/>
              <w:rPr>
                <w:sz w:val="12"/>
                <w:szCs w:val="12"/>
                <w:color w:val="auto"/>
              </w:rPr>
            </w:pPr>
          </w:p>
        </w:tc>
        <w:tc>
          <w:tcPr>
            <w:tcW w:w="880" w:type="dxa"/>
            <w:vAlign w:val="bottom"/>
            <w:gridSpan w:val="2"/>
          </w:tcPr>
          <w:p>
            <w:pPr>
              <w:jc w:val="right"/>
              <w:ind w:right="280"/>
              <w:spacing w:after="0" w:line="143"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2"/>
                <w:szCs w:val="12"/>
                <w:color w:val="auto"/>
              </w:rPr>
            </w:pPr>
          </w:p>
        </w:tc>
        <w:tc>
          <w:tcPr>
            <w:tcW w:w="900" w:type="dxa"/>
            <w:vAlign w:val="bottom"/>
            <w:gridSpan w:val="2"/>
          </w:tcPr>
          <w:p>
            <w:pPr>
              <w:jc w:val="center"/>
              <w:ind w:right="239"/>
              <w:spacing w:after="0" w:line="143" w:lineRule="exact"/>
              <w:rPr>
                <w:sz w:val="20"/>
                <w:szCs w:val="20"/>
                <w:color w:val="auto"/>
              </w:rPr>
            </w:pPr>
            <w:r>
              <w:rPr>
                <w:rFonts w:ascii="Times New Roman" w:cs="Times New Roman" w:eastAsia="Times New Roman" w:hAnsi="Times New Roman"/>
                <w:sz w:val="13"/>
                <w:szCs w:val="13"/>
                <w:b w:val="1"/>
                <w:bCs w:val="1"/>
                <w:color w:val="auto"/>
                <w:w w:val="92"/>
              </w:rPr>
              <w:t>Net of Tax</w:t>
            </w:r>
          </w:p>
        </w:tc>
        <w:tc>
          <w:tcPr>
            <w:tcW w:w="920" w:type="dxa"/>
            <w:vAlign w:val="bottom"/>
            <w:tcBorders>
              <w:top w:val="single" w:sz="8" w:color="auto"/>
            </w:tcBorders>
            <w:gridSpan w:val="2"/>
          </w:tcPr>
          <w:p>
            <w:pPr>
              <w:jc w:val="right"/>
              <w:ind w:right="36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tcBorders>
              <w:top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2"/>
                <w:szCs w:val="12"/>
                <w:color w:val="auto"/>
              </w:rPr>
            </w:pPr>
          </w:p>
        </w:tc>
        <w:tc>
          <w:tcPr>
            <w:tcW w:w="840" w:type="dxa"/>
            <w:vAlign w:val="bottom"/>
            <w:gridSpan w:val="2"/>
          </w:tcPr>
          <w:p>
            <w:pPr>
              <w:jc w:val="right"/>
              <w:ind w:right="340"/>
              <w:spacing w:after="0" w:line="143" w:lineRule="exact"/>
              <w:rPr>
                <w:sz w:val="20"/>
                <w:szCs w:val="20"/>
                <w:color w:val="auto"/>
              </w:rPr>
            </w:pPr>
            <w:r>
              <w:rPr>
                <w:rFonts w:ascii="Times New Roman" w:cs="Times New Roman" w:eastAsia="Times New Roman" w:hAnsi="Times New Roman"/>
                <w:sz w:val="13"/>
                <w:szCs w:val="13"/>
                <w:b w:val="1"/>
                <w:bCs w:val="1"/>
                <w:color w:val="auto"/>
                <w:w w:val="99"/>
              </w:rPr>
              <w:t>Interests</w:t>
            </w:r>
          </w:p>
        </w:tc>
        <w:tc>
          <w:tcPr>
            <w:tcW w:w="120" w:type="dxa"/>
            <w:vAlign w:val="bottom"/>
          </w:tcPr>
          <w:p>
            <w:pPr>
              <w:spacing w:after="0"/>
              <w:rPr>
                <w:sz w:val="12"/>
                <w:szCs w:val="12"/>
                <w:color w:val="auto"/>
              </w:rPr>
            </w:pPr>
          </w:p>
        </w:tc>
        <w:tc>
          <w:tcPr>
            <w:tcW w:w="740" w:type="dxa"/>
            <w:vAlign w:val="bottom"/>
            <w:gridSpan w:val="2"/>
          </w:tcPr>
          <w:p>
            <w:pPr>
              <w:jc w:val="right"/>
              <w:ind w:right="300"/>
              <w:spacing w:after="0" w:line="143"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25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 January 1, 2017</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129,766,091</w:t>
            </w:r>
          </w:p>
        </w:tc>
        <w:tc>
          <w:tcPr>
            <w:tcW w:w="1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1,298</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688,231</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$ 1,134,186</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(314,222)</w:t>
            </w:r>
          </w:p>
        </w:tc>
        <w:tc>
          <w:tcPr>
            <w:tcW w:w="1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7,628,786</w:t>
            </w:r>
          </w:p>
        </w:tc>
        <w:tc>
          <w:tcPr>
            <w:tcW w:w="16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4"/>
              </w:rPr>
              <w:t>$ (273,506)</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1,235,987</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57,826</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1,293,813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5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Adjustment for the cumulative effect on</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prior</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years from the adoption of new</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accounting</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guidance related to share-based</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81,544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81,544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81,544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adjusted - January 1, 2017</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129,766,091</w:t>
            </w:r>
          </w:p>
        </w:tc>
        <w:tc>
          <w:tcPr>
            <w:tcW w:w="1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1,298</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688,231</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1,215,730</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(314,222)</w:t>
            </w:r>
          </w:p>
        </w:tc>
        <w:tc>
          <w:tcPr>
            <w:tcW w:w="1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7,628,786</w:t>
            </w:r>
          </w:p>
        </w:tc>
        <w:tc>
          <w:tcPr>
            <w:tcW w:w="16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(273,506)</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1,317,531</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57,826</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1,375,357</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253,583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253,583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6,264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259,847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6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Other comprehensive income - net of</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81,704</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81,704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81,705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tax</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Amortization of share-based incentive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272,965</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272,965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272,965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Dividend equivalents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41,746</w:t>
            </w:r>
          </w:p>
        </w:tc>
        <w:tc>
          <w:tcPr>
            <w:tcW w:w="10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(47,654)</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(5,908)</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(5,908)</w:t>
            </w:r>
          </w:p>
        </w:tc>
        <w:tc>
          <w:tcPr>
            <w:tcW w:w="0" w:type="dxa"/>
            <w:vAlign w:val="bottom"/>
          </w:tcPr>
          <w:p>
            <w:pPr>
              <w:spacing w:after="0"/>
              <w:rPr>
                <w:sz w:val="1"/>
                <w:szCs w:val="1"/>
                <w:color w:val="auto"/>
              </w:rPr>
            </w:pPr>
          </w:p>
        </w:tc>
      </w:tr>
      <w:tr>
        <w:trPr>
          <w:trHeight w:val="139"/>
        </w:trPr>
        <w:tc>
          <w:tcPr>
            <w:tcW w:w="25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Class A common stock dividends ($2.81</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(341,450)</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(341,450)</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(341,450)</w:t>
            </w:r>
          </w:p>
        </w:tc>
        <w:tc>
          <w:tcPr>
            <w:tcW w:w="0" w:type="dxa"/>
            <w:vAlign w:val="bottom"/>
          </w:tcPr>
          <w:p>
            <w:pPr>
              <w:spacing w:after="0"/>
              <w:rPr>
                <w:sz w:val="1"/>
                <w:szCs w:val="1"/>
                <w:color w:val="auto"/>
              </w:rPr>
            </w:pPr>
          </w:p>
        </w:tc>
      </w:tr>
      <w:tr>
        <w:trPr>
          <w:trHeight w:val="171"/>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per share)</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3"/>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Purchase of Class A common stock</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6,956,097</w:t>
            </w:r>
          </w:p>
        </w:tc>
        <w:tc>
          <w:tcPr>
            <w:tcW w:w="16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(306,741)</w:t>
            </w: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(306,741)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(306,741)</w:t>
            </w:r>
          </w:p>
        </w:tc>
        <w:tc>
          <w:tcPr>
            <w:tcW w:w="0" w:type="dxa"/>
            <w:vAlign w:val="bottom"/>
          </w:tcPr>
          <w:p>
            <w:pPr>
              <w:spacing w:after="0"/>
              <w:rPr>
                <w:sz w:val="1"/>
                <w:szCs w:val="1"/>
                <w:color w:val="auto"/>
              </w:rPr>
            </w:pPr>
          </w:p>
        </w:tc>
      </w:tr>
      <w:tr>
        <w:trPr>
          <w:trHeight w:val="139"/>
        </w:trPr>
        <w:tc>
          <w:tcPr>
            <w:tcW w:w="25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Delivery of Class A common stock in</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share-based incentive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compensation and related tax expense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(213,978)</w:t>
            </w: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(3,790,267)</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140,808</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(73,170)</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(73,170)</w:t>
            </w:r>
          </w:p>
        </w:tc>
        <w:tc>
          <w:tcPr>
            <w:tcW w:w="0" w:type="dxa"/>
            <w:vAlign w:val="bottom"/>
          </w:tcPr>
          <w:p>
            <w:pPr>
              <w:spacing w:after="0"/>
              <w:rPr>
                <w:sz w:val="1"/>
                <w:szCs w:val="1"/>
                <w:color w:val="auto"/>
              </w:rPr>
            </w:pPr>
          </w:p>
        </w:tc>
      </w:tr>
      <w:tr>
        <w:trPr>
          <w:trHeight w:val="171"/>
        </w:trPr>
        <w:tc>
          <w:tcPr>
            <w:tcW w:w="2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 $5,271</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Business acquisitions and related equity</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transactions: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Class A common stock issuable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(including related amortization)</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6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Delivery of Class A common stock</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(1,332)</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(47,474)</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and related tax expense of $28</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6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(5,193)</w:t>
            </w:r>
          </w:p>
        </w:tc>
        <w:tc>
          <w:tcPr>
            <w:tcW w:w="1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(5,193)</w:t>
            </w:r>
          </w:p>
        </w:tc>
        <w:tc>
          <w:tcPr>
            <w:tcW w:w="0" w:type="dxa"/>
            <w:vAlign w:val="bottom"/>
          </w:tcPr>
          <w:p>
            <w:pPr>
              <w:spacing w:after="0"/>
              <w:rPr>
                <w:sz w:val="1"/>
                <w:szCs w:val="1"/>
                <w:color w:val="auto"/>
              </w:rPr>
            </w:pPr>
          </w:p>
        </w:tc>
      </w:tr>
      <w:tr>
        <w:trPr>
          <w:trHeight w:val="171"/>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 December 31, 2017</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129,766,091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1,298</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788,140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$ 1,080,413</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(232,518</w:t>
            </w:r>
          </w:p>
        </w:tc>
        <w:tc>
          <w:tcPr>
            <w:tcW w:w="16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10,747,142</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(437,530</w:t>
            </w:r>
          </w:p>
        </w:tc>
        <w:tc>
          <w:tcPr>
            <w:tcW w:w="180" w:type="dxa"/>
            <w:vAlign w:val="bottom"/>
            <w:tcBorders>
              <w:top w:val="single" w:sz="8" w:color="CFF0FC"/>
              <w:bottom w:val="single" w:sz="8" w:color="CFF0FC"/>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1,199,803</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59,102</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1,258,905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2" w:name="page83"/>
    <w:bookmarkEnd w:id="82"/>
    <w:p>
      <w:pPr>
        <w:ind w:left="514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ind w:right="119"/>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5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80" w:type="dxa"/>
            <w:vAlign w:val="bottom"/>
            <w:gridSpan w:val="5"/>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80" w:type="dxa"/>
            <w:vAlign w:val="bottom"/>
            <w:gridSpan w:val="5"/>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60" w:type="dxa"/>
            <w:vAlign w:val="bottom"/>
          </w:tcPr>
          <w:p>
            <w:pPr>
              <w:spacing w:after="0"/>
              <w:rPr>
                <w:sz w:val="12"/>
                <w:szCs w:val="12"/>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Lazard Ltd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Paid-In-</w:t>
            </w: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40" w:type="dxa"/>
            <w:vAlign w:val="bottom"/>
          </w:tcPr>
          <w:p>
            <w:pPr>
              <w:spacing w:after="0"/>
              <w:rPr>
                <w:sz w:val="13"/>
                <w:szCs w:val="13"/>
                <w:color w:val="auto"/>
              </w:rPr>
            </w:pPr>
          </w:p>
        </w:tc>
        <w:tc>
          <w:tcPr>
            <w:tcW w:w="1020" w:type="dxa"/>
            <w:vAlign w:val="bottom"/>
            <w:gridSpan w:val="3"/>
          </w:tcPr>
          <w:p>
            <w:pPr>
              <w:jc w:val="center"/>
              <w:ind w:right="119"/>
              <w:spacing w:after="0"/>
              <w:rPr>
                <w:sz w:val="20"/>
                <w:szCs w:val="20"/>
                <w:color w:val="auto"/>
              </w:rPr>
            </w:pPr>
            <w:r>
              <w:rPr>
                <w:rFonts w:ascii="Times New Roman" w:cs="Times New Roman" w:eastAsia="Times New Roman" w:hAnsi="Times New Roman"/>
                <w:sz w:val="13"/>
                <w:szCs w:val="13"/>
                <w:b w:val="1"/>
                <w:bCs w:val="1"/>
                <w:color w:val="auto"/>
                <w:w w:val="95"/>
              </w:rPr>
              <w:t>Income (Loss),</w:t>
            </w:r>
          </w:p>
        </w:tc>
        <w:tc>
          <w:tcPr>
            <w:tcW w:w="1680" w:type="dxa"/>
            <w:vAlign w:val="bottom"/>
            <w:gridSpan w:val="5"/>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Held By Subsidiaries</w:t>
            </w:r>
          </w:p>
        </w:tc>
        <w:tc>
          <w:tcPr>
            <w:tcW w:w="92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Borders>
              <w:top w:val="single" w:sz="8" w:color="auto"/>
            </w:tcBorders>
          </w:tcPr>
          <w:p>
            <w:pPr>
              <w:jc w:val="right"/>
              <w:ind w:right="93"/>
              <w:spacing w:after="0" w:line="143" w:lineRule="exact"/>
              <w:rPr>
                <w:sz w:val="20"/>
                <w:szCs w:val="20"/>
                <w:color w:val="auto"/>
              </w:rPr>
            </w:pPr>
            <w:r>
              <w:rPr>
                <w:rFonts w:ascii="Times New Roman" w:cs="Times New Roman" w:eastAsia="Times New Roman" w:hAnsi="Times New Roman"/>
                <w:sz w:val="13"/>
                <w:szCs w:val="13"/>
                <w:b w:val="1"/>
                <w:bCs w:val="1"/>
                <w:color w:val="auto"/>
              </w:rPr>
              <w:t>Shares (*)</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91"/>
              <w:spacing w:after="0" w:line="143"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3"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39"/>
              <w:spacing w:after="0" w:line="143" w:lineRule="exact"/>
              <w:rPr>
                <w:sz w:val="20"/>
                <w:szCs w:val="20"/>
                <w:color w:val="auto"/>
              </w:rPr>
            </w:pPr>
            <w:r>
              <w:rPr>
                <w:rFonts w:ascii="Times New Roman" w:cs="Times New Roman" w:eastAsia="Times New Roman" w:hAnsi="Times New Roman"/>
                <w:sz w:val="13"/>
                <w:szCs w:val="13"/>
                <w:b w:val="1"/>
                <w:bCs w:val="1"/>
                <w:color w:val="auto"/>
                <w:w w:val="92"/>
              </w:rPr>
              <w:t>Net of Tax</w:t>
            </w:r>
          </w:p>
        </w:tc>
        <w:tc>
          <w:tcPr>
            <w:tcW w:w="860" w:type="dxa"/>
            <w:vAlign w:val="bottom"/>
            <w:tcBorders>
              <w:top w:val="single" w:sz="8" w:color="auto"/>
            </w:tcBorders>
            <w:gridSpan w:val="2"/>
          </w:tcPr>
          <w:p>
            <w:pPr>
              <w:jc w:val="right"/>
              <w:ind w:right="300"/>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tcBorders>
              <w:top w:val="single" w:sz="8" w:color="auto"/>
            </w:tcBorders>
            <w:gridSpan w:val="2"/>
          </w:tcPr>
          <w:p>
            <w:pPr>
              <w:jc w:val="right"/>
              <w:ind w:right="208"/>
              <w:spacing w:after="0" w:line="143"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40"/>
              <w:spacing w:after="0" w:line="143"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Pr>
          <w:p>
            <w:pPr>
              <w:spacing w:after="0"/>
              <w:rPr>
                <w:sz w:val="12"/>
                <w:szCs w:val="12"/>
                <w:color w:val="auto"/>
              </w:rPr>
            </w:pPr>
          </w:p>
        </w:tc>
        <w:tc>
          <w:tcPr>
            <w:tcW w:w="740" w:type="dxa"/>
            <w:vAlign w:val="bottom"/>
            <w:gridSpan w:val="2"/>
          </w:tcPr>
          <w:p>
            <w:pPr>
              <w:jc w:val="right"/>
              <w:ind w:right="300"/>
              <w:spacing w:after="0" w:line="143"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2520" w:type="dxa"/>
            <w:vAlign w:val="bottom"/>
            <w:tcBorders>
              <w:top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 January 1, 2018</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129,766,091</w:t>
            </w:r>
          </w:p>
        </w:tc>
        <w:tc>
          <w:tcPr>
            <w:tcW w:w="1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1,298</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788,140</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$ 1,080,413</w:t>
            </w:r>
          </w:p>
        </w:tc>
        <w:tc>
          <w:tcPr>
            <w:tcW w:w="1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(232,518)</w:t>
            </w:r>
          </w:p>
        </w:tc>
        <w:tc>
          <w:tcPr>
            <w:tcW w:w="1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10,747,142</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4"/>
              </w:rPr>
              <w:t>$ (437,530)</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1,199,803</w:t>
            </w: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59,102</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1,258,905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527,125</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527,125</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532,449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comprehensive loss - net of tax</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(41,300)</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(41,300)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(41,301)</w:t>
            </w:r>
          </w:p>
        </w:tc>
        <w:tc>
          <w:tcPr>
            <w:tcW w:w="0" w:type="dxa"/>
            <w:vAlign w:val="bottom"/>
          </w:tcPr>
          <w:p>
            <w:pPr>
              <w:spacing w:after="0"/>
              <w:rPr>
                <w:sz w:val="1"/>
                <w:szCs w:val="1"/>
                <w:color w:val="auto"/>
              </w:rPr>
            </w:pPr>
          </w:p>
        </w:tc>
      </w:tr>
      <w:tr>
        <w:trPr>
          <w:trHeight w:val="139"/>
        </w:trPr>
        <w:tc>
          <w:tcPr>
            <w:tcW w:w="252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Amortization of share-based incentive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267,573</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267,573</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267,573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 equivalents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44,255</w:t>
            </w:r>
          </w:p>
        </w:tc>
        <w:tc>
          <w:tcPr>
            <w:tcW w:w="10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(50,583)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(6,328)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(6,328)</w:t>
            </w:r>
          </w:p>
        </w:tc>
        <w:tc>
          <w:tcPr>
            <w:tcW w:w="0" w:type="dxa"/>
            <w:vAlign w:val="bottom"/>
          </w:tcPr>
          <w:p>
            <w:pPr>
              <w:spacing w:after="0"/>
              <w:rPr>
                <w:sz w:val="1"/>
                <w:szCs w:val="1"/>
                <w:color w:val="auto"/>
              </w:rPr>
            </w:pPr>
          </w:p>
        </w:tc>
      </w:tr>
      <w:tr>
        <w:trPr>
          <w:trHeight w:val="139"/>
        </w:trPr>
        <w:tc>
          <w:tcPr>
            <w:tcW w:w="252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Class A common stock dividends ($3.03</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(359,639)</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(359,639)</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(359,639)</w:t>
            </w: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per share)</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3"/>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of Class A common stock</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12,206,652</w:t>
            </w:r>
          </w:p>
        </w:tc>
        <w:tc>
          <w:tcPr>
            <w:tcW w:w="10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(552,872)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(552,872)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(552,872)</w:t>
            </w:r>
          </w:p>
        </w:tc>
        <w:tc>
          <w:tcPr>
            <w:tcW w:w="0" w:type="dxa"/>
            <w:vAlign w:val="bottom"/>
          </w:tcPr>
          <w:p>
            <w:pPr>
              <w:spacing w:after="0"/>
              <w:rPr>
                <w:sz w:val="1"/>
                <w:szCs w:val="1"/>
                <w:color w:val="auto"/>
              </w:rPr>
            </w:pPr>
          </w:p>
        </w:tc>
      </w:tr>
      <w:tr>
        <w:trPr>
          <w:trHeight w:val="139"/>
        </w:trPr>
        <w:tc>
          <w:tcPr>
            <w:tcW w:w="2520" w:type="dxa"/>
            <w:vAlign w:val="bottom"/>
            <w:gridSpan w:val="2"/>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Delivery of Class A common stock in</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share-based incentive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compensation and related tax expense</w:t>
            </w: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(350,481)</w:t>
            </w: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(5,353,920)</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232,409</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(118,072)</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(118,072)</w:t>
            </w: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 $7,711</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2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Business acquisitions and related equity</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transactions: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Delivery of Class A common stock</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(1,109)</w:t>
            </w:r>
          </w:p>
        </w:tc>
        <w:tc>
          <w:tcPr>
            <w:tcW w:w="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(25,069)</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20" w:type="dxa"/>
            <w:vAlign w:val="bottom"/>
            <w:gridSpan w:val="2"/>
          </w:tcPr>
          <w:p>
            <w:pPr>
              <w:ind w:left="260"/>
              <w:spacing w:after="0" w:line="139" w:lineRule="exact"/>
              <w:rPr>
                <w:sz w:val="20"/>
                <w:szCs w:val="20"/>
                <w:color w:val="auto"/>
              </w:rPr>
            </w:pPr>
            <w:r>
              <w:rPr>
                <w:rFonts w:ascii="Times New Roman" w:cs="Times New Roman" w:eastAsia="Times New Roman" w:hAnsi="Times New Roman"/>
                <w:sz w:val="14"/>
                <w:szCs w:val="14"/>
                <w:color w:val="auto"/>
              </w:rPr>
              <w:t>Class A common stock issuable</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(including related amortization)</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Dividend equivalents</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10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(1,753)</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2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(11,183)</w:t>
            </w:r>
          </w:p>
        </w:tc>
        <w:tc>
          <w:tcPr>
            <w:tcW w:w="12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(11,183)</w:t>
            </w:r>
          </w:p>
        </w:tc>
        <w:tc>
          <w:tcPr>
            <w:tcW w:w="0" w:type="dxa"/>
            <w:vAlign w:val="bottom"/>
          </w:tcPr>
          <w:p>
            <w:pPr>
              <w:spacing w:after="0"/>
              <w:rPr>
                <w:sz w:val="1"/>
                <w:szCs w:val="1"/>
                <w:color w:val="auto"/>
              </w:rPr>
            </w:pPr>
          </w:p>
        </w:tc>
      </w:tr>
      <w:tr>
        <w:trPr>
          <w:trHeight w:val="171"/>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2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 December 31, 2018</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129,766,091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1,298</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750,692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$ 1,195,563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(273,818</w:t>
            </w:r>
          </w:p>
        </w:tc>
        <w:tc>
          <w:tcPr>
            <w:tcW w:w="160" w:type="dxa"/>
            <w:vAlign w:val="bottom"/>
            <w:tcBorders>
              <w:top w:val="single" w:sz="8" w:color="CFF0FC"/>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17,574,805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(756,884</w:t>
            </w:r>
          </w:p>
        </w:tc>
        <w:tc>
          <w:tcPr>
            <w:tcW w:w="12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916,851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53,242</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970,093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9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20" w:hanging="412"/>
        <w:spacing w:after="0"/>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129,766,091 shares of the Company’s Class A common stock issued at December 31, 2016, 2017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46" w:lineRule="exact"/>
        <w:rPr>
          <w:sz w:val="20"/>
          <w:szCs w:val="20"/>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ORGANIZATION AND BASIS OF PRESENTATION</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firstLine="431"/>
        <w:spacing w:after="0" w:line="258" w:lineRule="auto"/>
        <w:rPr>
          <w:sz w:val="20"/>
          <w:szCs w:val="20"/>
          <w:color w:val="auto"/>
        </w:rPr>
      </w:pPr>
      <w:r>
        <w:rPr>
          <w:rFonts w:ascii="Times New Roman" w:cs="Times New Roman" w:eastAsia="Times New Roman" w:hAnsi="Times New Roman"/>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4" w:lineRule="exact"/>
        <w:rPr>
          <w:sz w:val="20"/>
          <w:szCs w:val="20"/>
          <w:color w:val="auto"/>
        </w:rPr>
      </w:pPr>
    </w:p>
    <w:p>
      <w:pPr>
        <w:ind w:right="280" w:firstLine="431"/>
        <w:spacing w:after="0" w:line="261" w:lineRule="auto"/>
        <w:rPr>
          <w:sz w:val="20"/>
          <w:szCs w:val="20"/>
          <w:color w:val="auto"/>
        </w:rPr>
      </w:pPr>
      <w:r>
        <w:rPr>
          <w:rFonts w:ascii="Times New Roman" w:cs="Times New Roman" w:eastAsia="Times New Roman" w:hAnsi="Times New Roman"/>
          <w:sz w:val="18"/>
          <w:szCs w:val="18"/>
          <w:color w:val="auto"/>
        </w:rPr>
        <w:t>Lazard Ltd indirectly held 100% of all outstanding Lazard Group common membership interests as of December 31, 2018 and 2017. Lazard Ltd, through its control of the managing members of Lazard Group, controls Lazard Group, which as of December 31, 2018 was governed by an Amended and Restated Operating Agreement dated as of October 26, 2015, as amended (the “Operating Agreement”). The Operating Agreement was subsequently amended and restated on February 4, 2019.</w:t>
      </w:r>
    </w:p>
    <w:p>
      <w:pPr>
        <w:spacing w:after="0" w:line="180" w:lineRule="exact"/>
        <w:rPr>
          <w:sz w:val="20"/>
          <w:szCs w:val="20"/>
          <w:color w:val="auto"/>
        </w:rPr>
      </w:pPr>
    </w:p>
    <w:p>
      <w:pPr>
        <w:ind w:right="480" w:firstLine="431"/>
        <w:spacing w:after="0" w:line="282" w:lineRule="auto"/>
        <w:rPr>
          <w:sz w:val="20"/>
          <w:szCs w:val="20"/>
          <w:color w:val="auto"/>
        </w:rPr>
      </w:pPr>
      <w:r>
        <w:rPr>
          <w:rFonts w:ascii="Times New Roman" w:cs="Times New Roman" w:eastAsia="Times New Roman" w:hAnsi="Times New Roman"/>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54" w:lineRule="exact"/>
        <w:rPr>
          <w:sz w:val="20"/>
          <w:szCs w:val="20"/>
          <w:color w:val="auto"/>
        </w:rPr>
      </w:pPr>
    </w:p>
    <w:p>
      <w:pPr>
        <w:ind w:left="840" w:right="140" w:hanging="413"/>
        <w:spacing w:after="0" w:line="266" w:lineRule="auto"/>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and</w:t>
      </w:r>
    </w:p>
    <w:p>
      <w:pPr>
        <w:spacing w:after="0" w:line="68" w:lineRule="exact"/>
        <w:rPr>
          <w:rFonts w:ascii="Times New Roman" w:cs="Times New Roman" w:eastAsia="Times New Roman" w:hAnsi="Times New Roman"/>
          <w:sz w:val="18"/>
          <w:szCs w:val="18"/>
          <w:color w:val="auto"/>
        </w:rPr>
      </w:pPr>
    </w:p>
    <w:p>
      <w:pPr>
        <w:ind w:left="840" w:right="240" w:hanging="413"/>
        <w:spacing w:after="0" w:line="266" w:lineRule="auto"/>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76" w:lineRule="exact"/>
        <w:rPr>
          <w:sz w:val="20"/>
          <w:szCs w:val="20"/>
          <w:color w:val="auto"/>
        </w:rPr>
      </w:pPr>
    </w:p>
    <w:p>
      <w:pPr>
        <w:ind w:right="160" w:firstLine="431"/>
        <w:spacing w:after="0" w:line="266"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consolidated financial statements are prepared in conformity with accounting principles generally accepted in the United States of America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The Company’s policy is to consolidate entities in which it has a controlling financial interest. The Company consolidates:</w:t>
      </w:r>
    </w:p>
    <w:p>
      <w:pPr>
        <w:spacing w:after="0" w:line="99" w:lineRule="exact"/>
        <w:rPr>
          <w:sz w:val="20"/>
          <w:szCs w:val="20"/>
          <w:color w:val="auto"/>
        </w:rPr>
      </w:pPr>
    </w:p>
    <w:p>
      <w:pPr>
        <w:ind w:left="840" w:hanging="413"/>
        <w:spacing w:after="0"/>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(“VOEs”) where the Company holds a majority of the voting interest in such VOEs, and</w:t>
      </w:r>
    </w:p>
    <w:p>
      <w:pPr>
        <w:spacing w:after="0" w:line="117" w:lineRule="exact"/>
        <w:rPr>
          <w:rFonts w:ascii="Times New Roman" w:cs="Times New Roman" w:eastAsia="Times New Roman" w:hAnsi="Times New Roman"/>
          <w:sz w:val="18"/>
          <w:szCs w:val="18"/>
          <w:color w:val="auto"/>
        </w:rPr>
      </w:pPr>
    </w:p>
    <w:p>
      <w:pPr>
        <w:ind w:left="840" w:right="320" w:hanging="413"/>
        <w:spacing w:after="0" w:line="266" w:lineRule="auto"/>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76" w:lineRule="exact"/>
        <w:rPr>
          <w:sz w:val="20"/>
          <w:szCs w:val="20"/>
          <w:color w:val="auto"/>
        </w:rPr>
      </w:pPr>
    </w:p>
    <w:p>
      <w:pPr>
        <w:jc w:val="both"/>
        <w:ind w:firstLine="431"/>
        <w:spacing w:after="0" w:line="266" w:lineRule="auto"/>
        <w:rPr>
          <w:sz w:val="20"/>
          <w:szCs w:val="20"/>
          <w:color w:val="auto"/>
        </w:rPr>
      </w:pPr>
      <w:r>
        <w:rPr>
          <w:rFonts w:ascii="Times New Roman" w:cs="Times New Roman" w:eastAsia="Times New Roman" w:hAnsi="Times New Roman"/>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its investment at fair value. Intercompany transactions and balances have been eliminated.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84" w:lineRule="exact"/>
        <w:rPr>
          <w:sz w:val="20"/>
          <w:szCs w:val="20"/>
          <w:color w:val="auto"/>
        </w:rPr>
      </w:pPr>
    </w:p>
    <w:p>
      <w:pPr>
        <w:ind w:firstLine="598"/>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including the presentation related to the adoption of new guidance impacting the consolidated statements of cash flows (see Note 3).</w:t>
      </w:r>
    </w:p>
    <w:p>
      <w:pPr>
        <w:spacing w:after="0" w:line="360" w:lineRule="exact"/>
        <w:rPr>
          <w:sz w:val="20"/>
          <w:szCs w:val="20"/>
          <w:color w:val="auto"/>
        </w:rPr>
      </w:pPr>
    </w:p>
    <w:p>
      <w:pPr>
        <w:ind w:left="600" w:hanging="592"/>
        <w:spacing w:after="0"/>
        <w:tabs>
          <w:tab w:leader="none" w:pos="60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accounting policies below relate to reported amounts and disclosures in the consolidated financial statements.</w:t>
      </w:r>
    </w:p>
    <w:p>
      <w:pPr>
        <w:spacing w:after="0" w:line="221" w:lineRule="exact"/>
        <w:rPr>
          <w:sz w:val="20"/>
          <w:szCs w:val="20"/>
          <w:color w:val="auto"/>
        </w:rPr>
      </w:pPr>
    </w:p>
    <w:p>
      <w:pPr>
        <w:ind w:right="60" w:firstLine="59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r>
        <w:rPr>
          <w:rFonts w:ascii="Times New Roman" w:cs="Times New Roman" w:eastAsia="Times New Roman" w:hAnsi="Times New Roman"/>
          <w:sz w:val="18"/>
          <w:szCs w:val="18"/>
          <w:color w:val="auto"/>
        </w:rPr>
        <w:t>The consolidated financial statements are presented in U.S. Dollars. Many of the Company’s non-U.S.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Foreign currency remeasurement gains (losses), net of hedge transactions (see Note 8) amounted to $(2,880), $1,900 and $(1,153) for the years ended December 31, 2018, 2017 and 2016, respectively, and are included in “revenue-other” on the respective consolidated statements of operations.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The preparation of consolidated financial statements in conformity with U.S. GAAP requires the use of management’s estimates.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preparing the consolidated financial statements, management makes estimates and assumptions regarding:</w:t>
      </w:r>
    </w:p>
    <w:p>
      <w:pPr>
        <w:spacing w:after="0" w:line="99" w:lineRule="exact"/>
        <w:rPr>
          <w:sz w:val="20"/>
          <w:szCs w:val="20"/>
          <w:color w:val="auto"/>
        </w:rPr>
      </w:pPr>
    </w:p>
    <w:p>
      <w:pPr>
        <w:ind w:left="1200" w:right="60" w:hanging="598"/>
        <w:spacing w:after="0" w:line="282" w:lineRule="auto"/>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probability with respect to recognizing revenue;</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allowance for doubtful accounts;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deferred tax assets and adequacy of tax reserves for uncertain tax positions;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measurement of our tax receivable agreement obligation;</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goodwill and other intangible assets;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share-based and other deferred compensation plan awards;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that affect the reported amounts and disclosure of contingencies in the consolidated financial statements.</w:t>
      </w:r>
    </w:p>
    <w:p>
      <w:pPr>
        <w:spacing w:after="0" w:line="225" w:lineRule="exact"/>
        <w:rPr>
          <w:sz w:val="20"/>
          <w:szCs w:val="20"/>
          <w:color w:val="auto"/>
        </w:rPr>
      </w:pPr>
    </w:p>
    <w:p>
      <w:pPr>
        <w:ind w:right="360" w:firstLine="598"/>
        <w:spacing w:after="0" w:line="282" w:lineRule="auto"/>
        <w:rPr>
          <w:sz w:val="20"/>
          <w:szCs w:val="20"/>
          <w:color w:val="auto"/>
        </w:rPr>
      </w:pPr>
      <w:r>
        <w:rPr>
          <w:rFonts w:ascii="Times New Roman" w:cs="Times New Roman" w:eastAsia="Times New Roman" w:hAnsi="Times New Roman"/>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0" w:lineRule="exact"/>
        <w:rPr>
          <w:sz w:val="20"/>
          <w:szCs w:val="20"/>
          <w:color w:val="auto"/>
        </w:rPr>
      </w:pPr>
    </w:p>
    <w:p>
      <w:pPr>
        <w:ind w:right="760" w:firstLine="59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The Company defines cash equivalents as short-term, highly liquid securities and cash deposits with original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maturities of 90 days or less when purchased.</w:t>
      </w:r>
    </w:p>
    <w:p>
      <w:pPr>
        <w:spacing w:after="0" w:line="155" w:lineRule="exact"/>
        <w:rPr>
          <w:sz w:val="20"/>
          <w:szCs w:val="20"/>
          <w:color w:val="auto"/>
        </w:rPr>
      </w:pPr>
    </w:p>
    <w:p>
      <w:pPr>
        <w:jc w:val="both"/>
        <w:ind w:right="40" w:firstLine="59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Deposits with Banks and Short-Term Investments—</w:t>
      </w:r>
      <w:r>
        <w:rPr>
          <w:rFonts w:ascii="Times New Roman" w:cs="Times New Roman" w:eastAsia="Times New Roman" w:hAnsi="Times New Roman"/>
          <w:sz w:val="18"/>
          <w:szCs w:val="18"/>
          <w:color w:val="auto"/>
        </w:rPr>
        <w:t>Represents LFB’s short-term deposits, including with the Banque de France and amounts placed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LFB in short-term, highly liquid securities with original maturities of 90 days or less when purchased. The level of these deposits and investments may be driven by the level of LFB time and demand deposits (which can fluctuate significantly on a daily basis) and by changes in asset allocation.</w:t>
      </w:r>
    </w:p>
    <w:p>
      <w:pPr>
        <w:spacing w:after="0" w:line="171" w:lineRule="exact"/>
        <w:rPr>
          <w:sz w:val="20"/>
          <w:szCs w:val="20"/>
          <w:color w:val="auto"/>
        </w:rPr>
      </w:pPr>
    </w:p>
    <w:p>
      <w:pPr>
        <w:ind w:right="360" w:firstLine="59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Deposited with Clearing Organizations and Other Segregated Cash—</w:t>
      </w:r>
      <w:r>
        <w:rPr>
          <w:rFonts w:ascii="Times New Roman" w:cs="Times New Roman" w:eastAsia="Times New Roman" w:hAnsi="Times New Roman"/>
          <w:sz w:val="18"/>
          <w:szCs w:val="18"/>
          <w:color w:val="auto"/>
        </w:rPr>
        <w:t>Primarily represents restricted cash deposits made 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those to satisfy the requirements of clearing organizations.</w:t>
      </w:r>
    </w:p>
    <w:p>
      <w:pPr>
        <w:spacing w:after="0" w:line="155" w:lineRule="exact"/>
        <w:rPr>
          <w:sz w:val="20"/>
          <w:szCs w:val="20"/>
          <w:color w:val="auto"/>
        </w:rPr>
      </w:pPr>
    </w:p>
    <w:p>
      <w:pPr>
        <w:ind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r>
        <w:rPr>
          <w:rFonts w:ascii="Times New Roman" w:cs="Times New Roman" w:eastAsia="Times New Roman" w:hAnsi="Times New Roman"/>
          <w:sz w:val="18"/>
          <w:szCs w:val="18"/>
          <w:color w:val="auto"/>
        </w:rPr>
        <w:t>We maintain an allowance for bad debts to provide for estimated losses relating to fees and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receivables. We 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81"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Note 5 for additional information regarding receivables.</w:t>
      </w:r>
    </w:p>
    <w:p>
      <w:pPr>
        <w:spacing w:after="0" w:line="221" w:lineRule="exact"/>
        <w:rPr>
          <w:sz w:val="20"/>
          <w:szCs w:val="20"/>
          <w:color w:val="auto"/>
        </w:rPr>
      </w:pPr>
    </w:p>
    <w:p>
      <w:pPr>
        <w:ind w:right="480" w:firstLine="59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Investments—</w:t>
      </w:r>
      <w:r>
        <w:rPr>
          <w:rFonts w:ascii="Times New Roman" w:cs="Times New Roman" w:eastAsia="Times New Roman" w:hAnsi="Times New Roman"/>
          <w:sz w:val="18"/>
          <w:szCs w:val="18"/>
          <w:color w:val="auto"/>
        </w:rPr>
        <w:t>Investments in debt and marketable equity securities held either directly, or indirectly through asset management funds,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broker-dealer subsidiaries are accounted for at fair value, with any increase or decrease in fair value recorded in earnings. Such amounts are reflected in “revenue-other” in the consolidated statements of operations.</w:t>
      </w:r>
    </w:p>
    <w:p>
      <w:pPr>
        <w:spacing w:after="0" w:line="175" w:lineRule="exact"/>
        <w:rPr>
          <w:sz w:val="20"/>
          <w:szCs w:val="20"/>
          <w:color w:val="auto"/>
        </w:rPr>
      </w:pPr>
    </w:p>
    <w:p>
      <w:pPr>
        <w:ind w:right="240" w:firstLine="598"/>
        <w:spacing w:after="0" w:line="282" w:lineRule="auto"/>
        <w:rPr>
          <w:sz w:val="20"/>
          <w:szCs w:val="20"/>
          <w:color w:val="auto"/>
        </w:rPr>
      </w:pPr>
      <w:r>
        <w:rPr>
          <w:rFonts w:ascii="Times New Roman" w:cs="Times New Roman" w:eastAsia="Times New Roman" w:hAnsi="Times New Roman"/>
          <w:sz w:val="18"/>
          <w:szCs w:val="18"/>
          <w:color w:val="auto"/>
        </w:rPr>
        <w:t>Investments in debt and marketable equity securities held at the Company’s non broker-dealer subsidiaries are accounted for at fair value, with any increase or decrease in fair value reflected in “revenue-other” in the consolidated statements of operations.</w:t>
      </w:r>
    </w:p>
    <w:p>
      <w:pPr>
        <w:spacing w:after="0" w:line="162"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Investments also include interests in alternative investment funds and private equity funds, each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180" w:lineRule="exact"/>
        <w:rPr>
          <w:sz w:val="20"/>
          <w:szCs w:val="20"/>
          <w:color w:val="auto"/>
        </w:rPr>
      </w:pPr>
    </w:p>
    <w:p>
      <w:pPr>
        <w:ind w:right="200" w:firstLine="598"/>
        <w:spacing w:after="0" w:line="266" w:lineRule="auto"/>
        <w:rPr>
          <w:sz w:val="20"/>
          <w:szCs w:val="20"/>
          <w:color w:val="auto"/>
        </w:rPr>
      </w:pPr>
      <w:r>
        <w:rPr>
          <w:rFonts w:ascii="Times New Roman" w:cs="Times New Roman" w:eastAsia="Times New Roman" w:hAnsi="Times New Roman"/>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Notes 6 and 7 for additional information regarding the Company’s investments.</w:t>
      </w:r>
    </w:p>
    <w:p>
      <w:pPr>
        <w:spacing w:after="0" w:line="221" w:lineRule="exact"/>
        <w:rPr>
          <w:sz w:val="20"/>
          <w:szCs w:val="20"/>
          <w:color w:val="auto"/>
        </w:rPr>
      </w:pPr>
    </w:p>
    <w:p>
      <w:pPr>
        <w:ind w:firstLine="59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Property-net—</w:t>
      </w:r>
      <w:r>
        <w:rPr>
          <w:rFonts w:ascii="Times New Roman" w:cs="Times New Roman" w:eastAsia="Times New Roman" w:hAnsi="Times New Roman"/>
          <w:sz w:val="18"/>
          <w:szCs w:val="18"/>
          <w:color w:val="auto"/>
        </w:rPr>
        <w:t>Property is stated at cost less accumulated depreciation and amortization. Buildings are depreciated on a straight-line basis over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$34,103, $31,498 and $33,264 for the years ended December 31, 2018, 2017 and 2016,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83" w:lineRule="exact"/>
        <w:rPr>
          <w:sz w:val="20"/>
          <w:szCs w:val="20"/>
          <w:color w:val="auto"/>
        </w:rPr>
      </w:pPr>
    </w:p>
    <w:p>
      <w:pPr>
        <w:jc w:val="both"/>
        <w:ind w:right="200" w:firstLine="59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r>
        <w:rPr>
          <w:rFonts w:ascii="Times New Roman" w:cs="Times New Roman" w:eastAsia="Times New Roman" w:hAnsi="Times New Roman"/>
          <w:sz w:val="18"/>
          <w:szCs w:val="18"/>
          <w:color w:val="auto"/>
        </w:rPr>
        <w:t>As goodwill has an indefinite life, it is required to be tested for impairment annually or more frequently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completed its annual goodwill review as of November 1, 2018, and determined that no impairment existed.</w:t>
      </w:r>
    </w:p>
    <w:p>
      <w:pPr>
        <w:spacing w:after="0" w:line="225" w:lineRule="exact"/>
        <w:rPr>
          <w:sz w:val="20"/>
          <w:szCs w:val="20"/>
          <w:color w:val="auto"/>
        </w:rPr>
      </w:pPr>
    </w:p>
    <w:p>
      <w:pPr>
        <w:ind w:right="40" w:firstLine="598"/>
        <w:spacing w:after="0" w:line="256" w:lineRule="auto"/>
        <w:rPr>
          <w:sz w:val="20"/>
          <w:szCs w:val="20"/>
          <w:color w:val="auto"/>
        </w:rPr>
      </w:pPr>
      <w:r>
        <w:rPr>
          <w:rFonts w:ascii="Times New Roman" w:cs="Times New Roman" w:eastAsia="Times New Roman" w:hAnsi="Times New Roman"/>
          <w:sz w:val="18"/>
          <w:szCs w:val="18"/>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The pattern of amortization reflects the timing of the realization of the economic benefits of such intangible assets. For acquired customer contracts, the period of realization is deemed to be the period when the related revenue is recognized.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Note 10 with respect to goodwill and other intangible assets.</w:t>
      </w:r>
    </w:p>
    <w:p>
      <w:pPr>
        <w:spacing w:after="0" w:line="221" w:lineRule="exact"/>
        <w:rPr>
          <w:sz w:val="20"/>
          <w:szCs w:val="20"/>
          <w:color w:val="auto"/>
        </w:rPr>
      </w:pPr>
    </w:p>
    <w:p>
      <w:pPr>
        <w:ind w:right="60"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Derivative Instruments—</w:t>
      </w:r>
      <w:r>
        <w:rPr>
          <w:rFonts w:ascii="Times New Roman" w:cs="Times New Roman" w:eastAsia="Times New Roman" w:hAnsi="Times New Roman"/>
          <w:sz w:val="18"/>
          <w:szCs w:val="18"/>
          <w:color w:val="auto"/>
        </w:rPr>
        <w:t>A derivative is typically defined as an instrument whose value is “derived” from underlying assets, indices or reference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rates, 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interest rate swaps or currency forwards) or to purchase or sell other financial instruments at specified terms on a specified date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options to buy or sell securities or currencies).</w:t>
      </w:r>
    </w:p>
    <w:p>
      <w:pPr>
        <w:spacing w:after="0" w:line="181"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are generally included in “interest income” and “interest expense”, respectively, or “revenue-other”, depending on the nature of the underlying item, in the consolidated statements of operations.</w:t>
      </w:r>
    </w:p>
    <w:p>
      <w:pPr>
        <w:spacing w:after="0" w:line="189" w:lineRule="exact"/>
        <w:rPr>
          <w:sz w:val="20"/>
          <w:szCs w:val="20"/>
          <w:color w:val="auto"/>
        </w:rPr>
      </w:pPr>
    </w:p>
    <w:p>
      <w:pPr>
        <w:ind w:right="240" w:firstLine="598"/>
        <w:spacing w:after="0" w:line="258" w:lineRule="auto"/>
        <w:rPr>
          <w:sz w:val="20"/>
          <w:szCs w:val="20"/>
          <w:color w:val="auto"/>
        </w:rPr>
      </w:pPr>
      <w:r>
        <w:rPr>
          <w:rFonts w:ascii="Times New Roman" w:cs="Times New Roman" w:eastAsia="Times New Roman" w:hAnsi="Times New Roman"/>
          <w:sz w:val="18"/>
          <w:szCs w:val="18"/>
          <w:color w:val="auto"/>
        </w:rPr>
        <w:t>In addition to the derivative instruments described above, the Company records derivative liabilities relating to its obligations pertaining to Lazard Fund Interests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720"/>
        <w:spacing w:after="0" w:line="313" w:lineRule="auto"/>
        <w:rPr>
          <w:sz w:val="20"/>
          <w:szCs w:val="20"/>
          <w:color w:val="auto"/>
        </w:rPr>
      </w:pPr>
      <w:r>
        <w:rPr>
          <w:rFonts w:ascii="Times New Roman" w:cs="Times New Roman" w:eastAsia="Times New Roman" w:hAnsi="Times New Roman"/>
          <w:sz w:val="17"/>
          <w:szCs w:val="17"/>
          <w:color w:val="auto"/>
        </w:rPr>
        <w:t>expected to be delivered upon settlement of LFI and other similar deferred compensation arrangements, which are reported in “revenue-other” in the consolidated statements of operations. For information regarding LFI and other similar deferred compensation arrangements, see Notes 6, 8 and 15.</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Deposits and Other Customer Payables—</w:t>
      </w:r>
      <w:r>
        <w:rPr>
          <w:rFonts w:ascii="Times New Roman" w:cs="Times New Roman" w:eastAsia="Times New Roman" w:hAnsi="Times New Roman"/>
          <w:sz w:val="18"/>
          <w:szCs w:val="18"/>
          <w:color w:val="auto"/>
        </w:rPr>
        <w:t>Principally relates to LFB customer-related demand deposits, both interest-bearing and non-interest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bearing.</w:t>
      </w:r>
    </w:p>
    <w:p>
      <w:pPr>
        <w:spacing w:after="0" w:line="203" w:lineRule="exact"/>
        <w:rPr>
          <w:sz w:val="20"/>
          <w:szCs w:val="20"/>
          <w:color w:val="auto"/>
        </w:rPr>
      </w:pPr>
    </w:p>
    <w:p>
      <w:pPr>
        <w:ind w:right="120"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Securities Sold, Not Yet Purchased—</w:t>
      </w:r>
      <w:r>
        <w:rPr>
          <w:rFonts w:ascii="Times New Roman" w:cs="Times New Roman" w:eastAsia="Times New Roman" w:hAnsi="Times New Roman"/>
          <w:sz w:val="18"/>
          <w:szCs w:val="18"/>
          <w:color w:val="auto"/>
        </w:rPr>
        <w:t>Securities sold, not yet purchased represents liabilities for securities sold for which payment has been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77" w:lineRule="exact"/>
        <w:rPr>
          <w:sz w:val="20"/>
          <w:szCs w:val="20"/>
          <w:color w:val="auto"/>
        </w:rPr>
      </w:pPr>
    </w:p>
    <w:p>
      <w:pPr>
        <w:jc w:val="both"/>
        <w:ind w:right="540" w:firstLine="59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Contingent Consideration Liabilities —</w:t>
      </w:r>
      <w:r>
        <w:rPr>
          <w:rFonts w:ascii="Times New Roman" w:cs="Times New Roman" w:eastAsia="Times New Roman" w:hAnsi="Times New Roman"/>
          <w:sz w:val="18"/>
          <w:szCs w:val="18"/>
          <w:color w:val="auto"/>
        </w:rPr>
        <w:t>The contingent consideration liabilities of businesses acquired in a business combination are initially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recorded at fair value, and any change in the fair value is recognized in “amortization and other acquisition-related (benefits) costs” in the consolidated statements of operations. The contingent consideration liability is included in “other liabilities” on the consolidated statements of financial condition.</w:t>
      </w:r>
    </w:p>
    <w:p>
      <w:pPr>
        <w:spacing w:after="0" w:line="171" w:lineRule="exact"/>
        <w:rPr>
          <w:sz w:val="20"/>
          <w:szCs w:val="20"/>
          <w:color w:val="auto"/>
        </w:rPr>
      </w:pPr>
    </w:p>
    <w:p>
      <w:pPr>
        <w:ind w:right="260"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Fair Value of Financial Assets and Liabilities—</w:t>
      </w:r>
      <w:r>
        <w:rPr>
          <w:rFonts w:ascii="Times New Roman" w:cs="Times New Roman" w:eastAsia="Times New Roman" w:hAnsi="Times New Roman"/>
          <w:sz w:val="18"/>
          <w:szCs w:val="18"/>
          <w:color w:val="auto"/>
        </w:rPr>
        <w:t>The majority of the Company’s financial assets and liabilities are recorded at fair value or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that approximate fair value. Such assets and liabilities include cash and cash equivalents, deposits with banks and short-term investments, cash deposited with clearing organizations and other segregated cash, receivables, investments (excluding investments accounted for at amortized cost, interest-bearing deposits or using the equity method of accounting), derivative instruments, deposits and other customer payables.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7" w:lineRule="exact"/>
        <w:rPr>
          <w:sz w:val="20"/>
          <w:szCs w:val="20"/>
          <w:color w:val="auto"/>
        </w:rPr>
      </w:pPr>
    </w:p>
    <w:p>
      <w:pPr>
        <w:ind w:right="720" w:firstLine="59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 Banking and Other Advisory Fees and Asset Management Fees—</w:t>
      </w:r>
      <w:r>
        <w:rPr>
          <w:rFonts w:ascii="Times New Roman" w:cs="Times New Roman" w:eastAsia="Times New Roman" w:hAnsi="Times New Roman"/>
          <w:sz w:val="18"/>
          <w:szCs w:val="18"/>
          <w:color w:val="auto"/>
        </w:rPr>
        <w:t>See Note 4 for the Company’s accounting policy on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recognition as it applies to investment banking and other advisory and asset management fees.</w:t>
      </w:r>
    </w:p>
    <w:p>
      <w:pPr>
        <w:spacing w:after="0" w:line="155"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Soft Dollar Arrangements—</w:t>
      </w:r>
      <w:r>
        <w:rPr>
          <w:rFonts w:ascii="Times New Roman" w:cs="Times New Roman" w:eastAsia="Times New Roman" w:hAnsi="Times New Roman"/>
          <w:sz w:val="18"/>
          <w:szCs w:val="18"/>
          <w:color w:val="auto"/>
        </w:rPr>
        <w:t>Certain entities within the Company’s Asset Management business obtain research and other services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commission-sharing arrangements with broker-dealers, which are also known as “soft dollar” arrangements. Consistent with the “soft dollar” safe harbor established by Section 28(e) of the Securities Exchange Act of 1934, as amended (the “Exchange Act”), the Asset Management business does not have any contractual obligation or arrangement requiring it to pay for research and other eligible services obtained through soft dollar arrangements with brokers. Instead, the provider is obligated to pay for the services. Consequently, the Company does not incur any liability and does not accrue any expenses in connection with any research or other eligible services obtained by the Asset Management business pursuant to such soft dollar arrangements. For the year ended December 31, 2018, the Company obtained research and other eligible services through soft dollar arrangements valued at approximately $30,000. The use of soft dollars is limited by regulations in the European Union and the U.K. and, as such, the Company intends to directly pay a portion of the costs of such research and other eligible services going forward.</w:t>
      </w:r>
    </w:p>
    <w:p>
      <w:pPr>
        <w:spacing w:after="0" w:line="182" w:lineRule="exact"/>
        <w:rPr>
          <w:sz w:val="20"/>
          <w:szCs w:val="20"/>
          <w:color w:val="auto"/>
        </w:rPr>
      </w:pPr>
    </w:p>
    <w:p>
      <w:pPr>
        <w:ind w:firstLine="59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Equity-Based Incentive Compensation Awards—</w:t>
      </w:r>
      <w:r>
        <w:rPr>
          <w:rFonts w:ascii="Times New Roman" w:cs="Times New Roman" w:eastAsia="Times New Roman" w:hAnsi="Times New Roman"/>
          <w:sz w:val="18"/>
          <w:szCs w:val="18"/>
          <w:color w:val="auto"/>
        </w:rPr>
        <w:t>Equity-based incentive compensation awards that do not require future service are expensed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immediately. Equity-based compensation awards that require future service are amortized over the applicable vesting period, or requisite service period, based on the fair value of the Company’s Class A common stock on the date of grant. Compensation expense recognized for equity-based incentive compensation is determined based on the number of awards that in the Company’s estimate are considered probable of vesting (including as a result of any applicable performance conditions). Equity-based incentive compensation is recognized in “compensation and benefits” expense.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0" w:lineRule="exact"/>
        <w:rPr>
          <w:sz w:val="20"/>
          <w:szCs w:val="20"/>
          <w:color w:val="auto"/>
        </w:rPr>
      </w:pPr>
    </w:p>
    <w:p>
      <w:pPr>
        <w:ind w:right="60"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Deferred income taxes reflect the net tax effects of temporary differences between the financial reporting and tax basis of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and are measured using the enacted tax rates and laws that will be in effect when such differences are expected to reverse. Such temporary differences are reflected as deferred tax assets and deferred tax liabilities on the consolidated statements of financial condition. A deferred tax asset is recognized if it is more likely than not (defined as a likelihood of greater than 50%) that a tax benefit will be accepted by a taxing authority.</w:t>
      </w:r>
    </w:p>
    <w:p>
      <w:pPr>
        <w:spacing w:after="0" w:line="181" w:lineRule="exact"/>
        <w:rPr>
          <w:sz w:val="20"/>
          <w:szCs w:val="20"/>
          <w:color w:val="auto"/>
        </w:rPr>
      </w:pPr>
    </w:p>
    <w:p>
      <w:pPr>
        <w:ind w:right="80" w:firstLine="598"/>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72" w:lineRule="exact"/>
        <w:rPr>
          <w:sz w:val="20"/>
          <w:szCs w:val="20"/>
          <w:color w:val="auto"/>
        </w:rPr>
      </w:pPr>
    </w:p>
    <w:p>
      <w:pPr>
        <w:ind w:left="1200" w:hanging="598"/>
        <w:spacing w:after="0"/>
        <w:tabs>
          <w:tab w:leader="none" w:pos="1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w:t>
      </w:r>
    </w:p>
    <w:p>
      <w:pPr>
        <w:spacing w:after="0" w:line="225" w:lineRule="exact"/>
        <w:rPr>
          <w:sz w:val="20"/>
          <w:szCs w:val="20"/>
          <w:color w:val="auto"/>
        </w:rPr>
      </w:pPr>
    </w:p>
    <w:p>
      <w:pPr>
        <w:ind w:right="380" w:firstLine="598"/>
        <w:spacing w:after="0" w:line="282" w:lineRule="auto"/>
        <w:rPr>
          <w:sz w:val="20"/>
          <w:szCs w:val="20"/>
          <w:color w:val="auto"/>
        </w:rPr>
      </w:pPr>
      <w:r>
        <w:rPr>
          <w:rFonts w:ascii="Times New Roman" w:cs="Times New Roman" w:eastAsia="Times New Roman" w:hAnsi="Times New Roman"/>
          <w:sz w:val="18"/>
          <w:szCs w:val="18"/>
          <w:color w:val="auto"/>
        </w:rPr>
        <w:t>The assessment regarding whether a valuation allowance is required or should be adjusted also considers all available information, including the following:</w:t>
      </w:r>
    </w:p>
    <w:p>
      <w:pPr>
        <w:spacing w:after="0" w:line="54" w:lineRule="exact"/>
        <w:rPr>
          <w:sz w:val="20"/>
          <w:szCs w:val="20"/>
          <w:color w:val="auto"/>
        </w:rPr>
      </w:pPr>
    </w:p>
    <w:p>
      <w:pPr>
        <w:ind w:left="1200" w:hanging="598"/>
        <w:spacing w:after="0"/>
        <w:tabs>
          <w:tab w:leader="none" w:pos="1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magnitude and duration of any past losses and current operating results;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periods;</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 and</w:t>
      </w:r>
    </w:p>
    <w:p>
      <w:pPr>
        <w:spacing w:after="0" w:line="117"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near-term and medium-term financial outlook.</w:t>
      </w:r>
    </w:p>
    <w:p>
      <w:pPr>
        <w:spacing w:after="0" w:line="225"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180" w:lineRule="exact"/>
        <w:rPr>
          <w:sz w:val="20"/>
          <w:szCs w:val="20"/>
          <w:color w:val="auto"/>
        </w:rPr>
      </w:pPr>
    </w:p>
    <w:p>
      <w:pPr>
        <w:ind w:right="260" w:firstLine="598"/>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and/or penalties related to unrecognized tax benefits in “provision for income taxes”. See Note 17 for additional information relating to income taxes.</w:t>
      </w:r>
    </w:p>
    <w:p>
      <w:pPr>
        <w:spacing w:after="0" w:line="266" w:lineRule="exact"/>
        <w:rPr>
          <w:sz w:val="20"/>
          <w:szCs w:val="20"/>
          <w:color w:val="auto"/>
        </w:rPr>
      </w:pPr>
    </w:p>
    <w:p>
      <w:pPr>
        <w:ind w:left="600" w:hanging="592"/>
        <w:spacing w:after="0"/>
        <w:tabs>
          <w:tab w:leader="none" w:pos="60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227" w:lineRule="exact"/>
        <w:rPr>
          <w:sz w:val="20"/>
          <w:szCs w:val="20"/>
          <w:color w:val="auto"/>
        </w:rPr>
      </w:pPr>
    </w:p>
    <w:p>
      <w:pPr>
        <w:ind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—In May 2014, the FASB issued comprehensive new revenue recognition guidance. The guidance requires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consolidated statements of operations. The Company adopted the revenue recognition guidance upon its effective date of January 1, 2018 using the modified cumulative effect approach.</w:t>
      </w:r>
    </w:p>
    <w:p>
      <w:pPr>
        <w:spacing w:after="0" w:line="182" w:lineRule="exact"/>
        <w:rPr>
          <w:sz w:val="20"/>
          <w:szCs w:val="20"/>
          <w:color w:val="auto"/>
        </w:rPr>
      </w:pPr>
    </w:p>
    <w:p>
      <w:pPr>
        <w:ind w:right="320" w:firstLine="877"/>
        <w:spacing w:after="0" w:line="261" w:lineRule="auto"/>
        <w:rPr>
          <w:sz w:val="20"/>
          <w:szCs w:val="20"/>
          <w:color w:val="auto"/>
        </w:rPr>
      </w:pPr>
      <w:r>
        <w:rPr>
          <w:rFonts w:ascii="Times New Roman" w:cs="Times New Roman" w:eastAsia="Times New Roman" w:hAnsi="Times New Roman"/>
          <w:sz w:val="18"/>
          <w:szCs w:val="18"/>
          <w:color w:val="auto"/>
        </w:rPr>
        <w:t>The Company evaluated the impact of the new guidance, including (i) the timing of revenue recognition for Financial Advisory and Asset Management fees and (ii) the presentation of certain contract costs. With respect to revenue recognition, the Company assessed the impact of the new guidance on the recognition of fees for Financial Advisory (e.g., transaction completion, transaction announcement and retainers) and Asset Management (e.g., management and incentive fees), including the requirement under the new guidance to recognize certain transaction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completion fees in periods prior to the periods in which the applicable transactions close. The Company’s assessment included an analysis of whether the Company’s fulfillment of its performance obligations would be deemed to occur over time, or at specific points in time, under the new guidance. Specifically, recognition would be deemed to occur over time if the client receives and consumes benefits from the services as the Company performs the services. The Company concluded that Financial Advisory and Asset Management fees would typically be recognized over time as performance occurs, subject to constraints, using an appropriate measure of progress, based on resources consumed, which is consistent with when the client receives benefits. There was no material impact to the Company’s recognition of revenue upon adoption of the new guidance.</w:t>
      </w:r>
    </w:p>
    <w:p>
      <w:pPr>
        <w:spacing w:after="0" w:line="215" w:lineRule="exact"/>
        <w:rPr>
          <w:sz w:val="20"/>
          <w:szCs w:val="20"/>
          <w:color w:val="auto"/>
        </w:rPr>
      </w:pPr>
    </w:p>
    <w:p>
      <w:pPr>
        <w:ind w:right="20" w:firstLine="598"/>
        <w:spacing w:after="0" w:line="254" w:lineRule="auto"/>
        <w:rPr>
          <w:sz w:val="20"/>
          <w:szCs w:val="20"/>
          <w:color w:val="auto"/>
        </w:rPr>
      </w:pPr>
      <w:r>
        <w:rPr>
          <w:rFonts w:ascii="Times New Roman" w:cs="Times New Roman" w:eastAsia="Times New Roman" w:hAnsi="Times New Roman"/>
          <w:sz w:val="18"/>
          <w:szCs w:val="18"/>
          <w:color w:val="auto"/>
        </w:rPr>
        <w:t>The new guidance requires the Company to prospectively present certain contract costs on a gross basis. The most significant changes with respect to presentation relate to (a) certain distribution costs within our Asset Management business and (b) certain reimbursable deal costs within our Financial Advisory business, both of which were previously presented net against revenues and are now presented as expenses on a gross basis under the new guidance because the Company is primarily responsible for fulfilling the promise of the arrangement. For the year ended December 31, 2018, the presentation of such costs on a gross basis resulted in an increase to net revenue of $93,831, primarily comprised of increases to asset management fees and investment banking and other advisory fees. In addition, there was a corresponding increase to operating expenses of $93,831, primarily comprised of an increase to distribution costs presented within fund administration and outsourced services and an increase to reimbursable deal costs presented within marketing and business development. These amounts would have been presented on a net basis prior to the adoption of the new guidance, and there was no material impact to net income as a result of the gross basis of presentation under the new guidance.</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Note 4 for further information on contracts within the scope of the new guidance.</w:t>
      </w:r>
    </w:p>
    <w:p>
      <w:pPr>
        <w:spacing w:after="0" w:line="223"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In August and November 2016, the FASB issued updated guidance which clarifies 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company should classify certain cash receipts and cash payments on the statement of cash flows and clarifies that restricted cash should be included in the total of cash and cash equivalents on the statement of cash flows. The Company adopted this new guidance on January 1, 2018, which resulted in the reclassification of “cash deposited with clearing organizations and other segregated cash” and “deposits with banks and short-term investments” from operating activities to components of “cash and cash equivalents and restricted cash” on the consolidated statement of cash flows. In addition, the Company reclassified cash flows related to customer deposits from operating activities to financing activities. This resulted in changes in deposits with banks and short-term investments and customer deposits no longer being reflected in cash flows from operating activities. Except for the reclassification of these items on the consolidated statement of cash flows for all years presented, the new guidance had no impact on the Company’s financial statements.</w:t>
      </w:r>
    </w:p>
    <w:p>
      <w:pPr>
        <w:spacing w:after="0" w:line="185" w:lineRule="exact"/>
        <w:rPr>
          <w:sz w:val="20"/>
          <w:szCs w:val="20"/>
          <w:color w:val="auto"/>
        </w:rPr>
      </w:pPr>
    </w:p>
    <w:p>
      <w:pPr>
        <w:ind w:right="60" w:firstLine="598"/>
        <w:spacing w:after="0" w:line="256" w:lineRule="auto"/>
        <w:rPr>
          <w:sz w:val="20"/>
          <w:szCs w:val="20"/>
          <w:color w:val="auto"/>
        </w:rPr>
      </w:pP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In January 2017, the FASB issued updated guidance to clarify the definition of a business within the context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business combinations. The updated guidance requires that when substantially all of the fair value of the gross assets acquired (or disposed of) is concentrated in a single identifiable asset or a group of similar identifiable assets, such asset or group of assets is not a business. This updated guidance is expected to reduce the number of transactions that need to be further evaluated as business combinations. If further evaluation is necessary, the updated guidance requires that a business set include, at a minimum, an input and a substantive process that together significantly contribute to the ability to create output. The updated guidance removes the evaluation of whether a market participant could replace missing elements. The Company adopted the new guidance on January 1, 2018 and it did not have a material impact on the Company’s financial statements.</w:t>
      </w:r>
    </w:p>
    <w:p>
      <w:pPr>
        <w:spacing w:after="0" w:line="183" w:lineRule="exact"/>
        <w:rPr>
          <w:sz w:val="20"/>
          <w:szCs w:val="20"/>
          <w:color w:val="auto"/>
        </w:rPr>
      </w:pPr>
    </w:p>
    <w:p>
      <w:pPr>
        <w:ind w:right="180" w:firstLine="638"/>
        <w:spacing w:after="0" w:line="257" w:lineRule="auto"/>
        <w:rPr>
          <w:sz w:val="20"/>
          <w:szCs w:val="20"/>
          <w:color w:val="auto"/>
        </w:rPr>
      </w:pP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Retirement Benefits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Improving the Presentation of Net Periodic Pension Cost and Net Periodic Postretirement Benefit Cost</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applied on a retrospective basis. The other components of net benefit cost, including amortization of prior service cost, and gains and losses from settlements and curtailments, are included in other operating expenses. The new guidance also stipulates that only the service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cost component of net benefit cost is eligible for capitalization, applied on a prospective basis. The Company adopted the new guidance on January 1, 2018 and there was no material impact to the Company’s financial statements.</w:t>
      </w:r>
    </w:p>
    <w:p>
      <w:pPr>
        <w:spacing w:after="0" w:line="160" w:lineRule="exact"/>
        <w:rPr>
          <w:sz w:val="20"/>
          <w:szCs w:val="20"/>
          <w:color w:val="auto"/>
        </w:rPr>
      </w:pPr>
    </w:p>
    <w:p>
      <w:pPr>
        <w:ind w:right="180" w:firstLine="638"/>
        <w:spacing w:after="0" w:line="259" w:lineRule="auto"/>
        <w:rPr>
          <w:sz w:val="20"/>
          <w:szCs w:val="20"/>
          <w:color w:val="auto"/>
        </w:rPr>
      </w:pPr>
      <w:r>
        <w:rPr>
          <w:rFonts w:ascii="Times New Roman" w:cs="Times New Roman" w:eastAsia="Times New Roman" w:hAnsi="Times New Roman"/>
          <w:sz w:val="18"/>
          <w:szCs w:val="18"/>
          <w:i w:val="1"/>
          <w:iCs w:val="1"/>
          <w:color w:val="auto"/>
        </w:rPr>
        <w:t>Compensation—Stock Compensation: Scope of Modification Accounting—</w:t>
      </w:r>
      <w:r>
        <w:rPr>
          <w:rFonts w:ascii="Times New Roman" w:cs="Times New Roman" w:eastAsia="Times New Roman" w:hAnsi="Times New Roman"/>
          <w:sz w:val="18"/>
          <w:szCs w:val="18"/>
          <w:color w:val="auto"/>
        </w:rPr>
        <w:t>In May 2017, the FASB issued updated guidance on modifications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payment awards. The updated guidance requires entities to account for the effects of a modification to a share-based payment award unless the following are all the same immediately before and after the modification: (i) the fair value of the award, (ii) the vesting conditions of the award, and (iii) the classification of the award as an equity instrument or a liability instrument. The Company adopted the new guidance on January 1, 2018, and there was no material impact to the Company’s financial statements.</w:t>
      </w:r>
    </w:p>
    <w:p>
      <w:pPr>
        <w:spacing w:after="0" w:line="180" w:lineRule="exact"/>
        <w:rPr>
          <w:sz w:val="20"/>
          <w:szCs w:val="20"/>
          <w:color w:val="auto"/>
        </w:rPr>
      </w:pPr>
    </w:p>
    <w:p>
      <w:pPr>
        <w:ind w:firstLine="638"/>
        <w:spacing w:after="0" w:line="256" w:lineRule="auto"/>
        <w:rPr>
          <w:sz w:val="20"/>
          <w:szCs w:val="20"/>
          <w:color w:val="auto"/>
        </w:rPr>
      </w:pPr>
      <w:r>
        <w:rPr>
          <w:rFonts w:ascii="Times New Roman" w:cs="Times New Roman" w:eastAsia="Times New Roman" w:hAnsi="Times New Roman"/>
          <w:sz w:val="18"/>
          <w:szCs w:val="18"/>
          <w:i w:val="1"/>
          <w:iCs w:val="1"/>
          <w:color w:val="auto"/>
        </w:rPr>
        <w:t>Reclassification of Certain Tax Effects from Accumulated Other Comprehensive Income—</w:t>
      </w:r>
      <w:r>
        <w:rPr>
          <w:rFonts w:ascii="Times New Roman" w:cs="Times New Roman" w:eastAsia="Times New Roman" w:hAnsi="Times New Roman"/>
          <w:sz w:val="18"/>
          <w:szCs w:val="18"/>
          <w:color w:val="auto"/>
        </w:rPr>
        <w:t>In February 2018, the FASB issued updated guidance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tax effects of items in AOCI. Specifically, the new guidance will permit, but not require, a reclassification from AOCI to retained earnings for stranded tax effects resulting from the newly enacted federal corporate income tax rate under the Tax Cuts and Jobs Act of 2017 (see Note 17). The amount of the reclassification would be the difference between the historical corporate income tax rate and the newly enacted 21% corporate income tax rate. The new guidance is effective for annual and interim periods beginning after December 15, 2018, with an option to apply it in the period of adoption or on a retrospective basis for each period in which the effect of the change in the U.S. federal corporate income tax rate is recognized. The Company will adopt the new guidance on January 1, 2019 and does not expect a material impact on the Company’s financial statements.</w:t>
      </w:r>
    </w:p>
    <w:p>
      <w:pPr>
        <w:spacing w:after="0" w:line="183" w:lineRule="exact"/>
        <w:rPr>
          <w:sz w:val="20"/>
          <w:szCs w:val="20"/>
          <w:color w:val="auto"/>
        </w:rPr>
      </w:pPr>
    </w:p>
    <w:p>
      <w:pPr>
        <w:ind w:right="160"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—In February 2016, the FASB issued updated guidance for leases. The guidance requires a lessee to (i) recognize a right-of-use asset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liability that is initially measured at the present value of the lease payments, in the consolidated statement of financial condition, (ii) recognize a single lease cost, calculated so that the cost of the lease is allocated over the lease term on a straight-line basis and (iii) classify operating lease related cash payments within operating activities and finance lease related principal cash payments within financing activities (with interest included in interest paid) in the consolidated statement of cash flows.</w:t>
      </w:r>
    </w:p>
    <w:p>
      <w:pPr>
        <w:spacing w:after="0" w:line="182" w:lineRule="exact"/>
        <w:rPr>
          <w:sz w:val="20"/>
          <w:szCs w:val="20"/>
          <w:color w:val="auto"/>
        </w:rPr>
      </w:pPr>
    </w:p>
    <w:p>
      <w:pPr>
        <w:ind w:right="200" w:firstLine="598"/>
        <w:spacing w:after="0" w:line="258" w:lineRule="auto"/>
        <w:rPr>
          <w:sz w:val="20"/>
          <w:szCs w:val="20"/>
          <w:color w:val="auto"/>
        </w:rPr>
      </w:pPr>
      <w:r>
        <w:rPr>
          <w:rFonts w:ascii="Times New Roman" w:cs="Times New Roman" w:eastAsia="Times New Roman" w:hAnsi="Times New Roman"/>
          <w:sz w:val="18"/>
          <w:szCs w:val="18"/>
          <w:color w:val="auto"/>
        </w:rPr>
        <w:t>The new guidance is effective for annual and interim periods beginning after December 15, 2018. The Company will adopt the new guidance on January 1, 2019 using the optional transition method, which allows the new standard to be applied initially at the adoption date with a cumulative-effect adjustment without restating comparative periods. Lazard plans to elect the practical expedients, which allows the carry-forward of the prior conclusions on lease definition, classification and initial direct costs related to the expired and existing leases as of the adoption date. The Company expects to apply the exemption of balance sheet recognition requirements of short-term leases.</w:t>
      </w:r>
    </w:p>
    <w:p>
      <w:pPr>
        <w:spacing w:after="0" w:line="184" w:lineRule="exact"/>
        <w:rPr>
          <w:sz w:val="20"/>
          <w:szCs w:val="20"/>
          <w:color w:val="auto"/>
        </w:rPr>
      </w:pPr>
    </w:p>
    <w:p>
      <w:pPr>
        <w:ind w:right="160" w:firstLine="598"/>
        <w:spacing w:after="0" w:line="266" w:lineRule="auto"/>
        <w:rPr>
          <w:sz w:val="20"/>
          <w:szCs w:val="20"/>
          <w:color w:val="auto"/>
        </w:rPr>
      </w:pPr>
      <w:r>
        <w:rPr>
          <w:rFonts w:ascii="Times New Roman" w:cs="Times New Roman" w:eastAsia="Times New Roman" w:hAnsi="Times New Roman"/>
          <w:sz w:val="18"/>
          <w:szCs w:val="18"/>
          <w:color w:val="auto"/>
        </w:rPr>
        <w:t>The Company continues to evaluate its processes and internal controls over financial reporting relating to its leasing activities. The Company currently estimates the recognition of the right-of-use assets and lease liabilities to be approximately $500,000 to $600,000 on its consolidated statements of financial condition upon adoption and does not expect a material impact on its consolidated statement of operations.</w:t>
      </w:r>
    </w:p>
    <w:p>
      <w:pPr>
        <w:spacing w:after="0" w:line="174" w:lineRule="exact"/>
        <w:rPr>
          <w:sz w:val="20"/>
          <w:szCs w:val="20"/>
          <w:color w:val="auto"/>
        </w:rPr>
      </w:pPr>
    </w:p>
    <w:p>
      <w:pPr>
        <w:ind w:right="80" w:firstLine="598"/>
        <w:spacing w:after="0" w:line="256" w:lineRule="auto"/>
        <w:rPr>
          <w:sz w:val="20"/>
          <w:szCs w:val="20"/>
          <w:color w:val="auto"/>
        </w:rPr>
      </w:pP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In June 2018, the FASB issued updated guidance to simplify the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new guidance is effective for annual and interim periods beginning after December 15, 2018. Upon adoption, the new guidance would be applied on a modified retrospective basis. The Company will adopt the new guidance on January 1, 2019 and does not expect it to have a material impact on the Company’s 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2" w:lineRule="exact"/>
        <w:rPr>
          <w:sz w:val="20"/>
          <w:szCs w:val="20"/>
          <w:color w:val="auto"/>
        </w:rPr>
      </w:pPr>
    </w:p>
    <w:p>
      <w:pPr>
        <w:ind w:right="180" w:firstLine="598"/>
        <w:spacing w:after="0" w:line="259" w:lineRule="auto"/>
        <w:rPr>
          <w:sz w:val="20"/>
          <w:szCs w:val="20"/>
          <w:color w:val="auto"/>
        </w:rPr>
      </w:pP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—In June 2016, the FASB issued new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ind w:right="60" w:firstLine="598"/>
        <w:spacing w:after="0" w:line="272" w:lineRule="auto"/>
        <w:rPr>
          <w:sz w:val="20"/>
          <w:szCs w:val="20"/>
          <w:color w:val="auto"/>
        </w:rPr>
      </w:pP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21"/>
          <w:szCs w:val="21"/>
          <w:color w:val="3C3C3D"/>
        </w:rPr>
        <w:t>—</w:t>
      </w:r>
      <w:r>
        <w:rPr>
          <w:rFonts w:ascii="Times New Roman" w:cs="Times New Roman" w:eastAsia="Times New Roman" w:hAnsi="Times New Roman"/>
          <w:sz w:val="18"/>
          <w:szCs w:val="18"/>
          <w:i w:val="1"/>
          <w:iCs w:val="1"/>
          <w:color w:val="auto"/>
        </w:rPr>
        <w:t>Goodwill and Other: Simplifying the Test for Goodwill Impairment</w:t>
      </w:r>
      <w:r>
        <w:rPr>
          <w:rFonts w:ascii="Times New Roman" w:cs="Times New Roman" w:eastAsia="Times New Roman" w:hAnsi="Times New Roman"/>
          <w:sz w:val="21"/>
          <w:szCs w:val="21"/>
          <w:color w:val="3C3C3D"/>
        </w:rPr>
        <w:t>—</w:t>
      </w:r>
      <w:r>
        <w:rPr>
          <w:rFonts w:ascii="Times New Roman" w:cs="Times New Roman" w:eastAsia="Times New Roman" w:hAnsi="Times New Roman"/>
          <w:sz w:val="18"/>
          <w:szCs w:val="18"/>
          <w:color w:val="auto"/>
        </w:rPr>
        <w:t>In January 2017, the FASB issued updated guidance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171" w:lineRule="exact"/>
        <w:rPr>
          <w:sz w:val="20"/>
          <w:szCs w:val="20"/>
          <w:color w:val="auto"/>
        </w:rPr>
      </w:pPr>
    </w:p>
    <w:p>
      <w:pPr>
        <w:ind w:right="20" w:firstLine="598"/>
        <w:spacing w:after="0" w:line="257" w:lineRule="auto"/>
        <w:rPr>
          <w:sz w:val="20"/>
          <w:szCs w:val="20"/>
          <w:color w:val="auto"/>
        </w:rPr>
      </w:pPr>
      <w:r>
        <w:rPr>
          <w:rFonts w:ascii="Times New Roman" w:cs="Times New Roman" w:eastAsia="Times New Roman" w:hAnsi="Times New Roman"/>
          <w:sz w:val="18"/>
          <w:szCs w:val="18"/>
          <w:i w:val="1"/>
          <w:iCs w:val="1"/>
          <w:color w:val="auto"/>
        </w:rPr>
        <w:t>Intangibles—Internal-Use Software: Customer’s Accounting for Implementation Costs Incurred in a Cloud Computing Arrangement that is a Service Contract</w:t>
      </w:r>
      <w:r>
        <w:rPr>
          <w:rFonts w:ascii="Times New Roman" w:cs="Times New Roman" w:eastAsia="Times New Roman" w:hAnsi="Times New Roman"/>
          <w:sz w:val="18"/>
          <w:szCs w:val="18"/>
          <w:color w:val="auto"/>
        </w:rPr>
        <w:t>—In August 2018, the FASB issued updated guidance on the accounting for implementation costs incurred in a cloud computing arrangement.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guidance requires the capitalization of the implementation costs incurred in a cloud computing arrangement to be aligned with the requirements for capitalizing costs incurred to develop or obtain internal-use software. The new guidance is effective for annual and interim reporting periods beginning after December 15, 2019, with early adoption permitted. Upon adoption, the Company may elect to apply the new guidance on either a prospective or retrospective basis. The Company is currently evaluating the new guidance.</w:t>
      </w:r>
    </w:p>
    <w:p>
      <w:pPr>
        <w:spacing w:after="0" w:line="183"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Related Party Guidance for Variable Interest Entities</w:t>
      </w:r>
      <w:r>
        <w:rPr>
          <w:rFonts w:ascii="Times New Roman" w:cs="Times New Roman" w:eastAsia="Times New Roman" w:hAnsi="Times New Roman"/>
          <w:sz w:val="18"/>
          <w:szCs w:val="18"/>
          <w:color w:val="auto"/>
        </w:rPr>
        <w:t>—In October 2018, the FASB issued updated guidance that requires consideration of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held through related parties under common control for determining whether fees paid to decision makers and service providers are variable interests. The new guidance is effective for fiscal years and interim periods beginning after December 15, 2019, with early adoption permitted. The amendments are required to be applied retrospectively with a cumulative-effect adjustment. The Company is currently evaluating the new guidance.</w:t>
      </w:r>
    </w:p>
    <w:p>
      <w:pPr>
        <w:spacing w:after="0" w:line="180"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Fair Value Measurement: Changes to the Disclosure Requirements for Fair Value Measurement</w:t>
      </w:r>
      <w:r>
        <w:rPr>
          <w:rFonts w:ascii="Times New Roman" w:cs="Times New Roman" w:eastAsia="Times New Roman" w:hAnsi="Times New Roman"/>
          <w:sz w:val="18"/>
          <w:szCs w:val="18"/>
          <w:color w:val="auto"/>
        </w:rPr>
        <w:t>—In August 2018, the FASB issued updated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modifies the disclosure requirements on fair value measurement. The updated guidance eliminates or modifies various required disclosures under the current guidance and includes additional requirements. The new guidance is effective for annual and interim reporting periods beginning after December 15, 2019, with early adoption permitted. The Company is currently evaluating the new guidance.</w:t>
      </w:r>
    </w:p>
    <w:p>
      <w:pPr>
        <w:spacing w:after="0" w:line="180" w:lineRule="exact"/>
        <w:rPr>
          <w:sz w:val="20"/>
          <w:szCs w:val="20"/>
          <w:color w:val="auto"/>
        </w:rPr>
      </w:pPr>
    </w:p>
    <w:p>
      <w:pPr>
        <w:ind w:right="140" w:firstLine="598"/>
        <w:spacing w:after="0" w:line="261" w:lineRule="auto"/>
        <w:rPr>
          <w:sz w:val="20"/>
          <w:szCs w:val="20"/>
          <w:color w:val="auto"/>
        </w:rPr>
      </w:pPr>
      <w:r>
        <w:rPr>
          <w:rFonts w:ascii="Times New Roman" w:cs="Times New Roman" w:eastAsia="Times New Roman" w:hAnsi="Times New Roman"/>
          <w:sz w:val="18"/>
          <w:szCs w:val="18"/>
          <w:i w:val="1"/>
          <w:iCs w:val="1"/>
          <w:color w:val="auto"/>
        </w:rPr>
        <w:t>Compensation–Retirement Benefits: Changes to the Disclosure Requirements for Defined Benefit Plans</w:t>
      </w:r>
      <w:r>
        <w:rPr>
          <w:rFonts w:ascii="Times New Roman" w:cs="Times New Roman" w:eastAsia="Times New Roman" w:hAnsi="Times New Roman"/>
          <w:sz w:val="18"/>
          <w:szCs w:val="18"/>
          <w:color w:val="auto"/>
        </w:rPr>
        <w:t>—In August 2018, the FASB issued updated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which modifies the disclosure requirements regarding defined benefit plans and other postretirement plans. The updated guidance eliminates or clarifies certain currently required disclosures and includes additional requirements. The new guidance is effective for annual and interim reporting periods beginning after December 15, 2020, with early adoption permitted. The Company is currently evaluating the new guidance.</w:t>
      </w:r>
    </w:p>
    <w:p>
      <w:pPr>
        <w:spacing w:after="0" w:line="367" w:lineRule="exact"/>
        <w:rPr>
          <w:sz w:val="20"/>
          <w:szCs w:val="20"/>
          <w:color w:val="auto"/>
        </w:rPr>
      </w:pPr>
    </w:p>
    <w:p>
      <w:pPr>
        <w:ind w:left="600" w:hanging="592"/>
        <w:spacing w:after="0"/>
        <w:tabs>
          <w:tab w:leader="none" w:pos="60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right="580" w:firstLine="59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 Banking and Other Advisory Fees</w:t>
      </w:r>
      <w:r>
        <w:rPr>
          <w:rFonts w:ascii="Times New Roman" w:cs="Times New Roman" w:eastAsia="Times New Roman" w:hAnsi="Times New Roman"/>
          <w:sz w:val="18"/>
          <w:szCs w:val="18"/>
          <w:color w:val="auto"/>
        </w:rPr>
        <w:t>—Fees for Financial Advisory services are recorded when: (i) a contract with a client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identified, (ii) the performance obligations in the contract have been identified, (iii)</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180"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Asset Management Fees</w:t>
      </w:r>
      <w:r>
        <w:rPr>
          <w:rFonts w:ascii="Times New Roman" w:cs="Times New Roman" w:eastAsia="Times New Roman" w:hAnsi="Times New Roman"/>
          <w:sz w:val="18"/>
          <w:szCs w:val="18"/>
          <w:color w:val="auto"/>
        </w:rPr>
        <w:t>—Fees for Asset Management services are primarily comprised of management fees and incentive fees. Management fees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89" w:lineRule="exact"/>
        <w:rPr>
          <w:sz w:val="20"/>
          <w:szCs w:val="20"/>
          <w:color w:val="auto"/>
        </w:rPr>
      </w:pPr>
    </w:p>
    <w:p>
      <w:pPr>
        <w:ind w:right="440" w:firstLine="598"/>
        <w:spacing w:after="0" w:line="282" w:lineRule="auto"/>
        <w:rPr>
          <w:sz w:val="20"/>
          <w:szCs w:val="20"/>
          <w:color w:val="auto"/>
        </w:rPr>
      </w:pPr>
      <w:r>
        <w:rPr>
          <w:rFonts w:ascii="Times New Roman" w:cs="Times New Roman" w:eastAsia="Times New Roman" w:hAnsi="Times New Roman"/>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62" w:lineRule="exact"/>
        <w:rPr>
          <w:sz w:val="20"/>
          <w:szCs w:val="20"/>
          <w:color w:val="auto"/>
        </w:rPr>
      </w:pPr>
    </w:p>
    <w:p>
      <w:pPr>
        <w:ind w:right="100" w:firstLine="598"/>
        <w:spacing w:after="0" w:line="255" w:lineRule="auto"/>
        <w:rPr>
          <w:sz w:val="20"/>
          <w:szCs w:val="20"/>
          <w:color w:val="auto"/>
        </w:rPr>
      </w:pPr>
      <w:r>
        <w:rPr>
          <w:rFonts w:ascii="Times New Roman" w:cs="Times New Roman" w:eastAsia="Times New Roman" w:hAnsi="Times New Roman"/>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8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Receivables relating to asset management and incentive fees are reported in “fees receivable” on the consolidated statements of financial condition.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680" w:firstLine="598"/>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2018 (d)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Financial Advisory (a)</w:t>
            </w:r>
          </w:p>
        </w:tc>
        <w:tc>
          <w:tcPr>
            <w:tcW w:w="35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1,555,526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Borders>
              <w:top w:val="single" w:sz="8" w:color="CFF0FC"/>
            </w:tcBorders>
            <w:shd w:val="clear" w:color="auto" w:fill="CFF0FC"/>
          </w:tcPr>
          <w:p>
            <w:pPr>
              <w:spacing w:after="0"/>
              <w:rPr>
                <w:sz w:val="18"/>
                <w:szCs w:val="18"/>
                <w:color w:val="auto"/>
              </w:rPr>
            </w:pPr>
          </w:p>
        </w:tc>
        <w:tc>
          <w:tcPr>
            <w:tcW w:w="3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Management Fees and Other (b)</w:t>
            </w:r>
          </w:p>
        </w:tc>
        <w:tc>
          <w:tcPr>
            <w:tcW w:w="352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Incentive Fees (c)</w:t>
            </w:r>
          </w:p>
        </w:tc>
        <w:tc>
          <w:tcPr>
            <w:tcW w:w="3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 Management</w:t>
            </w:r>
          </w:p>
        </w:tc>
        <w:tc>
          <w:tcPr>
            <w:tcW w:w="3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1,331,801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40" w:right="140" w:hanging="432"/>
        <w:spacing w:after="0" w:line="254" w:lineRule="auto"/>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Therefore, in any given period, advisory fees recognized for certain transactions will relate to 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40" w:lineRule="exact"/>
        <w:rPr>
          <w:rFonts w:ascii="Times New Roman" w:cs="Times New Roman" w:eastAsia="Times New Roman" w:hAnsi="Times New Roman"/>
          <w:sz w:val="18"/>
          <w:szCs w:val="18"/>
          <w:color w:val="auto"/>
        </w:rPr>
      </w:pPr>
    </w:p>
    <w:p>
      <w:pPr>
        <w:ind w:left="440" w:right="40" w:hanging="432"/>
        <w:spacing w:after="0" w:line="258" w:lineRule="auto"/>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5" w:lineRule="exact"/>
        <w:rPr>
          <w:rFonts w:ascii="Times New Roman" w:cs="Times New Roman" w:eastAsia="Times New Roman" w:hAnsi="Times New Roman"/>
          <w:sz w:val="18"/>
          <w:szCs w:val="18"/>
          <w:color w:val="auto"/>
        </w:rPr>
      </w:pPr>
    </w:p>
    <w:p>
      <w:pPr>
        <w:ind w:left="440" w:right="40" w:hanging="432"/>
        <w:spacing w:after="0" w:line="261" w:lineRule="auto"/>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31" w:lineRule="exact"/>
        <w:rPr>
          <w:rFonts w:ascii="Times New Roman" w:cs="Times New Roman" w:eastAsia="Times New Roman" w:hAnsi="Times New Roman"/>
          <w:sz w:val="18"/>
          <w:szCs w:val="18"/>
          <w:color w:val="auto"/>
        </w:rPr>
      </w:pPr>
    </w:p>
    <w:p>
      <w:pPr>
        <w:ind w:left="440" w:right="400" w:hanging="432"/>
        <w:spacing w:after="0" w:line="266" w:lineRule="auto"/>
        <w:tabs>
          <w:tab w:leader="none" w:pos="4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76" w:lineRule="exact"/>
        <w:rPr>
          <w:sz w:val="20"/>
          <w:szCs w:val="20"/>
          <w:color w:val="auto"/>
        </w:rPr>
      </w:pPr>
    </w:p>
    <w:p>
      <w:pPr>
        <w:ind w:right="260" w:firstLine="598"/>
        <w:spacing w:after="0" w:line="258" w:lineRule="auto"/>
        <w:rPr>
          <w:sz w:val="20"/>
          <w:szCs w:val="20"/>
          <w:color w:val="auto"/>
        </w:rPr>
      </w:pPr>
      <w:r>
        <w:rPr>
          <w:rFonts w:ascii="Times New Roman" w:cs="Times New Roman" w:eastAsia="Times New Roman" w:hAnsi="Times New Roman"/>
          <w:sz w:val="18"/>
          <w:szCs w:val="18"/>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4" w:name="page95"/>
    <w:bookmarkEnd w:id="9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24" w:lineRule="exact"/>
        <w:rPr>
          <w:sz w:val="20"/>
          <w:szCs w:val="20"/>
          <w:color w:val="auto"/>
        </w:rPr>
      </w:pPr>
    </w:p>
    <w:p>
      <w:pPr>
        <w:ind w:left="600" w:hanging="592"/>
        <w:spacing w:after="0"/>
        <w:tabs>
          <w:tab w:leader="none" w:pos="600" w:val="left"/>
        </w:tabs>
        <w:numPr>
          <w:ilvl w:val="0"/>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RECEIVABLES</w:t>
      </w:r>
    </w:p>
    <w:p>
      <w:pPr>
        <w:spacing w:after="0" w:line="121"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receivables represent fee receivables, amounts due from customers and other receivables.</w:t>
      </w:r>
    </w:p>
    <w:p>
      <w:pPr>
        <w:spacing w:after="0" w:line="225" w:lineRule="exact"/>
        <w:rPr>
          <w:sz w:val="20"/>
          <w:szCs w:val="20"/>
          <w:color w:val="auto"/>
        </w:rPr>
      </w:pPr>
    </w:p>
    <w:p>
      <w:pPr>
        <w:ind w:right="320" w:firstLine="598"/>
        <w:spacing w:after="0" w:line="282" w:lineRule="auto"/>
        <w:rPr>
          <w:sz w:val="20"/>
          <w:szCs w:val="20"/>
          <w:color w:val="auto"/>
        </w:rPr>
      </w:pPr>
      <w:r>
        <w:rPr>
          <w:rFonts w:ascii="Times New Roman" w:cs="Times New Roman" w:eastAsia="Times New Roman" w:hAnsi="Times New Roman"/>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Activity in the allowance for doubtful accounts for the years ended December 31, 2018, 2017 and 2016 was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 net of recoveries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00" w:type="dxa"/>
            <w:vAlign w:val="bottom"/>
          </w:tcPr>
          <w:p>
            <w:pPr>
              <w:spacing w:after="0"/>
              <w:rPr>
                <w:sz w:val="19"/>
                <w:szCs w:val="19"/>
                <w:color w:val="auto"/>
              </w:rPr>
            </w:pPr>
          </w:p>
        </w:tc>
      </w:tr>
      <w:tr>
        <w:trPr>
          <w:trHeight w:val="211"/>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Charge-offs, foreign currency translation and other</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(10,746)</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(8,059)</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(6,551)</w:t>
            </w: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Bad debt expense, net of recoveries is included in “operating expenses - other” on the consolidated statements of operations.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December 31, 2018 and 2017, the Company had receivables past due or deemed uncollectible of $42,309 and $34,865, respectively.</w:t>
      </w:r>
    </w:p>
    <w:p>
      <w:pPr>
        <w:spacing w:after="0" w:line="225"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Of the Company’s fee receivables at December 31, 2018 and 2017, $90,966 and $80,536,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76" w:lineRule="exact"/>
        <w:rPr>
          <w:sz w:val="20"/>
          <w:szCs w:val="20"/>
          <w:color w:val="auto"/>
        </w:rPr>
      </w:pPr>
    </w:p>
    <w:p>
      <w:pPr>
        <w:ind w:right="400" w:firstLine="598"/>
        <w:spacing w:after="0" w:line="282" w:lineRule="auto"/>
        <w:rPr>
          <w:sz w:val="20"/>
          <w:szCs w:val="20"/>
          <w:color w:val="auto"/>
        </w:rPr>
      </w:pPr>
      <w:r>
        <w:rPr>
          <w:rFonts w:ascii="Times New Roman" w:cs="Times New Roman" w:eastAsia="Times New Roman" w:hAnsi="Times New Roman"/>
          <w:sz w:val="18"/>
          <w:szCs w:val="18"/>
          <w:color w:val="auto"/>
        </w:rPr>
        <w:t>The aggregate carrying amount of our non-interest bearing receivables of $594,568 and $491,080 at December 31, 2018 and 2017, respectively, approximates fair value.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0" w:hanging="592"/>
        <w:spacing w:after="0"/>
        <w:tabs>
          <w:tab w:leader="none" w:pos="600" w:val="left"/>
        </w:tabs>
        <w:numPr>
          <w:ilvl w:val="0"/>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investments and securities sold, not yet purchased, consist of the following at December 31, 2018 and 2017:</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202,874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Equities</w:t>
            </w: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Alternative investments (a)</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Debt (a)</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Equity (a)</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Private equity</w:t>
            </w:r>
          </w:p>
        </w:tc>
        <w:tc>
          <w:tcPr>
            <w:tcW w:w="2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386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574,638</w:t>
            </w:r>
          </w:p>
        </w:tc>
        <w:tc>
          <w:tcPr>
            <w:tcW w:w="2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2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2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280" w:type="dxa"/>
            <w:vAlign w:val="bottom"/>
          </w:tcPr>
          <w:p>
            <w:pPr>
              <w:spacing w:after="0"/>
              <w:rPr>
                <w:sz w:val="20"/>
                <w:szCs w:val="20"/>
                <w:color w:val="auto"/>
              </w:rPr>
            </w:pPr>
          </w:p>
        </w:tc>
        <w:tc>
          <w:tcPr>
            <w:tcW w:w="460" w:type="dxa"/>
            <w:vAlign w:val="bottom"/>
            <w:gridSpan w:val="2"/>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38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right="120" w:hanging="592"/>
        <w:spacing w:after="0" w:line="258" w:lineRule="auto"/>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alternative investment funds, debt funds and equity funds include investments with fair values of $9,741, $60,081 and $132,038, respectively, at December 31, 2018 and $11,213, $48,391 and $131,893, respectively, at December 31, 2017, held in order to satisfy the Company’s liability upon vesting of previously granted LFI and other similar deferred compensation arrangements. LFI represent grants by the Company to eligible employees of actual or notional interests in a number of Lazard-managed funds, subject to service-based vesting conditions (see Notes 8 and 15).</w:t>
      </w:r>
    </w:p>
    <w:p>
      <w:pPr>
        <w:spacing w:after="0" w:line="184" w:lineRule="exact"/>
        <w:rPr>
          <w:sz w:val="20"/>
          <w:szCs w:val="20"/>
          <w:color w:val="auto"/>
        </w:rPr>
      </w:pPr>
    </w:p>
    <w:p>
      <w:pPr>
        <w:ind w:right="860" w:firstLine="598"/>
        <w:spacing w:after="0" w:line="282" w:lineRule="auto"/>
        <w:rPr>
          <w:sz w:val="20"/>
          <w:szCs w:val="20"/>
          <w:color w:val="auto"/>
        </w:rPr>
      </w:pPr>
      <w:r>
        <w:rPr>
          <w:rFonts w:ascii="Times New Roman" w:cs="Times New Roman" w:eastAsia="Times New Roman" w:hAnsi="Times New Roman"/>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480" w:firstLine="598"/>
        <w:spacing w:after="0" w:line="282" w:lineRule="auto"/>
        <w:rPr>
          <w:sz w:val="20"/>
          <w:szCs w:val="20"/>
          <w:color w:val="auto"/>
        </w:rPr>
      </w:pPr>
      <w:r>
        <w:rPr>
          <w:rFonts w:ascii="Times New Roman" w:cs="Times New Roman" w:eastAsia="Times New Roman" w:hAnsi="Times New Roman"/>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62" w:lineRule="exact"/>
        <w:rPr>
          <w:sz w:val="20"/>
          <w:szCs w:val="20"/>
          <w:color w:val="auto"/>
        </w:rPr>
      </w:pPr>
    </w:p>
    <w:p>
      <w:pPr>
        <w:ind w:right="160" w:firstLine="598"/>
        <w:spacing w:after="0" w:line="282" w:lineRule="auto"/>
        <w:rPr>
          <w:sz w:val="20"/>
          <w:szCs w:val="20"/>
          <w:color w:val="auto"/>
        </w:rPr>
      </w:pPr>
      <w:r>
        <w:rPr>
          <w:rFonts w:ascii="Times New Roman" w:cs="Times New Roman" w:eastAsia="Times New Roman" w:hAnsi="Times New Roman"/>
          <w:sz w:val="18"/>
          <w:szCs w:val="18"/>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62"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62" w:lineRule="exact"/>
        <w:rPr>
          <w:sz w:val="20"/>
          <w:szCs w:val="20"/>
          <w:color w:val="auto"/>
        </w:rPr>
      </w:pPr>
    </w:p>
    <w:p>
      <w:pPr>
        <w:ind w:right="240" w:firstLine="598"/>
        <w:spacing w:after="0" w:line="282" w:lineRule="auto"/>
        <w:rPr>
          <w:sz w:val="20"/>
          <w:szCs w:val="20"/>
          <w:color w:val="auto"/>
        </w:rPr>
      </w:pPr>
      <w:r>
        <w:rPr>
          <w:rFonts w:ascii="Times New Roman" w:cs="Times New Roman" w:eastAsia="Times New Roman" w:hAnsi="Times New Roman"/>
          <w:sz w:val="18"/>
          <w:szCs w:val="18"/>
          <w:color w:val="auto"/>
        </w:rPr>
        <w:t>Equity funds primarily consist of seed investments in funds related to our Asset Management business that invest in equity securities, and amounts related to LFI discussed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180" w:firstLine="598"/>
        <w:spacing w:after="0" w:line="261" w:lineRule="auto"/>
        <w:rPr>
          <w:sz w:val="20"/>
          <w:szCs w:val="20"/>
          <w:color w:val="auto"/>
        </w:rPr>
      </w:pPr>
      <w:r>
        <w:rPr>
          <w:rFonts w:ascii="Times New Roman" w:cs="Times New Roman" w:eastAsia="Times New Roman" w:hAnsi="Times New Roman"/>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and (ii) a fund targeting significant noncontrolling-stake investments in established private companies.</w:t>
      </w:r>
    </w:p>
    <w:p>
      <w:pPr>
        <w:spacing w:after="0" w:line="180" w:lineRule="exact"/>
        <w:rPr>
          <w:sz w:val="20"/>
          <w:szCs w:val="20"/>
          <w:color w:val="auto"/>
        </w:rPr>
      </w:pPr>
    </w:p>
    <w:p>
      <w:pPr>
        <w:ind w:right="140" w:firstLine="598"/>
        <w:spacing w:after="0" w:line="282" w:lineRule="auto"/>
        <w:rPr>
          <w:sz w:val="20"/>
          <w:szCs w:val="20"/>
          <w:color w:val="auto"/>
        </w:rPr>
      </w:pPr>
      <w:r>
        <w:rPr>
          <w:rFonts w:ascii="Times New Roman" w:cs="Times New Roman" w:eastAsia="Times New Roman" w:hAnsi="Times New Roman"/>
          <w:sz w:val="18"/>
          <w:szCs w:val="18"/>
          <w:color w:val="auto"/>
        </w:rPr>
        <w:t>Private equity investments consolidated but not owned by Lazard relate to the economic interests that are owned by the management team and other investors in the Edgewater Funds (“Edgewater”).</w:t>
      </w:r>
    </w:p>
    <w:p>
      <w:pPr>
        <w:spacing w:after="0" w:line="162" w:lineRule="exact"/>
        <w:rPr>
          <w:sz w:val="20"/>
          <w:szCs w:val="20"/>
          <w:color w:val="auto"/>
        </w:rPr>
      </w:pPr>
    </w:p>
    <w:p>
      <w:pPr>
        <w:ind w:right="240" w:firstLine="59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2018, 2017 and 2016, the Company reported in “revenue-other” on its consolidated statements of operations net unrealized investment gains and losses pertaining to “equity securities and trading debt securities” still held as of the reporting date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investment gains (losses)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ind w:left="600" w:hanging="592"/>
        <w:spacing w:after="0"/>
        <w:tabs>
          <w:tab w:leader="none" w:pos="600"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7" w:lineRule="exact"/>
        <w:rPr>
          <w:sz w:val="20"/>
          <w:szCs w:val="20"/>
          <w:color w:val="auto"/>
        </w:rPr>
      </w:pPr>
    </w:p>
    <w:p>
      <w:pPr>
        <w:ind w:right="380" w:firstLine="59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Fair Value Hierarchy of Investments and Certain Other Assets and Liabilities</w:t>
      </w:r>
      <w:r>
        <w:rPr>
          <w:rFonts w:ascii="Times New Roman" w:cs="Times New Roman" w:eastAsia="Times New Roman" w:hAnsi="Times New Roman"/>
          <w:sz w:val="18"/>
          <w:szCs w:val="18"/>
          <w:color w:val="auto"/>
        </w:rPr>
        <w:t>—Lazard categorizes its investments and certain other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recorded at fair value into a three-level fair value hierarchy as follows:</w:t>
      </w:r>
    </w:p>
    <w:p>
      <w:pPr>
        <w:spacing w:after="0" w:line="49" w:lineRule="exact"/>
        <w:rPr>
          <w:sz w:val="20"/>
          <w:szCs w:val="20"/>
          <w:color w:val="auto"/>
        </w:rPr>
      </w:pPr>
    </w:p>
    <w:p>
      <w:pPr>
        <w:ind w:left="600" w:right="420" w:hanging="59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Assets and liabilities whose values are based on unadjusted quoted prices for identical assets or liabilities in an active market that Lazard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access.</w:t>
      </w:r>
    </w:p>
    <w:p>
      <w:pPr>
        <w:spacing w:after="0" w:line="50" w:lineRule="exact"/>
        <w:rPr>
          <w:sz w:val="20"/>
          <w:szCs w:val="20"/>
          <w:color w:val="auto"/>
        </w:rPr>
      </w:pPr>
    </w:p>
    <w:p>
      <w:pPr>
        <w:ind w:left="600" w:right="200" w:hanging="59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Assets and liabilities whose values are based on (i) quoted prices for similar assets or liabilities in an active market, or quoted prices for identical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assets or liabilities in non-active markets, or (ii) inputs other than quoted prices that are directly observable or derived principally from, or corroborated by, market data.</w:t>
      </w:r>
    </w:p>
    <w:p>
      <w:pPr>
        <w:spacing w:after="0" w:line="65" w:lineRule="exact"/>
        <w:rPr>
          <w:sz w:val="20"/>
          <w:szCs w:val="20"/>
          <w:color w:val="auto"/>
        </w:rPr>
      </w:pPr>
    </w:p>
    <w:p>
      <w:pPr>
        <w:ind w:left="600" w:right="200" w:hanging="593"/>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Assets and liabilities whose values are based on prices or valuation techniques that require inputs that are both unobservable and significant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fair value of debt is classified as Level 1 when the fair values are based on unadjusted quoted prices in active markets.</w:t>
      </w:r>
    </w:p>
    <w:p>
      <w:pPr>
        <w:spacing w:after="0" w:line="225" w:lineRule="exact"/>
        <w:rPr>
          <w:sz w:val="20"/>
          <w:szCs w:val="20"/>
          <w:color w:val="auto"/>
        </w:rPr>
      </w:pPr>
    </w:p>
    <w:p>
      <w:pPr>
        <w:ind w:right="100" w:firstLine="598"/>
        <w:spacing w:after="0" w:line="266" w:lineRule="auto"/>
        <w:rPr>
          <w:sz w:val="20"/>
          <w:szCs w:val="20"/>
          <w:color w:val="auto"/>
        </w:rPr>
      </w:pPr>
      <w:r>
        <w:rPr>
          <w:rFonts w:ascii="Times New Roman" w:cs="Times New Roman" w:eastAsia="Times New Roman" w:hAnsi="Times New Roman"/>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76" w:lineRule="exact"/>
        <w:rPr>
          <w:sz w:val="20"/>
          <w:szCs w:val="20"/>
          <w:color w:val="auto"/>
        </w:rPr>
      </w:pPr>
    </w:p>
    <w:p>
      <w:pPr>
        <w:ind w:right="200" w:firstLine="598"/>
        <w:spacing w:after="0" w:line="282" w:lineRule="auto"/>
        <w:rPr>
          <w:sz w:val="20"/>
          <w:szCs w:val="20"/>
          <w:color w:val="auto"/>
        </w:rPr>
      </w:pPr>
      <w:r>
        <w:rPr>
          <w:rFonts w:ascii="Times New Roman" w:cs="Times New Roman" w:eastAsia="Times New Roman" w:hAnsi="Times New Roman"/>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62" w:lineRule="exact"/>
        <w:rPr>
          <w:sz w:val="20"/>
          <w:szCs w:val="20"/>
          <w:color w:val="auto"/>
        </w:rPr>
      </w:pPr>
    </w:p>
    <w:p>
      <w:pPr>
        <w:ind w:right="520" w:firstLine="598"/>
        <w:spacing w:after="0" w:line="282" w:lineRule="auto"/>
        <w:rPr>
          <w:sz w:val="20"/>
          <w:szCs w:val="20"/>
          <w:color w:val="auto"/>
        </w:rPr>
      </w:pPr>
      <w:r>
        <w:rPr>
          <w:rFonts w:ascii="Times New Roman" w:cs="Times New Roman" w:eastAsia="Times New Roman" w:hAnsi="Times New Roman"/>
          <w:sz w:val="18"/>
          <w:szCs w:val="18"/>
          <w:color w:val="auto"/>
        </w:rPr>
        <w:t>The fair value of securities sold, not yet purchased, is classified as Level 1 when the fair values are based on unadjusted quoted prices in active markets.</w:t>
      </w:r>
    </w:p>
    <w:p>
      <w:pPr>
        <w:spacing w:after="0" w:line="162" w:lineRule="exact"/>
        <w:rPr>
          <w:sz w:val="20"/>
          <w:szCs w:val="20"/>
          <w:color w:val="auto"/>
        </w:rPr>
      </w:pPr>
    </w:p>
    <w:p>
      <w:pPr>
        <w:ind w:right="300" w:firstLine="598"/>
        <w:spacing w:after="0" w:line="266" w:lineRule="auto"/>
        <w:rPr>
          <w:sz w:val="20"/>
          <w:szCs w:val="20"/>
          <w:color w:val="auto"/>
        </w:rPr>
      </w:pPr>
      <w:r>
        <w:rPr>
          <w:rFonts w:ascii="Times New Roman" w:cs="Times New Roman" w:eastAsia="Times New Roman" w:hAnsi="Times New Roman"/>
          <w:sz w:val="18"/>
          <w:szCs w:val="18"/>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consolidated statements of financial condition. See Note 13.</w:t>
      </w:r>
    </w:p>
    <w:p>
      <w:pPr>
        <w:spacing w:after="0" w:line="176"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8.</w:t>
      </w:r>
    </w:p>
    <w:p>
      <w:pPr>
        <w:spacing w:after="0" w:line="184" w:lineRule="exact"/>
        <w:rPr>
          <w:sz w:val="20"/>
          <w:szCs w:val="20"/>
          <w:color w:val="auto"/>
        </w:rPr>
      </w:pPr>
    </w:p>
    <w:p>
      <w:pPr>
        <w:ind w:right="40"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Investments Measured at Net Asset Value (“NAV”)</w:t>
      </w:r>
      <w:r>
        <w:rPr>
          <w:rFonts w:ascii="Times New Roman" w:cs="Times New Roman" w:eastAsia="Times New Roman" w:hAnsi="Times New Roman"/>
          <w:sz w:val="18"/>
          <w:szCs w:val="18"/>
          <w:color w:val="auto"/>
        </w:rPr>
        <w:t>—As a practical expedient, the Company uses NAV or its equivalent to measure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1" w:lineRule="exact"/>
        <w:rPr>
          <w:sz w:val="20"/>
          <w:szCs w:val="20"/>
          <w:color w:val="auto"/>
        </w:rPr>
      </w:pPr>
    </w:p>
    <w:p>
      <w:pPr>
        <w:ind w:right="8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tables present, as of December 31, 2018 and 2017, the classification of (i) investments and certain other assets and liabilities measured at fair value on a recurring basis within the fair value hierarchy and (ii) investments measured at NAV or its equivalent as a practical expedient: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202,874</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515,743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586,605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344,660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80,378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198,417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198,417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30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changes in fair value of the Company’s Level 3 assets and liabilities for the years ended December 31, 2018, 2017 and 2016:</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6"/>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Gains/Losses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 (a)</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Equities</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(18,932)</w:t>
            </w:r>
          </w:p>
        </w:tc>
        <w:tc>
          <w:tcPr>
            <w:tcW w:w="2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3 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(18,932</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4"/>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Gains/Losses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 (a)</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Equities</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1,508</w:t>
            </w: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9"/>
                <w:szCs w:val="19"/>
                <w:color w:val="auto"/>
              </w:rPr>
            </w:pPr>
          </w:p>
        </w:tc>
        <w:tc>
          <w:tcPr>
            <w:tcW w:w="2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38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(1,669)</w:t>
            </w: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1,508</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20" w:type="dxa"/>
            <w:vAlign w:val="bottom"/>
            <w:tcBorders>
              <w:bottom w:val="single" w:sz="8" w:color="CFF0FC"/>
            </w:tcBorders>
            <w:gridSpan w:val="2"/>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22,608</w:t>
            </w: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80" w:type="dxa"/>
            <w:vAlign w:val="bottom"/>
            <w:shd w:val="clear" w:color="auto" w:fill="CFF0FC"/>
          </w:tcPr>
          <w:p>
            <w:pPr>
              <w:spacing w:after="0"/>
              <w:rPr>
                <w:sz w:val="19"/>
                <w:szCs w:val="19"/>
                <w:color w:val="auto"/>
              </w:rPr>
            </w:pPr>
          </w:p>
        </w:tc>
        <w:tc>
          <w:tcPr>
            <w:tcW w:w="2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22,608</w:t>
            </w:r>
          </w:p>
        </w:tc>
        <w:tc>
          <w:tcPr>
            <w:tcW w:w="1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99" w:name="page100"/>
    <w:bookmarkEnd w:id="9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2016</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Gains/Losses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Dispositions/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(a)</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8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32,725</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right="60" w:hanging="592"/>
        <w:spacing w:after="0" w:line="258" w:lineRule="auto"/>
        <w:tabs>
          <w:tab w:leader="none" w:pos="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recorded in “other revenue” for investments in equities for the years ended December 31, 2018, 2017 and 2016 include net unrealized gains of $61, $12 and $243, respectively. Earnings recorded in “amortization and other acquisition-related (benefits) costs” for the contingent consideration liability for the years ended December 31, 2018, 2017 and 2016 include unrealized (gains) losses of $(18,932), $6,582 and $2,658, respectively, and, for the year ended December 31, 2016, realized losses of $30,067 due to the change in the fair value of contingent consideration associated with the Edgewater business acquisition.</w:t>
      </w:r>
    </w:p>
    <w:p>
      <w:pPr>
        <w:spacing w:after="0" w:line="184"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There were no transfers between any of the Level 1, 2 and 3 categories in the fair value measurement hierarchy during the years ended December 31, 2018 and 2017.</w:t>
      </w:r>
    </w:p>
    <w:p>
      <w:pPr>
        <w:spacing w:after="0" w:line="158" w:lineRule="exact"/>
        <w:rPr>
          <w:sz w:val="20"/>
          <w:szCs w:val="20"/>
          <w:color w:val="auto"/>
        </w:rPr>
      </w:pPr>
    </w:p>
    <w:p>
      <w:pPr>
        <w:ind w:right="320" w:firstLine="59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r>
        <w:rPr>
          <w:rFonts w:ascii="Times New Roman" w:cs="Times New Roman" w:eastAsia="Times New Roman" w:hAnsi="Times New Roman"/>
          <w:sz w:val="18"/>
          <w:szCs w:val="18"/>
          <w:color w:val="auto"/>
        </w:rPr>
        <w:t>The tables below present the carrying value, fair value and fair value hierarchy category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financial instruments as of December 31, 2018 and 2017 that are not measured at fair value in the Company’s consolidated statement of financial condition, and excludes certain financial instruments such as equity method investments.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6"/>
          </w:tcPr>
          <w:p>
            <w:pPr>
              <w:jc w:val="center"/>
              <w:ind w:left="734"/>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1,246,537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1,246,537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1,246,537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with banks and short-term</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1,006,969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1,006,969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1,006,969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with clearing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organizations and other segregated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Interest-bearing financing receivables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91,765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 (included within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1,154,207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1,154,207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1,154,207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debt</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1,434,260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1,429,280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1,429,280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6"/>
          </w:tcPr>
          <w:p>
            <w:pPr>
              <w:jc w:val="center"/>
              <w:ind w:left="734"/>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0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4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1,483,836</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1,483,836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1,483,836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with banks and short-term investments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with clearing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organizations and other segregated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Interest-bearing financing receivables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80,536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82,492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 (included within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992,338</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992,338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992,338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debt</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1,190,383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1,230,254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1,230,254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Cash and cash equivalents are carried at either cost or amortized cost that approximates fair value due to their short-term maturities.</w:t>
      </w:r>
    </w:p>
    <w:p>
      <w:pPr>
        <w:spacing w:after="0" w:line="225" w:lineRule="exact"/>
        <w:rPr>
          <w:sz w:val="20"/>
          <w:szCs w:val="20"/>
          <w:color w:val="auto"/>
        </w:rPr>
      </w:pPr>
    </w:p>
    <w:p>
      <w:pPr>
        <w:ind w:right="400" w:firstLine="598"/>
        <w:spacing w:after="0" w:line="282" w:lineRule="auto"/>
        <w:rPr>
          <w:sz w:val="20"/>
          <w:szCs w:val="20"/>
          <w:color w:val="auto"/>
        </w:rPr>
      </w:pPr>
      <w:r>
        <w:rPr>
          <w:rFonts w:ascii="Times New Roman" w:cs="Times New Roman" w:eastAsia="Times New Roman" w:hAnsi="Times New Roman"/>
          <w:sz w:val="18"/>
          <w:szCs w:val="18"/>
          <w:color w:val="auto"/>
        </w:rPr>
        <w:t>The carrying value of deposits with banks and short-term investments, and cash deposited with clearing organizations and other segregated cash, approximates fair value because of the relatively short period of time between their origination and expected maturity.</w:t>
      </w:r>
    </w:p>
    <w:p>
      <w:pPr>
        <w:spacing w:after="0" w:line="162" w:lineRule="exact"/>
        <w:rPr>
          <w:sz w:val="20"/>
          <w:szCs w:val="20"/>
          <w:color w:val="auto"/>
        </w:rPr>
      </w:pPr>
    </w:p>
    <w:p>
      <w:pPr>
        <w:ind w:right="180" w:firstLine="598"/>
        <w:spacing w:after="0" w:line="282" w:lineRule="auto"/>
        <w:rPr>
          <w:sz w:val="20"/>
          <w:szCs w:val="20"/>
          <w:color w:val="auto"/>
        </w:rPr>
      </w:pPr>
      <w:r>
        <w:rPr>
          <w:rFonts w:ascii="Times New Roman" w:cs="Times New Roman" w:eastAsia="Times New Roman" w:hAnsi="Times New Roman"/>
          <w:sz w:val="18"/>
          <w:szCs w:val="18"/>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162" w:lineRule="exact"/>
        <w:rPr>
          <w:sz w:val="20"/>
          <w:szCs w:val="20"/>
          <w:color w:val="auto"/>
        </w:rPr>
      </w:pPr>
    </w:p>
    <w:p>
      <w:pPr>
        <w:ind w:right="540" w:firstLine="598"/>
        <w:spacing w:after="0" w:line="282" w:lineRule="auto"/>
        <w:rPr>
          <w:sz w:val="20"/>
          <w:szCs w:val="20"/>
          <w:color w:val="auto"/>
        </w:rPr>
      </w:pPr>
      <w:r>
        <w:rPr>
          <w:rFonts w:ascii="Times New Roman" w:cs="Times New Roman" w:eastAsia="Times New Roman" w:hAnsi="Times New Roman"/>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6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The Company’s senior debt is carried at historical amounts. The fair value of the Company’s senior debt is based on market quotations.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tables present, at December 31, 2018 and 2017, certain investments that are valued using NAV or its equivalent as a practical expedient in determining fair value: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40" w:type="dxa"/>
            <w:vAlign w:val="bottom"/>
            <w:gridSpan w:val="7"/>
          </w:tcPr>
          <w:p>
            <w:pPr>
              <w:ind w:left="700"/>
              <w:spacing w:after="0" w:line="139" w:lineRule="exact"/>
              <w:rPr>
                <w:sz w:val="20"/>
                <w:szCs w:val="20"/>
                <w:color w:val="auto"/>
              </w:rPr>
            </w:pPr>
            <w:r>
              <w:rPr>
                <w:rFonts w:ascii="Times New Roman" w:cs="Times New Roman" w:eastAsia="Times New Roman" w:hAnsi="Times New Roman"/>
                <w:sz w:val="14"/>
                <w:szCs w:val="14"/>
                <w:b w:val="1"/>
                <w:bCs w:val="1"/>
                <w:color w:val="auto"/>
              </w:rPr>
              <w:t>Estimated Liquidation Period of</w:t>
            </w:r>
          </w:p>
        </w:tc>
        <w:tc>
          <w:tcPr>
            <w:tcW w:w="2180" w:type="dxa"/>
            <w:vAlign w:val="bottom"/>
            <w:gridSpan w:val="3"/>
          </w:tcPr>
          <w:p>
            <w:pPr>
              <w:jc w:val="right"/>
              <w:ind w:right="686"/>
              <w:spacing w:after="0" w:line="13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65"/>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248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w w:val="95"/>
              </w:rPr>
              <w:t>Investments Not Redeemable</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666"/>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3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Pr>
          <w:p>
            <w:pPr>
              <w:spacing w:after="0"/>
              <w:rPr>
                <w:sz w:val="12"/>
                <w:szCs w:val="12"/>
                <w:color w:val="auto"/>
              </w:rPr>
            </w:pPr>
          </w:p>
        </w:tc>
        <w:tc>
          <w:tcPr>
            <w:tcW w:w="920" w:type="dxa"/>
            <w:vAlign w:val="bottom"/>
          </w:tcPr>
          <w:p>
            <w:pPr>
              <w:jc w:val="right"/>
              <w:ind w:right="32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Not</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Next</w:t>
            </w:r>
          </w:p>
        </w:tc>
        <w:tc>
          <w:tcPr>
            <w:tcW w:w="920" w:type="dxa"/>
            <w:vAlign w:val="bottom"/>
          </w:tcPr>
          <w:p>
            <w:pPr>
              <w:jc w:val="right"/>
              <w:ind w:right="266"/>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Redemption</w:t>
            </w:r>
          </w:p>
        </w:tc>
        <w:tc>
          <w:tcPr>
            <w:tcW w:w="1040" w:type="dxa"/>
            <w:vAlign w:val="bottom"/>
          </w:tcPr>
          <w:p>
            <w:pPr>
              <w:jc w:val="right"/>
              <w:ind w:right="106"/>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65"/>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13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Frequency</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Notice Period</w:t>
            </w:r>
          </w:p>
        </w:tc>
        <w:tc>
          <w:tcPr>
            <w:tcW w:w="0" w:type="dxa"/>
            <w:vAlign w:val="bottom"/>
          </w:tcPr>
          <w:p>
            <w:pPr>
              <w:spacing w:after="0"/>
              <w:rPr>
                <w:sz w:val="1"/>
                <w:szCs w:val="1"/>
                <w:color w:val="auto"/>
              </w:rPr>
            </w:pPr>
          </w:p>
        </w:tc>
      </w:tr>
      <w:tr>
        <w:trPr>
          <w:trHeight w:val="169"/>
        </w:trPr>
        <w:tc>
          <w:tcPr>
            <w:tcW w:w="198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Alternative investment funds:</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Hedge funds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NA</w:t>
            </w: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(a)</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30-60 days</w:t>
            </w:r>
          </w:p>
        </w:tc>
        <w:tc>
          <w:tcPr>
            <w:tcW w:w="0" w:type="dxa"/>
            <w:vAlign w:val="bottom"/>
          </w:tcPr>
          <w:p>
            <w:pPr>
              <w:spacing w:after="0"/>
              <w:rPr>
                <w:sz w:val="1"/>
                <w:szCs w:val="1"/>
                <w:color w:val="auto"/>
              </w:rPr>
            </w:pPr>
          </w:p>
        </w:tc>
      </w:tr>
      <w:tr>
        <w:trPr>
          <w:trHeight w:val="176"/>
        </w:trPr>
        <w:tc>
          <w:tcPr>
            <w:tcW w:w="1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Funds of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18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0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(b)</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&gt;90 days</w:t>
            </w:r>
          </w:p>
        </w:tc>
        <w:tc>
          <w:tcPr>
            <w:tcW w:w="0" w:type="dxa"/>
            <w:vAlign w:val="bottom"/>
          </w:tcPr>
          <w:p>
            <w:pPr>
              <w:spacing w:after="0"/>
              <w:rPr>
                <w:sz w:val="1"/>
                <w:szCs w:val="1"/>
                <w:color w:val="auto"/>
              </w:rPr>
            </w:pPr>
          </w:p>
        </w:tc>
      </w:tr>
      <w:tr>
        <w:trPr>
          <w:trHeight w:val="176"/>
        </w:trPr>
        <w:tc>
          <w:tcPr>
            <w:tcW w:w="19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NA</w:t>
            </w: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(c)</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&lt;30-30 days</w:t>
            </w:r>
          </w:p>
        </w:tc>
        <w:tc>
          <w:tcPr>
            <w:tcW w:w="0" w:type="dxa"/>
            <w:vAlign w:val="bottom"/>
          </w:tcPr>
          <w:p>
            <w:pPr>
              <w:spacing w:after="0"/>
              <w:rPr>
                <w:sz w:val="1"/>
                <w:szCs w:val="1"/>
                <w:color w:val="auto"/>
              </w:rPr>
            </w:pPr>
          </w:p>
        </w:tc>
      </w:tr>
      <w:tr>
        <w:trPr>
          <w:trHeight w:val="17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Debt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18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0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&lt;30 days</w:t>
            </w:r>
          </w:p>
        </w:tc>
        <w:tc>
          <w:tcPr>
            <w:tcW w:w="0" w:type="dxa"/>
            <w:vAlign w:val="bottom"/>
          </w:tcPr>
          <w:p>
            <w:pPr>
              <w:spacing w:after="0"/>
              <w:rPr>
                <w:sz w:val="1"/>
                <w:szCs w:val="1"/>
                <w:color w:val="auto"/>
              </w:rPr>
            </w:pPr>
          </w:p>
        </w:tc>
      </w:tr>
      <w:tr>
        <w:trPr>
          <w:trHeight w:val="176"/>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Equity funds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NA</w:t>
            </w: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(e)</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&lt;30-90 days</w:t>
            </w:r>
          </w:p>
        </w:tc>
        <w:tc>
          <w:tcPr>
            <w:tcW w:w="0" w:type="dxa"/>
            <w:vAlign w:val="bottom"/>
          </w:tcPr>
          <w:p>
            <w:pPr>
              <w:spacing w:after="0"/>
              <w:rPr>
                <w:sz w:val="1"/>
                <w:szCs w:val="1"/>
                <w:color w:val="auto"/>
              </w:rPr>
            </w:pPr>
          </w:p>
        </w:tc>
      </w:tr>
      <w:tr>
        <w:trPr>
          <w:trHeight w:val="17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Private equity funds:</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Equity growth</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56,343</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8,338</w:t>
            </w:r>
          </w:p>
        </w:tc>
        <w:tc>
          <w:tcPr>
            <w:tcW w:w="4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5"/>
                <w:szCs w:val="15"/>
                <w:color w:val="auto"/>
              </w:rPr>
              <w:t>(f)</w:t>
            </w:r>
          </w:p>
        </w:tc>
        <w:tc>
          <w:tcPr>
            <w:tcW w:w="1160" w:type="dxa"/>
            <w:vAlign w:val="bottom"/>
            <w:tcBorders>
              <w:bottom w:val="single" w:sz="8" w:color="CFF0FC"/>
            </w:tcBorders>
            <w:gridSpan w:val="2"/>
          </w:tcPr>
          <w:p>
            <w:pPr>
              <w:ind w:left="660"/>
              <w:spacing w:after="0"/>
              <w:rPr>
                <w:sz w:val="20"/>
                <w:szCs w:val="20"/>
                <w:color w:val="auto"/>
              </w:rPr>
            </w:pPr>
            <w:r>
              <w:rPr>
                <w:rFonts w:ascii="Times New Roman" w:cs="Times New Roman" w:eastAsia="Times New Roman" w:hAnsi="Times New Roman"/>
                <w:sz w:val="15"/>
                <w:szCs w:val="15"/>
                <w:color w:val="auto"/>
              </w:rPr>
              <w:t>100%</w:t>
            </w:r>
          </w:p>
        </w:tc>
        <w:tc>
          <w:tcPr>
            <w:tcW w:w="1180" w:type="dxa"/>
            <w:vAlign w:val="bottom"/>
            <w:tcBorders>
              <w:bottom w:val="single" w:sz="8" w:color="CFF0FC"/>
            </w:tcBorders>
            <w:gridSpan w:val="2"/>
          </w:tcPr>
          <w:p>
            <w:pPr>
              <w:ind w:left="760"/>
              <w:spacing w:after="0"/>
              <w:rPr>
                <w:sz w:val="20"/>
                <w:szCs w:val="20"/>
                <w:color w:val="auto"/>
              </w:rPr>
            </w:pPr>
            <w:r>
              <w:rPr>
                <w:rFonts w:ascii="Times New Roman" w:cs="Times New Roman" w:eastAsia="Times New Roman" w:hAnsi="Times New Roman"/>
                <w:sz w:val="15"/>
                <w:szCs w:val="15"/>
                <w:color w:val="auto"/>
              </w:rPr>
              <w:t>14%</w:t>
            </w:r>
          </w:p>
        </w:tc>
        <w:tc>
          <w:tcPr>
            <w:tcW w:w="1180" w:type="dxa"/>
            <w:vAlign w:val="bottom"/>
            <w:tcBorders>
              <w:bottom w:val="single" w:sz="8" w:color="CFF0FC"/>
            </w:tcBorders>
            <w:gridSpan w:val="2"/>
          </w:tcPr>
          <w:p>
            <w:pPr>
              <w:ind w:left="760"/>
              <w:spacing w:after="0"/>
              <w:rPr>
                <w:sz w:val="20"/>
                <w:szCs w:val="20"/>
                <w:color w:val="auto"/>
              </w:rPr>
            </w:pPr>
            <w:r>
              <w:rPr>
                <w:rFonts w:ascii="Times New Roman" w:cs="Times New Roman" w:eastAsia="Times New Roman" w:hAnsi="Times New Roman"/>
                <w:sz w:val="15"/>
                <w:szCs w:val="15"/>
                <w:color w:val="auto"/>
              </w:rPr>
              <w:t>34%</w:t>
            </w:r>
          </w:p>
        </w:tc>
        <w:tc>
          <w:tcPr>
            <w:tcW w:w="12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gridSpan w:val="2"/>
          </w:tcPr>
          <w:p>
            <w:pPr>
              <w:ind w:left="620"/>
              <w:spacing w:after="0"/>
              <w:rPr>
                <w:sz w:val="20"/>
                <w:szCs w:val="20"/>
                <w:color w:val="auto"/>
              </w:rPr>
            </w:pPr>
            <w:r>
              <w:rPr>
                <w:rFonts w:ascii="Times New Roman" w:cs="Times New Roman" w:eastAsia="Times New Roman" w:hAnsi="Times New Roman"/>
                <w:sz w:val="15"/>
                <w:szCs w:val="15"/>
                <w:color w:val="auto"/>
              </w:rPr>
              <w:t>52%</w:t>
            </w:r>
          </w:p>
        </w:tc>
        <w:tc>
          <w:tcPr>
            <w:tcW w:w="114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NA</w:t>
            </w:r>
          </w:p>
        </w:tc>
        <w:tc>
          <w:tcPr>
            <w:tcW w:w="10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69"/>
        </w:trPr>
        <w:tc>
          <w:tcPr>
            <w:tcW w:w="198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Total</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57,273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8,338</w:t>
            </w:r>
          </w:p>
        </w:tc>
        <w:tc>
          <w:tcPr>
            <w:tcW w:w="4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37" w:lineRule="exact"/>
        <w:rPr>
          <w:sz w:val="20"/>
          <w:szCs w:val="20"/>
          <w:color w:val="auto"/>
        </w:rPr>
      </w:pPr>
    </w:p>
    <w:p>
      <w:pPr>
        <w:ind w:left="600" w:hanging="592"/>
        <w:spacing w:after="0"/>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(100%)</w:t>
      </w:r>
    </w:p>
    <w:p>
      <w:pPr>
        <w:spacing w:after="0" w:line="27"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(100%)</w:t>
      </w:r>
    </w:p>
    <w:p>
      <w:pPr>
        <w:spacing w:after="0" w:line="22"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(6%) and monthly ( 94%)</w:t>
      </w:r>
    </w:p>
    <w:p>
      <w:pPr>
        <w:spacing w:after="0" w:line="22"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22"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(25%), monthly (70%) and annually (5%)</w:t>
      </w:r>
    </w:p>
    <w:p>
      <w:pPr>
        <w:spacing w:after="0" w:line="22" w:lineRule="exact"/>
        <w:rPr>
          <w:rFonts w:ascii="Times New Roman" w:cs="Times New Roman" w:eastAsia="Times New Roman" w:hAnsi="Times New Roman"/>
          <w:sz w:val="18"/>
          <w:szCs w:val="18"/>
          <w:color w:val="auto"/>
        </w:rPr>
      </w:pPr>
    </w:p>
    <w:p>
      <w:pPr>
        <w:ind w:left="600" w:right="620" w:hanging="592"/>
        <w:spacing w:after="0" w:line="276" w:lineRule="auto"/>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$14,437 are excluded. Such commitments are required to be funded by capital contributions from noncontrolling interest holders.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00" w:type="dxa"/>
            <w:vAlign w:val="bottom"/>
            <w:gridSpan w:val="7"/>
          </w:tcPr>
          <w:p>
            <w:pPr>
              <w:ind w:left="680"/>
              <w:spacing w:after="0" w:line="139" w:lineRule="exact"/>
              <w:rPr>
                <w:sz w:val="20"/>
                <w:szCs w:val="20"/>
                <w:color w:val="auto"/>
              </w:rPr>
            </w:pPr>
            <w:r>
              <w:rPr>
                <w:rFonts w:ascii="Times New Roman" w:cs="Times New Roman" w:eastAsia="Times New Roman" w:hAnsi="Times New Roman"/>
                <w:sz w:val="14"/>
                <w:szCs w:val="14"/>
                <w:b w:val="1"/>
                <w:bCs w:val="1"/>
                <w:color w:val="auto"/>
              </w:rPr>
              <w:t>Estimated Liquidation Period of</w:t>
            </w:r>
          </w:p>
        </w:tc>
        <w:tc>
          <w:tcPr>
            <w:tcW w:w="2200" w:type="dxa"/>
            <w:vAlign w:val="bottom"/>
            <w:gridSpan w:val="3"/>
          </w:tcPr>
          <w:p>
            <w:pPr>
              <w:jc w:val="right"/>
              <w:ind w:right="686"/>
              <w:spacing w:after="0" w:line="13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65"/>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24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w w:val="95"/>
              </w:rPr>
              <w:t>Investments Not Redeemable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686"/>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39"/>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60" w:type="dxa"/>
            <w:vAlign w:val="bottom"/>
          </w:tcPr>
          <w:p>
            <w:pPr>
              <w:spacing w:after="0"/>
              <w:rPr>
                <w:sz w:val="12"/>
                <w:szCs w:val="12"/>
                <w:color w:val="auto"/>
              </w:rPr>
            </w:pPr>
          </w:p>
        </w:tc>
        <w:tc>
          <w:tcPr>
            <w:tcW w:w="900" w:type="dxa"/>
            <w:vAlign w:val="bottom"/>
          </w:tcPr>
          <w:p>
            <w:pPr>
              <w:jc w:val="right"/>
              <w:ind w:right="30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Not</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Next</w:t>
            </w:r>
          </w:p>
        </w:tc>
        <w:tc>
          <w:tcPr>
            <w:tcW w:w="900" w:type="dxa"/>
            <w:vAlign w:val="bottom"/>
          </w:tcPr>
          <w:p>
            <w:pPr>
              <w:jc w:val="right"/>
              <w:ind w:right="246"/>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Redemption</w:t>
            </w:r>
          </w:p>
        </w:tc>
        <w:tc>
          <w:tcPr>
            <w:tcW w:w="1060" w:type="dxa"/>
            <w:vAlign w:val="bottom"/>
          </w:tcPr>
          <w:p>
            <w:pPr>
              <w:jc w:val="right"/>
              <w:ind w:right="106"/>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65"/>
        </w:trPr>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2"/>
              </w:rPr>
              <w:t>5 Years</w:t>
            </w:r>
          </w:p>
        </w:tc>
        <w:tc>
          <w:tcPr>
            <w:tcW w:w="13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Frequency</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Notice Period</w:t>
            </w:r>
          </w:p>
        </w:tc>
        <w:tc>
          <w:tcPr>
            <w:tcW w:w="0" w:type="dxa"/>
            <w:vAlign w:val="bottom"/>
          </w:tcPr>
          <w:p>
            <w:pPr>
              <w:spacing w:after="0"/>
              <w:rPr>
                <w:sz w:val="1"/>
                <w:szCs w:val="1"/>
                <w:color w:val="auto"/>
              </w:rPr>
            </w:pPr>
          </w:p>
        </w:tc>
      </w:tr>
      <w:tr>
        <w:trPr>
          <w:trHeight w:val="169"/>
        </w:trPr>
        <w:tc>
          <w:tcPr>
            <w:tcW w:w="198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Alternative investment funds:</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Hedge funds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5"/>
                <w:szCs w:val="15"/>
                <w:color w:val="auto"/>
              </w:rPr>
              <w:t>NA</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(a)</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&lt;30-60 days</w:t>
            </w:r>
          </w:p>
        </w:tc>
        <w:tc>
          <w:tcPr>
            <w:tcW w:w="0" w:type="dxa"/>
            <w:vAlign w:val="bottom"/>
          </w:tcPr>
          <w:p>
            <w:pPr>
              <w:spacing w:after="0"/>
              <w:rPr>
                <w:sz w:val="1"/>
                <w:szCs w:val="1"/>
                <w:color w:val="auto"/>
              </w:rPr>
            </w:pPr>
          </w:p>
        </w:tc>
      </w:tr>
      <w:tr>
        <w:trPr>
          <w:trHeight w:val="176"/>
        </w:trPr>
        <w:tc>
          <w:tcPr>
            <w:tcW w:w="1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Funds of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5"/>
                <w:szCs w:val="15"/>
                <w:color w:val="auto"/>
              </w:rPr>
              <w:t>NA</w:t>
            </w:r>
          </w:p>
        </w:tc>
        <w:tc>
          <w:tcPr>
            <w:tcW w:w="11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0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(b)</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&lt;30-90 days</w:t>
            </w:r>
          </w:p>
        </w:tc>
        <w:tc>
          <w:tcPr>
            <w:tcW w:w="0" w:type="dxa"/>
            <w:vAlign w:val="bottom"/>
          </w:tcPr>
          <w:p>
            <w:pPr>
              <w:spacing w:after="0"/>
              <w:rPr>
                <w:sz w:val="1"/>
                <w:szCs w:val="1"/>
                <w:color w:val="auto"/>
              </w:rPr>
            </w:pPr>
          </w:p>
        </w:tc>
      </w:tr>
      <w:tr>
        <w:trPr>
          <w:trHeight w:val="176"/>
        </w:trPr>
        <w:tc>
          <w:tcPr>
            <w:tcW w:w="19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5"/>
                <w:szCs w:val="15"/>
                <w:color w:val="auto"/>
              </w:rPr>
              <w:t>NA</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(c)</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&lt;30-60 days</w:t>
            </w:r>
          </w:p>
        </w:tc>
        <w:tc>
          <w:tcPr>
            <w:tcW w:w="0" w:type="dxa"/>
            <w:vAlign w:val="bottom"/>
          </w:tcPr>
          <w:p>
            <w:pPr>
              <w:spacing w:after="0"/>
              <w:rPr>
                <w:sz w:val="1"/>
                <w:szCs w:val="1"/>
                <w:color w:val="auto"/>
              </w:rPr>
            </w:pPr>
          </w:p>
        </w:tc>
      </w:tr>
      <w:tr>
        <w:trPr>
          <w:trHeight w:val="17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Debt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5"/>
                <w:szCs w:val="15"/>
                <w:color w:val="auto"/>
              </w:rPr>
              <w:t>NA</w:t>
            </w:r>
          </w:p>
        </w:tc>
        <w:tc>
          <w:tcPr>
            <w:tcW w:w="11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30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04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 days</w:t>
            </w:r>
          </w:p>
        </w:tc>
        <w:tc>
          <w:tcPr>
            <w:tcW w:w="0" w:type="dxa"/>
            <w:vAlign w:val="bottom"/>
          </w:tcPr>
          <w:p>
            <w:pPr>
              <w:spacing w:after="0"/>
              <w:rPr>
                <w:sz w:val="1"/>
                <w:szCs w:val="1"/>
                <w:color w:val="auto"/>
              </w:rPr>
            </w:pPr>
          </w:p>
        </w:tc>
      </w:tr>
      <w:tr>
        <w:trPr>
          <w:trHeight w:val="176"/>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Equity funds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5"/>
                <w:szCs w:val="15"/>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5"/>
                <w:szCs w:val="15"/>
                <w:color w:val="auto"/>
              </w:rPr>
              <w:t>NA</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5"/>
                <w:szCs w:val="15"/>
                <w:color w:val="auto"/>
              </w:rPr>
              <w:t>NA</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NA</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(e)</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&lt;30-90 days</w:t>
            </w:r>
          </w:p>
        </w:tc>
        <w:tc>
          <w:tcPr>
            <w:tcW w:w="0" w:type="dxa"/>
            <w:vAlign w:val="bottom"/>
          </w:tcPr>
          <w:p>
            <w:pPr>
              <w:spacing w:after="0"/>
              <w:rPr>
                <w:sz w:val="1"/>
                <w:szCs w:val="1"/>
                <w:color w:val="auto"/>
              </w:rPr>
            </w:pPr>
          </w:p>
        </w:tc>
      </w:tr>
      <w:tr>
        <w:trPr>
          <w:trHeight w:val="17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Private equity funds:</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5"/>
                <w:szCs w:val="15"/>
                <w:color w:val="auto"/>
              </w:rPr>
              <w:t>Equity growth</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76,679</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10,300</w:t>
            </w:r>
          </w:p>
        </w:tc>
        <w:tc>
          <w:tcPr>
            <w:tcW w:w="4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5"/>
                <w:szCs w:val="15"/>
                <w:color w:val="auto"/>
              </w:rPr>
              <w:t>(f)</w:t>
            </w:r>
          </w:p>
        </w:tc>
        <w:tc>
          <w:tcPr>
            <w:tcW w:w="1160" w:type="dxa"/>
            <w:vAlign w:val="bottom"/>
            <w:tcBorders>
              <w:bottom w:val="single" w:sz="8" w:color="CFF0FC"/>
            </w:tcBorders>
            <w:gridSpan w:val="2"/>
          </w:tcPr>
          <w:p>
            <w:pPr>
              <w:ind w:left="660"/>
              <w:spacing w:after="0"/>
              <w:rPr>
                <w:sz w:val="20"/>
                <w:szCs w:val="20"/>
                <w:color w:val="auto"/>
              </w:rPr>
            </w:pPr>
            <w:r>
              <w:rPr>
                <w:rFonts w:ascii="Times New Roman" w:cs="Times New Roman" w:eastAsia="Times New Roman" w:hAnsi="Times New Roman"/>
                <w:sz w:val="15"/>
                <w:szCs w:val="15"/>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Times New Roman" w:cs="Times New Roman" w:eastAsia="Times New Roman" w:hAnsi="Times New Roman"/>
                <w:sz w:val="15"/>
                <w:szCs w:val="15"/>
                <w:color w:val="auto"/>
              </w:rPr>
              <w:t>16%</w:t>
            </w:r>
          </w:p>
        </w:tc>
        <w:tc>
          <w:tcPr>
            <w:tcW w:w="1160" w:type="dxa"/>
            <w:vAlign w:val="bottom"/>
            <w:tcBorders>
              <w:bottom w:val="single" w:sz="8" w:color="CFF0FC"/>
            </w:tcBorders>
            <w:gridSpan w:val="2"/>
          </w:tcPr>
          <w:p>
            <w:pPr>
              <w:ind w:left="740"/>
              <w:spacing w:after="0"/>
              <w:rPr>
                <w:sz w:val="20"/>
                <w:szCs w:val="20"/>
                <w:color w:val="auto"/>
              </w:rPr>
            </w:pPr>
            <w:r>
              <w:rPr>
                <w:rFonts w:ascii="Times New Roman" w:cs="Times New Roman" w:eastAsia="Times New Roman" w:hAnsi="Times New Roman"/>
                <w:sz w:val="15"/>
                <w:szCs w:val="15"/>
                <w:color w:val="auto"/>
              </w:rPr>
              <w:t>38%</w:t>
            </w:r>
          </w:p>
        </w:tc>
        <w:tc>
          <w:tcPr>
            <w:tcW w:w="140" w:type="dxa"/>
            <w:vAlign w:val="bottom"/>
            <w:tcBorders>
              <w:bottom w:val="single" w:sz="8" w:color="CFF0FC"/>
            </w:tcBorders>
          </w:tcPr>
          <w:p>
            <w:pPr>
              <w:spacing w:after="0"/>
              <w:rPr>
                <w:sz w:val="15"/>
                <w:szCs w:val="15"/>
                <w:color w:val="auto"/>
              </w:rPr>
            </w:pPr>
          </w:p>
        </w:tc>
        <w:tc>
          <w:tcPr>
            <w:tcW w:w="1040" w:type="dxa"/>
            <w:vAlign w:val="bottom"/>
            <w:tcBorders>
              <w:bottom w:val="single" w:sz="8" w:color="CFF0FC"/>
            </w:tcBorders>
            <w:gridSpan w:val="2"/>
          </w:tcPr>
          <w:p>
            <w:pPr>
              <w:ind w:left="620"/>
              <w:spacing w:after="0"/>
              <w:rPr>
                <w:sz w:val="20"/>
                <w:szCs w:val="20"/>
                <w:color w:val="auto"/>
              </w:rPr>
            </w:pPr>
            <w:r>
              <w:rPr>
                <w:rFonts w:ascii="Times New Roman" w:cs="Times New Roman" w:eastAsia="Times New Roman" w:hAnsi="Times New Roman"/>
                <w:sz w:val="15"/>
                <w:szCs w:val="15"/>
                <w:color w:val="auto"/>
              </w:rPr>
              <w:t>46%</w:t>
            </w:r>
          </w:p>
        </w:tc>
        <w:tc>
          <w:tcPr>
            <w:tcW w:w="114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NA</w:t>
            </w:r>
          </w:p>
        </w:tc>
        <w:tc>
          <w:tcPr>
            <w:tcW w:w="10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69"/>
        </w:trPr>
        <w:tc>
          <w:tcPr>
            <w:tcW w:w="198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80,378</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10,300</w:t>
            </w:r>
          </w:p>
        </w:tc>
        <w:tc>
          <w:tcPr>
            <w:tcW w:w="40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37" w:lineRule="exact"/>
        <w:rPr>
          <w:sz w:val="20"/>
          <w:szCs w:val="20"/>
          <w:color w:val="auto"/>
        </w:rPr>
      </w:pPr>
    </w:p>
    <w:p>
      <w:pPr>
        <w:ind w:left="600" w:hanging="592"/>
        <w:spacing w:after="0"/>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(3%), monthly (5%) and quarterly (92%)</w:t>
      </w:r>
    </w:p>
    <w:p>
      <w:pPr>
        <w:spacing w:after="0" w:line="27"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(97%) and quarterly (3%)</w:t>
      </w:r>
    </w:p>
    <w:p>
      <w:pPr>
        <w:spacing w:after="0" w:line="22"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(6%) and monthly (94%)</w:t>
      </w:r>
    </w:p>
    <w:p>
      <w:pPr>
        <w:spacing w:after="0" w:line="22"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22"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(18%), monthly (50%) and quarterly (32%)</w:t>
      </w:r>
    </w:p>
    <w:p>
      <w:pPr>
        <w:spacing w:after="0" w:line="22" w:lineRule="exact"/>
        <w:rPr>
          <w:rFonts w:ascii="Times New Roman" w:cs="Times New Roman" w:eastAsia="Times New Roman" w:hAnsi="Times New Roman"/>
          <w:sz w:val="18"/>
          <w:szCs w:val="18"/>
          <w:color w:val="auto"/>
        </w:rPr>
      </w:pPr>
    </w:p>
    <w:p>
      <w:pPr>
        <w:ind w:left="600" w:right="60" w:hanging="592"/>
        <w:spacing w:after="0" w:line="276" w:lineRule="auto"/>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$5,902 are excluded. Such commitments are required to be funded by capital contributions from noncontrolling interest holders.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2" w:name="page103"/>
    <w:bookmarkEnd w:id="10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0" w:lineRule="exact"/>
        <w:rPr>
          <w:sz w:val="20"/>
          <w:szCs w:val="20"/>
          <w:color w:val="auto"/>
        </w:rPr>
      </w:pPr>
    </w:p>
    <w:p>
      <w:pPr>
        <w:ind w:right="180" w:firstLine="59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Investment Capital Funding Commitments—</w:t>
      </w:r>
      <w:r>
        <w:rPr>
          <w:rFonts w:ascii="Times New Roman" w:cs="Times New Roman" w:eastAsia="Times New Roman" w:hAnsi="Times New Roman"/>
          <w:sz w:val="18"/>
          <w:szCs w:val="18"/>
          <w:color w:val="auto"/>
        </w:rPr>
        <w:t>At December 31, 2018, the Company’s maximum unfunded commitments for capital contributions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funds primarily arose from commitments to EGCP III, which amounted to $7,602.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288" w:lineRule="exact"/>
        <w:rPr>
          <w:sz w:val="20"/>
          <w:szCs w:val="20"/>
          <w:color w:val="auto"/>
        </w:rPr>
      </w:pPr>
    </w:p>
    <w:p>
      <w:pPr>
        <w:ind w:left="600" w:hanging="592"/>
        <w:spacing w:after="0"/>
        <w:tabs>
          <w:tab w:leader="none" w:pos="600"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right="140" w:firstLine="598"/>
        <w:spacing w:after="0" w:line="261"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15) on the accompanying consolidated statements of financial condition as of December 31, 2018 and 2017:</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442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264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74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FF0FC"/>
          </w:tcPr>
          <w:p>
            <w:pPr>
              <w:spacing w:after="0"/>
              <w:rPr>
                <w:sz w:val="19"/>
                <w:szCs w:val="19"/>
                <w:color w:val="auto"/>
              </w:rPr>
            </w:pPr>
          </w:p>
        </w:tc>
      </w:tr>
      <w:tr>
        <w:trPr>
          <w:trHeight w:val="263"/>
        </w:trPr>
        <w:tc>
          <w:tcPr>
            <w:tcW w:w="1760" w:type="dxa"/>
            <w:vAlign w:val="bottom"/>
            <w:tcBorders>
              <w:bottom w:val="single" w:sz="8" w:color="CFF0FC"/>
            </w:tcBorders>
          </w:tcPr>
          <w:p>
            <w:pPr>
              <w:spacing w:after="0"/>
              <w:rPr>
                <w:sz w:val="22"/>
                <w:szCs w:val="22"/>
                <w:color w:val="auto"/>
              </w:rPr>
            </w:pPr>
          </w:p>
        </w:tc>
        <w:tc>
          <w:tcPr>
            <w:tcW w:w="442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2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264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74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11,270</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188,022</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182,301</w:t>
            </w:r>
          </w:p>
        </w:tc>
        <w:tc>
          <w:tcPr>
            <w:tcW w:w="120" w:type="dxa"/>
            <w:vAlign w:val="bottom"/>
            <w:tcBorders>
              <w:bottom w:val="single" w:sz="8" w:color="CFF0FC"/>
            </w:tcBorders>
          </w:tcPr>
          <w:p>
            <w:pPr>
              <w:spacing w:after="0"/>
              <w:rPr>
                <w:sz w:val="19"/>
                <w:szCs w:val="19"/>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44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188,962</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4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2" w:lineRule="exact"/>
        <w:rPr>
          <w:sz w:val="20"/>
          <w:szCs w:val="20"/>
          <w:color w:val="auto"/>
        </w:rPr>
      </w:pPr>
    </w:p>
    <w:p>
      <w:pPr>
        <w:ind w:left="600" w:right="100" w:hanging="592"/>
        <w:spacing w:after="0" w:line="261" w:lineRule="auto"/>
        <w:tabs>
          <w:tab w:leader="none" w:pos="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total return swaps, amounts represent the netting of gross derivative assets and liabilities of $10,792 and $369 as of December 31, 2018, respectively, and $469 and $11,321 as of December 31, 2017, respectively, for contracts with the same counterparty under legally enforceable master netting agreements. Such amounts are recorded “net” in “other assets”, with receivables for net cash collateral under such contracts of $17,616 as of December 31, 2017.</w:t>
      </w:r>
    </w:p>
    <w:p>
      <w:pPr>
        <w:spacing w:after="0" w:line="180" w:lineRule="exact"/>
        <w:rPr>
          <w:sz w:val="20"/>
          <w:szCs w:val="20"/>
          <w:color w:val="auto"/>
        </w:rPr>
      </w:pPr>
    </w:p>
    <w:p>
      <w:pPr>
        <w:ind w:right="480" w:firstLine="598"/>
        <w:spacing w:after="0" w:line="266" w:lineRule="auto"/>
        <w:rPr>
          <w:sz w:val="20"/>
          <w:szCs w:val="20"/>
          <w:color w:val="auto"/>
        </w:rPr>
      </w:pPr>
      <w:r>
        <w:rPr>
          <w:rFonts w:ascii="Times New Roman" w:cs="Times New Roman" w:eastAsia="Times New Roman" w:hAnsi="Times New Roman"/>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consolidated statements of operations for the years ended December 31, 2018, 2017 and 2016,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2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8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1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(23,526)</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return swaps and other</w:t>
            </w:r>
          </w:p>
        </w:tc>
        <w:tc>
          <w:tcPr>
            <w:tcW w:w="1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(15,709)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30,483</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(48,379)</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6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9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03" w:name="page104"/>
    <w:bookmarkEnd w:id="10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24" w:lineRule="exact"/>
        <w:rPr>
          <w:sz w:val="20"/>
          <w:szCs w:val="20"/>
          <w:color w:val="auto"/>
        </w:rPr>
      </w:pPr>
    </w:p>
    <w:p>
      <w:pPr>
        <w:ind w:left="600" w:hanging="592"/>
        <w:spacing w:after="0"/>
        <w:tabs>
          <w:tab w:leader="none" w:pos="600" w:val="left"/>
        </w:tabs>
        <w:numPr>
          <w:ilvl w:val="0"/>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w:t>
      </w:r>
    </w:p>
    <w:p>
      <w:pPr>
        <w:spacing w:after="0" w:line="121"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December 31, 2018 and 2017, property consisted of the following:</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Depreciable</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4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Life in Years</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145,034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151,912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188,956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173,102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204,585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183,541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552,716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523,128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339,770</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317,827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212,946</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205,301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600" w:hanging="592"/>
        <w:spacing w:after="0"/>
        <w:tabs>
          <w:tab w:leader="none" w:pos="600" w:val="left"/>
        </w:tabs>
        <w:numPr>
          <w:ilvl w:val="0"/>
          <w:numId w:val="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components of goodwill and other intangible assets at December 31, 2018 and 2017 are presented below:</w:t>
      </w: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371,561</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385,292</w:t>
            </w:r>
          </w:p>
        </w:tc>
        <w:tc>
          <w:tcPr>
            <w:tcW w:w="60" w:type="dxa"/>
            <w:vAlign w:val="bottom"/>
            <w:shd w:val="clear" w:color="auto" w:fill="CFF0FC"/>
          </w:tcPr>
          <w:p>
            <w:pPr>
              <w:spacing w:after="0"/>
              <w:rPr>
                <w:sz w:val="19"/>
                <w:szCs w:val="19"/>
                <w:color w:val="auto"/>
              </w:rPr>
            </w:pPr>
          </w:p>
        </w:tc>
      </w:tr>
      <w:tr>
        <w:trPr>
          <w:trHeight w:val="211"/>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54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60" w:type="dxa"/>
            <w:vAlign w:val="bottom"/>
            <w:tcBorders>
              <w:bottom w:val="single" w:sz="8" w:color="CFF0FC"/>
            </w:tcBorders>
          </w:tcPr>
          <w:p>
            <w:pPr>
              <w:spacing w:after="0"/>
              <w:rPr>
                <w:sz w:val="20"/>
                <w:szCs w:val="20"/>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375,318</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391,364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598"/>
        <w:spacing w:after="0" w:line="282" w:lineRule="auto"/>
        <w:rPr>
          <w:sz w:val="20"/>
          <w:szCs w:val="20"/>
          <w:color w:val="auto"/>
        </w:rPr>
      </w:pPr>
      <w:r>
        <w:rPr>
          <w:rFonts w:ascii="Times New Roman" w:cs="Times New Roman" w:eastAsia="Times New Roman" w:hAnsi="Times New Roman"/>
          <w:sz w:val="18"/>
          <w:szCs w:val="18"/>
          <w:color w:val="auto"/>
        </w:rPr>
        <w:t>At December 31, 2018 and 2017, goodwill of $307,020 and $320,751, respectively, was attributable to the Company’s Financial Advisory segment and, at each such respective date, $64,541 of goodwill was attributable to the Company’s Asset Management segment.</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Changes in the carrying amount of goodwill for the years ended December 31, 2018, 2017 and 2016 are as follows: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8"/>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6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373,117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320,761</w:t>
            </w:r>
          </w:p>
        </w:tc>
        <w:tc>
          <w:tcPr>
            <w:tcW w:w="8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54,631</w:t>
            </w:r>
          </w:p>
        </w:tc>
        <w:tc>
          <w:tcPr>
            <w:tcW w:w="8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(13,731)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(2,275)</w:t>
            </w: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385,292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373,117</w:t>
            </w:r>
          </w:p>
        </w:tc>
        <w:tc>
          <w:tcPr>
            <w:tcW w:w="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598"/>
        <w:spacing w:after="0" w:line="282" w:lineRule="auto"/>
        <w:rPr>
          <w:sz w:val="20"/>
          <w:szCs w:val="20"/>
          <w:color w:val="auto"/>
        </w:rPr>
      </w:pPr>
      <w:r>
        <w:rPr>
          <w:rFonts w:ascii="Times New Roman" w:cs="Times New Roman" w:eastAsia="Times New Roman" w:hAnsi="Times New Roman"/>
          <w:sz w:val="18"/>
          <w:szCs w:val="18"/>
          <w:color w:val="auto"/>
        </w:rPr>
        <w:t>All changes in the carrying amount of goodwill for the years ended December 31, 2018, 2017 and 2016 are attributable to the Company’s Financial Advisory segment.</w:t>
      </w:r>
    </w:p>
    <w:p>
      <w:pPr>
        <w:spacing w:after="0" w:line="162" w:lineRule="exact"/>
        <w:rPr>
          <w:sz w:val="20"/>
          <w:szCs w:val="20"/>
          <w:color w:val="auto"/>
        </w:rPr>
      </w:pPr>
    </w:p>
    <w:p>
      <w:pPr>
        <w:jc w:val="both"/>
        <w:ind w:firstLine="598"/>
        <w:spacing w:after="0" w:line="282" w:lineRule="auto"/>
        <w:rPr>
          <w:sz w:val="20"/>
          <w:szCs w:val="20"/>
          <w:color w:val="auto"/>
        </w:rPr>
      </w:pPr>
      <w:r>
        <w:rPr>
          <w:rFonts w:ascii="Times New Roman" w:cs="Times New Roman" w:eastAsia="Times New Roman" w:hAnsi="Times New Roman"/>
          <w:sz w:val="18"/>
          <w:szCs w:val="18"/>
          <w:color w:val="auto"/>
        </w:rPr>
        <w:t>The Company evaluates goodwill for impairment annually or more frequently if circumstances indicate that impairment may have occurred. Pursuant to the Company’s goodwill impairment review for the years ended December 31, 2018, 2017 and 2016, the Company determined that no impairment existed.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gross cost and accumulated amortization of other intangible assets as of December 31, 2018 and 2017, by major intangible asset category,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Success/incentive fees</w:t>
            </w:r>
          </w:p>
        </w:tc>
        <w:tc>
          <w:tcPr>
            <w:tcW w:w="7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32,235</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29,723</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customer relationships and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7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34,474</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33,714</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33,749</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33,376</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65,949</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69,171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63,099</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40" w:firstLine="598"/>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 assets, included in “amortization and other acquisition-related (benefits) costs” in the consolidated statements of operations, for the years ended December 31, 2018, 2017 and 2016 was $3,035, $2,932 and $2,522, respectively. Estimated future amortization expense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94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23"/>
        </w:trPr>
        <w:tc>
          <w:tcPr>
            <w:tcW w:w="9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0" w:hanging="592"/>
        <w:spacing w:after="0"/>
        <w:tabs>
          <w:tab w:leader="none" w:pos="600" w:val="left"/>
        </w:tabs>
        <w:numPr>
          <w:ilvl w:val="0"/>
          <w:numId w:val="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ASSETS AND OTHER LIABILITIES</w:t>
      </w:r>
    </w:p>
    <w:p>
      <w:pPr>
        <w:spacing w:after="0" w:line="121"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 sets forth the Company’s other assets, by type, as of December 31, 2018 and 2017:</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0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and other tax receivables</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Prepaid compensation (see Note 15)</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60,355</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advances and prepayments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66,266</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56,595</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80,567</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72,390</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258,634</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228,144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the Company’s other liabilities, by type, as of December 31, 2018 and 2017:</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Borders>
              <w:bottom w:val="single" w:sz="8" w:color="CFF0FC"/>
            </w:tcBorders>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166,112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155,551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taxes and other taxes</w:t>
            </w:r>
          </w:p>
        </w:tc>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123,548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benefit-related liabilities</w:t>
            </w:r>
          </w:p>
        </w:tc>
        <w:tc>
          <w:tcPr>
            <w:tcW w:w="3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Deferred lease liabilities</w:t>
            </w:r>
          </w:p>
        </w:tc>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Unclaimed funds at LFB</w:t>
            </w:r>
          </w:p>
        </w:tc>
        <w:tc>
          <w:tcPr>
            <w:tcW w:w="3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w:t>
            </w:r>
          </w:p>
        </w:tc>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3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3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32,434</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324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576,986</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573,588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4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11150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left="600" w:right="460" w:hanging="592"/>
        <w:spacing w:after="0" w:line="266" w:lineRule="auto"/>
        <w:tabs>
          <w:tab w:leader="none" w:pos="6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deferred revenue during the year ended December 31, 2018 principally relates to additional carried interest received from private equity investments that is subject to clawback. The revenue recognized during the current year related to the deferred revenue balance as of the beginning of the year was not material to the consolidated financial statements.</w:t>
      </w:r>
    </w:p>
    <w:p>
      <w:pPr>
        <w:spacing w:after="0" w:line="375" w:lineRule="exact"/>
        <w:rPr>
          <w:sz w:val="20"/>
          <w:szCs w:val="20"/>
          <w:color w:val="auto"/>
        </w:rPr>
      </w:pPr>
    </w:p>
    <w:p>
      <w:pPr>
        <w:ind w:left="600" w:hanging="592"/>
        <w:spacing w:after="0"/>
        <w:tabs>
          <w:tab w:leader="none" w:pos="600"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DEBT</w:t>
      </w:r>
    </w:p>
    <w:p>
      <w:pPr>
        <w:spacing w:after="0" w:line="121"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Senior debt is comprised of the following as of December 31, 2018 and 2017:</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Outstanding as of</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40" w:type="dxa"/>
            <w:vAlign w:val="bottom"/>
            <w:gridSpan w:val="2"/>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20" w:type="dxa"/>
            <w:vAlign w:val="bottom"/>
            <w:gridSpan w:val="4"/>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1"/>
                <w:szCs w:val="11"/>
                <w:color w:val="auto"/>
              </w:rPr>
            </w:pPr>
          </w:p>
        </w:tc>
        <w:tc>
          <w:tcPr>
            <w:tcW w:w="76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1"/>
                <w:szCs w:val="11"/>
                <w:color w:val="auto"/>
              </w:rPr>
            </w:pPr>
          </w:p>
        </w:tc>
        <w:tc>
          <w:tcPr>
            <w:tcW w:w="100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Rate(b)</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10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5"/>
        </w:trPr>
        <w:tc>
          <w:tcPr>
            <w:tcW w:w="1800" w:type="dxa"/>
            <w:vAlign w:val="bottom"/>
            <w:tcBorders>
              <w:top w:val="single" w:sz="8" w:color="CFF0FC"/>
            </w:tcBorders>
            <w:shd w:val="clear" w:color="auto" w:fill="CFF0FC"/>
          </w:tcPr>
          <w:p>
            <w:pPr>
              <w:jc w:val="right"/>
              <w:ind w:right="690"/>
              <w:spacing w:after="0" w:line="205" w:lineRule="exact"/>
              <w:rPr>
                <w:sz w:val="20"/>
                <w:szCs w:val="20"/>
                <w:color w:val="auto"/>
              </w:rPr>
            </w:pPr>
            <w:r>
              <w:rPr>
                <w:rFonts w:ascii="Times New Roman" w:cs="Times New Roman" w:eastAsia="Times New Roman" w:hAnsi="Times New Roman"/>
                <w:sz w:val="18"/>
                <w:szCs w:val="18"/>
                <w:color w:val="auto"/>
                <w:w w:val="99"/>
              </w:rPr>
              <w:t>Lazard Group</w:t>
            </w:r>
          </w:p>
        </w:tc>
        <w:tc>
          <w:tcPr>
            <w:tcW w:w="8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2020 Senior</w:t>
            </w: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(a)</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249,137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9"/>
              </w:rPr>
              <w:t>Lazard Group</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2025 Senior</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99"/>
              </w:rPr>
              <w:t>Lazard Group</w:t>
            </w: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2027 Senior</w:t>
            </w:r>
          </w:p>
        </w:tc>
        <w:tc>
          <w:tcPr>
            <w:tcW w:w="8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(a)</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296,785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9"/>
              </w:rPr>
              <w:t>Lazard Group</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2028 Senior</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Notes (a)</w:t>
            </w:r>
          </w:p>
        </w:tc>
        <w:tc>
          <w:tcPr>
            <w:tcW w:w="152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9/19/28</w:t>
            </w: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491,226</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0" w:type="dxa"/>
            <w:vAlign w:val="bottom"/>
            <w:tcBorders>
              <w:bottom w:val="single" w:sz="8" w:color="CFF0FC"/>
            </w:tcBorders>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1,450,000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1,434,260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1,200,000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1,190,383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150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1" w:lineRule="exact"/>
        <w:rPr>
          <w:sz w:val="20"/>
          <w:szCs w:val="20"/>
          <w:color w:val="auto"/>
        </w:rPr>
      </w:pPr>
    </w:p>
    <w:p>
      <w:pPr>
        <w:ind w:left="600" w:hanging="592"/>
        <w:spacing w:after="0" w:line="258" w:lineRule="auto"/>
        <w:tabs>
          <w:tab w:leader="none" w:pos="6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Lazard Group completed an offering of $500,000 aggregate principal amount of 4.50% senior notes due 2028 (the “2028 Notes”). Interest on the 2028 Notes is payable semi-annually on March 19 and September 19 of each year, beginning March 19, 2019. Lazard Group used a portion of the net proceeds of the 2028 Notes to redeem or otherwise retire $250,000 aggregate principal amount of the 4.25% senior notes due 2020 (the “2020 Notes”), which, including the recognition of unamortized issuance costs, resulted in a loss on debt extinguishment of $6,523. Such loss on debt extinguishment was recorded in “operating expenses—other” on the consolidated statement of operations for the year ended December 31, 2018.</w:t>
      </w:r>
    </w:p>
    <w:p>
      <w:pPr>
        <w:spacing w:after="0" w:line="197" w:lineRule="exact"/>
        <w:rPr>
          <w:rFonts w:ascii="Times New Roman" w:cs="Times New Roman" w:eastAsia="Times New Roman" w:hAnsi="Times New Roman"/>
          <w:sz w:val="18"/>
          <w:szCs w:val="18"/>
          <w:color w:val="auto"/>
        </w:rPr>
      </w:pPr>
    </w:p>
    <w:p>
      <w:pPr>
        <w:ind w:left="620" w:right="2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During November 2016, Lazard Group completed an offering of $300,000 aggregate principal amount of 3.625% senior notes due 2027 (the “2027 Notes”). Interest on the 2027 Notes is payable semi-annually on March 1 and September 1 of each year, beginning March 1, 2017. Lazard Group used a portion of the net proceeds of the 2027 Notes to redeem or otherwise retire all $98,350 of the 6.85% senior notes due June 2017 (the “2017 Notes”), which, including the recognition of unamortized issuance costs, resulted in a loss on debt extinguishment of $3,148. Such loss on debt extinguishment was recorded in “operating expenses—other” on the consolidated statement of operations for the year ended December 31, 2016.</w:t>
      </w:r>
    </w:p>
    <w:p>
      <w:pPr>
        <w:spacing w:after="0" w:line="168" w:lineRule="exact"/>
        <w:rPr>
          <w:rFonts w:ascii="Times New Roman" w:cs="Times New Roman" w:eastAsia="Times New Roman" w:hAnsi="Times New Roman"/>
          <w:sz w:val="18"/>
          <w:szCs w:val="18"/>
          <w:color w:val="auto"/>
        </w:rPr>
      </w:pPr>
    </w:p>
    <w:p>
      <w:pPr>
        <w:ind w:left="600" w:right="100" w:hanging="592"/>
        <w:spacing w:after="0" w:line="282" w:lineRule="auto"/>
        <w:tabs>
          <w:tab w:leader="none" w:pos="6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interest rates of Lazard Group’s 2020 Notes, the 3.75% senior notes due February 13, 2025 (the “2025 Notes”), the 2027 Notes and the 2028 Notes are 4.43%, 3.87%, 3.76% and 4.68%, respectively.</w:t>
      </w:r>
    </w:p>
    <w:p>
      <w:pPr>
        <w:spacing w:after="0" w:line="162" w:lineRule="exact"/>
        <w:rPr>
          <w:sz w:val="20"/>
          <w:szCs w:val="20"/>
          <w:color w:val="auto"/>
        </w:rPr>
      </w:pPr>
    </w:p>
    <w:p>
      <w:pPr>
        <w:ind w:right="200" w:firstLine="598"/>
        <w:spacing w:after="0" w:line="261" w:lineRule="auto"/>
        <w:rPr>
          <w:sz w:val="20"/>
          <w:szCs w:val="20"/>
          <w:color w:val="auto"/>
        </w:rPr>
      </w:pPr>
      <w:r>
        <w:rPr>
          <w:rFonts w:ascii="Times New Roman" w:cs="Times New Roman" w:eastAsia="Times New Roman" w:hAnsi="Times New Roman"/>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determined based on Lazard Group’s highest credit rating from an internationally recognized credit agency. At December 31, 2018 and 2017, no amounts were outstanding under the Amended and Restated Credit Agreement.</w:t>
      </w:r>
    </w:p>
    <w:p>
      <w:pPr>
        <w:spacing w:after="0" w:line="162" w:lineRule="exact"/>
        <w:rPr>
          <w:sz w:val="20"/>
          <w:szCs w:val="20"/>
          <w:color w:val="auto"/>
        </w:rPr>
      </w:pPr>
    </w:p>
    <w:p>
      <w:pPr>
        <w:jc w:val="both"/>
        <w:ind w:right="40" w:firstLine="598"/>
        <w:spacing w:after="0" w:line="266" w:lineRule="auto"/>
        <w:rPr>
          <w:sz w:val="20"/>
          <w:szCs w:val="20"/>
          <w:color w:val="auto"/>
        </w:rPr>
      </w:pPr>
      <w:r>
        <w:rPr>
          <w:rFonts w:ascii="Times New Roman" w:cs="Times New Roman" w:eastAsia="Times New Roman" w:hAnsi="Times New Roman"/>
          <w:sz w:val="18"/>
          <w:szCs w:val="18"/>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December 31, 2018, the Company was in compliance with such provisions. All of the Company’s senior debt obligations are unsecured.</w:t>
      </w:r>
    </w:p>
    <w:p>
      <w:pPr>
        <w:spacing w:after="0" w:line="176" w:lineRule="exact"/>
        <w:rPr>
          <w:sz w:val="20"/>
          <w:szCs w:val="20"/>
          <w:color w:val="auto"/>
        </w:rPr>
      </w:pPr>
    </w:p>
    <w:p>
      <w:pPr>
        <w:ind w:right="260" w:firstLine="598"/>
        <w:spacing w:after="0" w:line="282" w:lineRule="auto"/>
        <w:rPr>
          <w:sz w:val="20"/>
          <w:szCs w:val="20"/>
          <w:color w:val="auto"/>
        </w:rPr>
      </w:pPr>
      <w:r>
        <w:rPr>
          <w:rFonts w:ascii="Times New Roman" w:cs="Times New Roman" w:eastAsia="Times New Roman" w:hAnsi="Times New Roman"/>
          <w:sz w:val="18"/>
          <w:szCs w:val="18"/>
          <w:color w:val="auto"/>
        </w:rPr>
        <w:t>Debt maturities relating to senior borrowings outstanding at December 31, 2018 for each of the five years in the period ending December 31, 2023 and thereafter are set forth in the table below.</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6300" w:type="dxa"/>
            <w:vAlign w:val="bottom"/>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5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2021 - 2023</w:t>
            </w:r>
          </w:p>
        </w:tc>
        <w:tc>
          <w:tcPr>
            <w:tcW w:w="5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8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1,450,000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firstLine="598"/>
        <w:spacing w:after="0" w:line="282" w:lineRule="auto"/>
        <w:rPr>
          <w:sz w:val="20"/>
          <w:szCs w:val="20"/>
          <w:color w:val="auto"/>
        </w:rPr>
      </w:pPr>
      <w:r>
        <w:rPr>
          <w:rFonts w:ascii="Times New Roman" w:cs="Times New Roman" w:eastAsia="Times New Roman" w:hAnsi="Times New Roman"/>
          <w:sz w:val="18"/>
          <w:szCs w:val="18"/>
          <w:color w:val="auto"/>
        </w:rPr>
        <w:t>The Company’s senior debt at December 31, 2018 and 2017 is carried at historical amounts. See Note 7 for information regarding the fair value and fair value hierarchy category of the Company’s senior debt.</w:t>
      </w:r>
    </w:p>
    <w:p>
      <w:pPr>
        <w:spacing w:after="0" w:line="162" w:lineRule="exact"/>
        <w:rPr>
          <w:sz w:val="20"/>
          <w:szCs w:val="20"/>
          <w:color w:val="auto"/>
        </w:rPr>
      </w:pPr>
    </w:p>
    <w:p>
      <w:pPr>
        <w:ind w:right="260" w:firstLine="598"/>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approximately $168,000 in unused lines of credit available to it, including the credit facility provided under the Amended and Restated Credit Agreement and unused lines of credit available to LFB of approximately $17,000.</w:t>
      </w:r>
    </w:p>
    <w:p>
      <w:pPr>
        <w:spacing w:after="0" w:line="347" w:lineRule="exact"/>
        <w:rPr>
          <w:sz w:val="20"/>
          <w:szCs w:val="20"/>
          <w:color w:val="auto"/>
        </w:rPr>
      </w:pPr>
    </w:p>
    <w:p>
      <w:pPr>
        <w:ind w:left="600" w:hanging="592"/>
        <w:spacing w:after="0"/>
        <w:tabs>
          <w:tab w:leader="none" w:pos="600"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The Company leases office space and equipment under non-cancelable lease agreements, which expire on various dates through 2033.</w:t>
      </w:r>
    </w:p>
    <w:p>
      <w:pPr>
        <w:spacing w:after="0" w:line="229"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Operating lease agreements, in addition to base rentals, generally are subject to escalation provisions based on certain costs incurred by the landlord. For the years ended December 31, 2018, 2017 and 2016, aggregate rental expense relating to operating leases amounted to $84,636, $84,632 and $76,704, respectively, and is included in “occupancy and equipment” or “technology and information services” on the consolidated statements of operations, depending on the nature of the underlying asset. The Company also subleases office space under agreements which expire on various dates through 2022. Sublease income from such agreements was $7,519, $7,659 and $7,858 for the years ended December 31, 2018, 2017 and 2016, respectively.</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Capital lease obligations recorded under sale/leaseback transactions were paid in 2017.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7" w:name="page108"/>
    <w:bookmarkEnd w:id="10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December 31, 2018, minimum rental commitments under non-cancelable operating leases, net of sublease income, are approximately as follows:</w:t>
      </w:r>
    </w:p>
    <w:p>
      <w:pPr>
        <w:spacing w:after="0" w:line="200" w:lineRule="exact"/>
        <w:rPr>
          <w:sz w:val="20"/>
          <w:szCs w:val="20"/>
          <w:color w:val="auto"/>
        </w:rPr>
      </w:pPr>
    </w:p>
    <w:p>
      <w:pPr>
        <w:spacing w:after="0" w:line="34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3180" w:type="dxa"/>
            <w:vAlign w:val="bottom"/>
            <w:shd w:val="clear" w:color="auto" w:fill="CFF0FC"/>
          </w:tcPr>
          <w:p>
            <w:pPr>
              <w:spacing w:after="0"/>
              <w:rPr>
                <w:sz w:val="19"/>
                <w:szCs w:val="19"/>
                <w:color w:val="auto"/>
              </w:rPr>
            </w:pPr>
          </w:p>
        </w:tc>
        <w:tc>
          <w:tcPr>
            <w:tcW w:w="2960" w:type="dxa"/>
            <w:vAlign w:val="bottom"/>
            <w:gridSpan w:val="2"/>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86,839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18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83,701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1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180" w:type="dxa"/>
            <w:vAlign w:val="bottom"/>
            <w:shd w:val="clear" w:color="auto" w:fill="CFF0FC"/>
          </w:tcPr>
          <w:p>
            <w:pPr>
              <w:spacing w:after="0"/>
              <w:rPr>
                <w:sz w:val="19"/>
                <w:szCs w:val="19"/>
                <w:color w:val="auto"/>
              </w:rPr>
            </w:pPr>
          </w:p>
        </w:tc>
        <w:tc>
          <w:tcPr>
            <w:tcW w:w="2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488,612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rental commitments</w:t>
            </w:r>
          </w:p>
        </w:tc>
        <w:tc>
          <w:tcPr>
            <w:tcW w:w="2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879,350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Less - sublease proceeds</w:t>
            </w:r>
          </w:p>
        </w:tc>
        <w:tc>
          <w:tcPr>
            <w:tcW w:w="2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rental commitments</w:t>
            </w:r>
          </w:p>
        </w:tc>
        <w:tc>
          <w:tcPr>
            <w:tcW w:w="2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852,409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598"/>
        <w:spacing w:after="0" w:line="282" w:lineRule="auto"/>
        <w:rPr>
          <w:sz w:val="20"/>
          <w:szCs w:val="20"/>
          <w:color w:val="auto"/>
        </w:rPr>
      </w:pPr>
      <w:r>
        <w:rPr>
          <w:rFonts w:ascii="Times New Roman" w:cs="Times New Roman" w:eastAsia="Times New Roman" w:hAnsi="Times New Roman"/>
          <w:sz w:val="18"/>
          <w:szCs w:val="18"/>
          <w:color w:val="auto"/>
        </w:rPr>
        <w:t>In August 2018, the Company entered into a lease agreement for additional office facilities, which are currently under construction, with delivery anticipated in the third quarter of 2019. Operating lease commitments in the table above include the impact of the new lease agreement.</w:t>
      </w:r>
    </w:p>
    <w:p>
      <w:pPr>
        <w:spacing w:after="0" w:line="198" w:lineRule="exact"/>
        <w:rPr>
          <w:sz w:val="20"/>
          <w:szCs w:val="20"/>
          <w:color w:val="auto"/>
        </w:rPr>
      </w:pPr>
    </w:p>
    <w:p>
      <w:pPr>
        <w:ind w:right="20"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In the normal course of business, LFB provides indemnifications to third parties to protect them in the event of non-performance by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clients. At December 31, 2018, LFB had $4,991 of such indemnifications and held $4,947 of collateral/counter-guarantees to secure these commitments. The Company believes the likelihood of loss with respect to these indemnities is remote. Accordingly, no liability is recorded in the consolidated statement of financial condition.</w:t>
      </w:r>
    </w:p>
    <w:p>
      <w:pPr>
        <w:spacing w:after="0" w:line="177" w:lineRule="exact"/>
        <w:rPr>
          <w:sz w:val="20"/>
          <w:szCs w:val="20"/>
          <w:color w:val="auto"/>
        </w:rPr>
      </w:pPr>
    </w:p>
    <w:p>
      <w:pPr>
        <w:ind w:right="40"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Business Acquisitions</w:t>
      </w:r>
      <w:r>
        <w:rPr>
          <w:rFonts w:ascii="Times New Roman" w:cs="Times New Roman" w:eastAsia="Times New Roman" w:hAnsi="Times New Roman"/>
          <w:sz w:val="18"/>
          <w:szCs w:val="18"/>
          <w:color w:val="auto"/>
        </w:rPr>
        <w:t>—For businesses acquired in 2016, the remaining consideration consists of (i) 40,524 shares of Class A common stock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non-compete provisions and employment conditions, and non-contingent interests exchangeable into 202,984 shares of Class A common stock, and (ii) up to 810,742 additional shares of Class A common stock that are subject to certain performance thresholds, as well as applicable related dividend equivalent amounts. During the year ended December 31, 2018, 20,293 of the contingent shares were earned.</w:t>
      </w:r>
    </w:p>
    <w:p>
      <w:pPr>
        <w:spacing w:after="0" w:line="177" w:lineRule="exact"/>
        <w:rPr>
          <w:sz w:val="20"/>
          <w:szCs w:val="20"/>
          <w:color w:val="auto"/>
        </w:rPr>
      </w:pPr>
    </w:p>
    <w:p>
      <w:pPr>
        <w:ind w:right="60" w:firstLine="59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Commitments—</w:t>
      </w:r>
      <w:r>
        <w:rPr>
          <w:rFonts w:ascii="Times New Roman" w:cs="Times New Roman" w:eastAsia="Times New Roman" w:hAnsi="Times New Roman"/>
          <w:sz w:val="18"/>
          <w:szCs w:val="18"/>
          <w:color w:val="auto"/>
        </w:rPr>
        <w:t>The Company has various other contractual commitments arising in the ordinary course of business. In addition,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each of LFB and LFNY may enter into underwriting commitments in which it will participate as an underwriter. At December 31, 2018, LFB and LFNY had no such underwriting commitments.</w:t>
      </w:r>
    </w:p>
    <w:p>
      <w:pPr>
        <w:spacing w:after="0" w:line="175"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See Notes 7 and 16 for information regarding commitments relating to investment capital funding commitments and obligations to fund our pension plans, respectively.</w:t>
      </w:r>
    </w:p>
    <w:p>
      <w:pPr>
        <w:spacing w:after="0" w:line="162" w:lineRule="exact"/>
        <w:rPr>
          <w:sz w:val="20"/>
          <w:szCs w:val="20"/>
          <w:color w:val="auto"/>
        </w:rPr>
      </w:pPr>
    </w:p>
    <w:p>
      <w:pPr>
        <w:ind w:right="620" w:firstLine="598"/>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58" w:lineRule="exact"/>
        <w:rPr>
          <w:sz w:val="20"/>
          <w:szCs w:val="20"/>
          <w:color w:val="auto"/>
        </w:rPr>
      </w:pPr>
    </w:p>
    <w:p>
      <w:pPr>
        <w:ind w:firstLine="59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Legal—</w:t>
      </w: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27" w:lineRule="exact"/>
        <w:rPr>
          <w:sz w:val="20"/>
          <w:szCs w:val="20"/>
          <w:color w:val="auto"/>
        </w:rPr>
      </w:pPr>
    </w:p>
    <w:p>
      <w:pPr>
        <w:ind w:left="600" w:hanging="592"/>
        <w:spacing w:after="0"/>
        <w:tabs>
          <w:tab w:leader="none" w:pos="600" w:val="left"/>
        </w:tabs>
        <w:numPr>
          <w:ilvl w:val="0"/>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STOCKHOLDERS’ EQUITY</w:t>
      </w:r>
    </w:p>
    <w:p>
      <w:pPr>
        <w:spacing w:after="0" w:line="117" w:lineRule="exact"/>
        <w:rPr>
          <w:sz w:val="20"/>
          <w:szCs w:val="20"/>
          <w:color w:val="auto"/>
        </w:rPr>
      </w:pPr>
    </w:p>
    <w:p>
      <w:pPr>
        <w:ind w:right="40" w:firstLine="59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—During the year ended December 31, 2018 and since 2015, the Board of Directors of Lazard authorized the repurchase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Class A common stock as set forth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44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7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Authorization</w:t>
            </w: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7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2015</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6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31, 2016</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2016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2017</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2016</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113,182</w:t>
            </w: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31, 2017</w:t>
            </w:r>
          </w:p>
        </w:tc>
        <w:tc>
          <w:tcPr>
            <w:tcW w:w="0" w:type="dxa"/>
            <w:vAlign w:val="bottom"/>
          </w:tcPr>
          <w:p>
            <w:pPr>
              <w:spacing w:after="0"/>
              <w:rPr>
                <w:sz w:val="1"/>
                <w:szCs w:val="1"/>
                <w:color w:val="auto"/>
              </w:rPr>
            </w:pPr>
          </w:p>
        </w:tc>
      </w:tr>
      <w:tr>
        <w:trPr>
          <w:trHeight w:val="24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2016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236,000</w:t>
            </w:r>
          </w:p>
        </w:tc>
        <w:tc>
          <w:tcPr>
            <w:tcW w:w="46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2018</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2017</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31, 2019</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2018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2020</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2018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31, 2020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period to period due to a variety of factors. Purchases with respect to such program are set forth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80"/>
        </w:trPr>
        <w:tc>
          <w:tcPr>
            <w:tcW w:w="7860" w:type="dxa"/>
            <w:vAlign w:val="bottom"/>
            <w:gridSpan w:val="2"/>
            <w:vMerge w:val="continue"/>
          </w:tcPr>
          <w:p>
            <w:pPr>
              <w:spacing w:after="0"/>
              <w:rPr>
                <w:sz w:val="15"/>
                <w:szCs w:val="15"/>
                <w:color w:val="auto"/>
              </w:rPr>
            </w:pPr>
          </w:p>
        </w:tc>
        <w:tc>
          <w:tcPr>
            <w:tcW w:w="1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7"/>
        </w:trPr>
        <w:tc>
          <w:tcPr>
            <w:tcW w:w="1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61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8,551,271</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6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6,956,097</w:t>
            </w:r>
          </w:p>
        </w:tc>
        <w:tc>
          <w:tcPr>
            <w:tcW w:w="5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6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12,206,652</w:t>
            </w:r>
          </w:p>
        </w:tc>
        <w:tc>
          <w:tcPr>
            <w:tcW w:w="5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firstLine="598"/>
        <w:spacing w:after="0" w:line="266" w:lineRule="auto"/>
        <w:rPr>
          <w:sz w:val="20"/>
          <w:szCs w:val="20"/>
          <w:color w:val="auto"/>
        </w:rPr>
      </w:pPr>
      <w:r>
        <w:rPr>
          <w:rFonts w:ascii="Times New Roman" w:cs="Times New Roman" w:eastAsia="Times New Roman" w:hAnsi="Times New Roman"/>
          <w:sz w:val="18"/>
          <w:szCs w:val="18"/>
          <w:color w:val="auto"/>
        </w:rPr>
        <w:t>There were 17,574,805 and 10,747,142 shares of Class A common stock held by our subsidiaries at December 31, 2018 and 2017, respectively. Such shares of Class A common stock are reported, at cost, as “Class A common stock held by subsidiaries” on the accompanying consolidated statements of financial condition.</w:t>
      </w:r>
    </w:p>
    <w:p>
      <w:pPr>
        <w:spacing w:after="0" w:line="176" w:lineRule="exact"/>
        <w:rPr>
          <w:sz w:val="20"/>
          <w:szCs w:val="20"/>
          <w:color w:val="auto"/>
        </w:rPr>
      </w:pPr>
    </w:p>
    <w:p>
      <w:pPr>
        <w:ind w:right="40" w:firstLine="598"/>
        <w:spacing w:after="0" w:line="256" w:lineRule="auto"/>
        <w:rPr>
          <w:sz w:val="20"/>
          <w:szCs w:val="20"/>
          <w:color w:val="auto"/>
        </w:rPr>
      </w:pPr>
      <w:r>
        <w:rPr>
          <w:rFonts w:ascii="Times New Roman" w:cs="Times New Roman" w:eastAsia="Times New Roman" w:hAnsi="Times New Roman"/>
          <w:sz w:val="18"/>
          <w:szCs w:val="18"/>
          <w:color w:val="auto"/>
        </w:rPr>
        <w:t>During 2018, 2017 and 2016,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the executive officers equal in value to all or a portion of the estimated amount of such tax. In addition, during the years ended December 31, 2018, 2017 and 2016, the Company purchased shares of Class A common stock from certain of our executive officers. The aggregate value of all such purchases in 2018, 2017 and 2016 was approximately $17,700, $14,700 and $4,900, respectively.</w:t>
      </w:r>
    </w:p>
    <w:p>
      <w:pPr>
        <w:spacing w:after="0" w:line="188" w:lineRule="exact"/>
        <w:rPr>
          <w:sz w:val="20"/>
          <w:szCs w:val="20"/>
          <w:color w:val="auto"/>
        </w:rPr>
      </w:pPr>
    </w:p>
    <w:p>
      <w:pPr>
        <w:ind w:right="820" w:firstLine="598"/>
        <w:spacing w:after="0" w:line="282" w:lineRule="auto"/>
        <w:rPr>
          <w:sz w:val="20"/>
          <w:szCs w:val="20"/>
          <w:color w:val="auto"/>
        </w:rPr>
      </w:pPr>
      <w:r>
        <w:rPr>
          <w:rFonts w:ascii="Times New Roman" w:cs="Times New Roman" w:eastAsia="Times New Roman" w:hAnsi="Times New Roman"/>
          <w:sz w:val="18"/>
          <w:szCs w:val="18"/>
          <w:color w:val="auto"/>
        </w:rPr>
        <w:t>As of December 31, 2018, a total of $295,512 of share repurchase authorization remained available under the Company’s share repurchase program, all of which will expire on December 31, 2020.</w:t>
      </w:r>
    </w:p>
    <w:p>
      <w:pPr>
        <w:spacing w:after="0" w:line="162" w:lineRule="exact"/>
        <w:rPr>
          <w:sz w:val="20"/>
          <w:szCs w:val="20"/>
          <w:color w:val="auto"/>
        </w:rPr>
      </w:pPr>
    </w:p>
    <w:p>
      <w:pPr>
        <w:ind w:right="200" w:firstLine="598"/>
        <w:spacing w:after="0" w:line="266" w:lineRule="auto"/>
        <w:rPr>
          <w:sz w:val="20"/>
          <w:szCs w:val="20"/>
          <w:color w:val="auto"/>
        </w:rPr>
      </w:pPr>
      <w:r>
        <w:rPr>
          <w:rFonts w:ascii="Times New Roman" w:cs="Times New Roman" w:eastAsia="Times New Roman" w:hAnsi="Times New Roman"/>
          <w:sz w:val="18"/>
          <w:szCs w:val="18"/>
          <w:color w:val="auto"/>
        </w:rPr>
        <w:t>In addition, on February 4, 2019, the Board of Directors of Lazard authorized the repurchase of up to $300,000 of additional shares of Class A common stock, which authorization will expire on December 31, 2020, bringing the total available share repurchase authorization as of February 4, 2019 to approximately $510,000.</w:t>
      </w:r>
    </w:p>
    <w:p>
      <w:pPr>
        <w:spacing w:after="0" w:line="176" w:lineRule="exact"/>
        <w:rPr>
          <w:sz w:val="20"/>
          <w:szCs w:val="20"/>
          <w:color w:val="auto"/>
        </w:rPr>
      </w:pPr>
    </w:p>
    <w:p>
      <w:pPr>
        <w:ind w:right="300" w:firstLine="59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the Company had in place trading plans under Rule 10b5-1 of the Securities Exchange Act of 1934, as amended (the “Exchange Act”), pursuant to which it effected stock repurchases in the open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0" w:lineRule="exact"/>
        <w:rPr>
          <w:sz w:val="20"/>
          <w:szCs w:val="20"/>
          <w:color w:val="auto"/>
        </w:rPr>
      </w:pPr>
    </w:p>
    <w:p>
      <w:pPr>
        <w:ind w:right="140" w:firstLine="59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—Lazard Ltd has 15,000,000 authorized shares of preferred stock, par value $0.01 per share, inclusive of its Series A and Series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Series A and Series B preferred shares were issued in connection with certain prior year business acquisitions and were each non-participating securities convertible into Class A common stock, and had no voting or dividend rights. As of December 31, 2018, 2017 and 2016, no shares of Series A or Series B preferred stock were outstanding.</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Net of Tax</w:t>
      </w:r>
      <w:r>
        <w:rPr>
          <w:rFonts w:ascii="Times New Roman" w:cs="Times New Roman" w:eastAsia="Times New Roman" w:hAnsi="Times New Roman"/>
          <w:sz w:val="18"/>
          <w:szCs w:val="18"/>
          <w:color w:val="auto"/>
        </w:rPr>
        <w:t>—The tables below reflect the balances of each component of AOCI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2017 and 2016 and activity during the years then ended: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(148,984</w:t>
            </w:r>
          </w:p>
        </w:tc>
        <w:tc>
          <w:tcPr>
            <w:tcW w:w="2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(232,519</w:t>
            </w: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(232,518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(5,434)</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(52,036)</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(130,137</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(143,683</w:t>
            </w:r>
          </w:p>
        </w:tc>
        <w:tc>
          <w:tcPr>
            <w:tcW w:w="240" w:type="dxa"/>
            <w:vAlign w:val="bottom"/>
            <w:vMerge w:val="continue"/>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(273,820</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(273,818</w:t>
            </w: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(155,204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(159,020</w:t>
            </w:r>
          </w:p>
        </w:tc>
        <w:tc>
          <w:tcPr>
            <w:tcW w:w="2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(314,224</w:t>
            </w: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(314,222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71,669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73,754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(148,984</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(232,519</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(137,073</w:t>
            </w:r>
          </w:p>
        </w:tc>
        <w:tc>
          <w:tcPr>
            <w:tcW w:w="2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(234,357</w:t>
            </w: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(234,356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(24,473)</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(82,393)</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(79,867)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2016</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(155,204</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(159,020</w:t>
            </w:r>
          </w:p>
        </w:tc>
        <w:tc>
          <w:tcPr>
            <w:tcW w:w="240" w:type="dxa"/>
            <w:vAlign w:val="bottom"/>
            <w:vMerge w:val="continue"/>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(314,224</w:t>
            </w:r>
          </w:p>
        </w:tc>
        <w:tc>
          <w:tcPr>
            <w:tcW w:w="2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(314,222</w:t>
            </w: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table below reflects adjustments for items reclassified out of AOCI, by component, for the years ended December 31, 2018, 2017 and 2016:</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relating to employee benefit plans (a)</w:t>
            </w:r>
          </w:p>
        </w:tc>
        <w:tc>
          <w:tcPr>
            <w:tcW w:w="15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 related income taxes</w:t>
            </w:r>
          </w:p>
        </w:tc>
        <w:tc>
          <w:tcPr>
            <w:tcW w:w="15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15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0" w:right="60" w:hanging="592"/>
        <w:spacing w:after="0" w:line="282" w:lineRule="auto"/>
        <w:tabs>
          <w:tab w:leader="none" w:pos="6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computation of net periodic benefit cost (see Note 16). Such amounts are included in “operating expenses –other”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1150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38" w:lineRule="exact"/>
        <w:rPr>
          <w:sz w:val="20"/>
          <w:szCs w:val="20"/>
          <w:color w:val="auto"/>
        </w:rPr>
      </w:pPr>
    </w:p>
    <w:p>
      <w:pPr>
        <w:ind w:right="320" w:firstLine="59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Noncontrolling Interests—</w:t>
      </w:r>
      <w:r>
        <w:rPr>
          <w:rFonts w:ascii="Times New Roman" w:cs="Times New Roman" w:eastAsia="Times New Roman" w:hAnsi="Times New Roman"/>
          <w:sz w:val="18"/>
          <w:szCs w:val="18"/>
          <w:color w:val="auto"/>
        </w:rPr>
        <w:t>Noncontrolling interests principally represent interests held in Edgewater’s management vehicles that the Company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deemed to control, but does not own.</w:t>
      </w:r>
    </w:p>
    <w:p>
      <w:pPr>
        <w:spacing w:after="0" w:line="159" w:lineRule="exact"/>
        <w:rPr>
          <w:sz w:val="20"/>
          <w:szCs w:val="20"/>
          <w:color w:val="auto"/>
        </w:rPr>
      </w:pPr>
    </w:p>
    <w:p>
      <w:pPr>
        <w:ind w:right="760" w:firstLine="598"/>
        <w:spacing w:after="0" w:line="282" w:lineRule="auto"/>
        <w:rPr>
          <w:sz w:val="20"/>
          <w:szCs w:val="20"/>
          <w:color w:val="auto"/>
        </w:rPr>
      </w:pPr>
      <w:r>
        <w:rPr>
          <w:rFonts w:ascii="Times New Roman" w:cs="Times New Roman" w:eastAsia="Times New Roman" w:hAnsi="Times New Roman"/>
          <w:sz w:val="18"/>
          <w:szCs w:val="18"/>
          <w:color w:val="auto"/>
        </w:rPr>
        <w:t>The tables below summarize net income attributable to noncontrolling interests for the years ended December 31, 2018, 2017 and 2016 and noncontrolling interests as of December 31, 2018 and 2017, in the Company’s consolidated financial statements:</w:t>
      </w:r>
    </w:p>
    <w:p>
      <w:pPr>
        <w:spacing w:after="0" w:line="169"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Net Income</w:t>
      </w:r>
    </w:p>
    <w:p>
      <w:pPr>
        <w:jc w:val="center"/>
        <w:ind w:left="6660"/>
        <w:spacing w:after="0" w:line="229" w:lineRule="auto"/>
        <w:rPr>
          <w:sz w:val="20"/>
          <w:szCs w:val="20"/>
          <w:color w:val="auto"/>
        </w:rPr>
      </w:pPr>
      <w:r>
        <w:rPr>
          <w:rFonts w:ascii="Times New Roman" w:cs="Times New Roman" w:eastAsia="Times New Roman" w:hAnsi="Times New Roman"/>
          <w:sz w:val="14"/>
          <w:szCs w:val="14"/>
          <w:b w:val="1"/>
          <w:bCs w:val="1"/>
          <w:color w:val="auto"/>
        </w:rPr>
        <w:t>Attributable to Noncontrolling Interests</w:t>
      </w:r>
    </w:p>
    <w:p>
      <w:pPr>
        <w:jc w:val="center"/>
        <w:ind w:left="6660"/>
        <w:spacing w:after="0" w:line="232" w:lineRule="auto"/>
        <w:rPr>
          <w:sz w:val="20"/>
          <w:szCs w:val="20"/>
          <w:color w:val="auto"/>
        </w:rPr>
      </w:pPr>
      <w:r>
        <w:rPr>
          <w:rFonts w:ascii="Times New Roman" w:cs="Times New Roman" w:eastAsia="Times New Roman" w:hAnsi="Times New Roman"/>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56"/>
        </w:trPr>
        <w:tc>
          <w:tcPr>
            <w:tcW w:w="378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Edgewater</w:t>
            </w:r>
          </w:p>
        </w:tc>
        <w:tc>
          <w:tcPr>
            <w:tcW w:w="30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6,259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6,264</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4"/>
        </w:trPr>
        <w:tc>
          <w:tcPr>
            <w:tcW w:w="3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37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78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Edgewater</w:t>
            </w:r>
          </w:p>
        </w:tc>
        <w:tc>
          <w:tcPr>
            <w:tcW w:w="3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53,242</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59,102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580" w:firstLine="59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Dividends Declared, February 4, 2019</w:t>
      </w:r>
      <w:r>
        <w:rPr>
          <w:rFonts w:ascii="Times New Roman" w:cs="Times New Roman" w:eastAsia="Times New Roman" w:hAnsi="Times New Roman"/>
          <w:sz w:val="18"/>
          <w:szCs w:val="18"/>
          <w:color w:val="auto"/>
        </w:rPr>
        <w:t>—On February 4, 2019, the Board of Directors of Lazard declared dividends totaling $0.94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a quarterly dividend of $0.44 per share, and an extra cash dividend of $0.50 per share, on our Class A common stock. The dividends are payable on March 1, 2019, to stockholders of record on February 15, 2019.</w:t>
      </w:r>
    </w:p>
    <w:p>
      <w:pPr>
        <w:spacing w:after="0" w:line="360" w:lineRule="exact"/>
        <w:rPr>
          <w:sz w:val="20"/>
          <w:szCs w:val="20"/>
          <w:color w:val="auto"/>
        </w:rPr>
      </w:pPr>
    </w:p>
    <w:p>
      <w:pPr>
        <w:ind w:left="600" w:hanging="592"/>
        <w:spacing w:after="0"/>
        <w:tabs>
          <w:tab w:leader="none" w:pos="600" w:val="left"/>
        </w:tabs>
        <w:numPr>
          <w:ilvl w:val="0"/>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INCENTIVE PLANS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Plan Awards</w:t>
      </w:r>
    </w:p>
    <w:p>
      <w:pPr>
        <w:spacing w:after="0" w:line="121" w:lineRule="exact"/>
        <w:rPr>
          <w:sz w:val="20"/>
          <w:szCs w:val="20"/>
          <w:color w:val="auto"/>
        </w:rPr>
      </w:pPr>
    </w:p>
    <w:p>
      <w:pPr>
        <w:ind w:right="340" w:firstLine="598"/>
        <w:spacing w:after="0" w:line="282" w:lineRule="auto"/>
        <w:rPr>
          <w:sz w:val="20"/>
          <w:szCs w:val="20"/>
          <w:color w:val="auto"/>
        </w:rPr>
      </w:pPr>
      <w:r>
        <w:rPr>
          <w:rFonts w:ascii="Times New Roman" w:cs="Times New Roman" w:eastAsia="Times New Roman" w:hAnsi="Times New Roman"/>
          <w:sz w:val="18"/>
          <w:szCs w:val="18"/>
          <w:color w:val="auto"/>
        </w:rPr>
        <w:t>A description of Lazard Ltd’s 2018 Plan, 2008 Plan and 2005 Equity Incentive Plan (the “2005 Plan”) and activity with respect thereto during the years ended December 31, 2018, 2017 and 2016 is presented below.</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2018 Plan, 2008 Plan and 2005 Plan</w:t>
      </w:r>
    </w:p>
    <w:p>
      <w:pPr>
        <w:spacing w:after="0" w:line="121" w:lineRule="exact"/>
        <w:rPr>
          <w:sz w:val="20"/>
          <w:szCs w:val="20"/>
          <w:color w:val="auto"/>
        </w:rPr>
      </w:pPr>
    </w:p>
    <w:p>
      <w:pPr>
        <w:ind w:right="80" w:firstLine="598"/>
        <w:spacing w:after="0" w:line="266" w:lineRule="auto"/>
        <w:rPr>
          <w:sz w:val="20"/>
          <w:szCs w:val="20"/>
          <w:color w:val="auto"/>
        </w:rPr>
      </w:pPr>
      <w:r>
        <w:rPr>
          <w:rFonts w:ascii="Times New Roman" w:cs="Times New Roman" w:eastAsia="Times New Roman" w:hAnsi="Times New Roman"/>
          <w:sz w:val="18"/>
          <w:szCs w:val="18"/>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and other share-based awards.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120" w:firstLine="598"/>
        <w:spacing w:after="0" w:line="258" w:lineRule="auto"/>
        <w:rPr>
          <w:sz w:val="20"/>
          <w:szCs w:val="20"/>
          <w:color w:val="auto"/>
        </w:rPr>
      </w:pPr>
      <w:r>
        <w:rPr>
          <w:rFonts w:ascii="Times New Roman" w:cs="Times New Roman" w:eastAsia="Times New Roman" w:hAnsi="Times New Roman"/>
          <w:sz w:val="18"/>
          <w:szCs w:val="18"/>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outstanding awards granted under the 2008 Plan before its termination continue to be subject to its terms.</w:t>
      </w:r>
    </w:p>
    <w:p>
      <w:pPr>
        <w:spacing w:after="0" w:line="184" w:lineRule="exact"/>
        <w:rPr>
          <w:sz w:val="20"/>
          <w:szCs w:val="20"/>
          <w:color w:val="auto"/>
        </w:rPr>
      </w:pPr>
    </w:p>
    <w:p>
      <w:pPr>
        <w:ind w:right="160" w:firstLine="598"/>
        <w:spacing w:after="0" w:line="266" w:lineRule="auto"/>
        <w:rPr>
          <w:sz w:val="20"/>
          <w:szCs w:val="20"/>
          <w:color w:val="auto"/>
        </w:rPr>
      </w:pPr>
      <w:r>
        <w:rPr>
          <w:rFonts w:ascii="Times New Roman" w:cs="Times New Roman" w:eastAsia="Times New Roman" w:hAnsi="Times New Roman"/>
          <w:sz w:val="18"/>
          <w:szCs w:val="18"/>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outstanding deferred stock unit (“DSU”) awards granted under the 2005 Plan before its expiration continue to be subject to its terms.</w:t>
      </w:r>
    </w:p>
    <w:p>
      <w:pPr>
        <w:spacing w:after="0" w:line="176" w:lineRule="exact"/>
        <w:rPr>
          <w:sz w:val="20"/>
          <w:szCs w:val="20"/>
          <w:color w:val="auto"/>
        </w:rPr>
      </w:pPr>
    </w:p>
    <w:p>
      <w:pPr>
        <w:ind w:right="80" w:firstLine="598"/>
        <w:spacing w:after="0" w:line="266" w:lineRule="auto"/>
        <w:rPr>
          <w:sz w:val="20"/>
          <w:szCs w:val="20"/>
          <w:color w:val="auto"/>
        </w:rPr>
      </w:pPr>
      <w:r>
        <w:rPr>
          <w:rFonts w:ascii="Times New Roman" w:cs="Times New Roman" w:eastAsia="Times New Roman" w:hAnsi="Times New Roman"/>
          <w:sz w:val="18"/>
          <w:szCs w:val="18"/>
          <w:color w:val="auto"/>
        </w:rPr>
        <w:t>The following reflects the amortization expense recorded with respect to share-based incentive plans within “compensation and benefits” expense (with respect to RSUs, PRSUs and restricted stock awards) and “professional services” expense (with respect to DSUs) within the Company’s accompanying consolidated statements of operations: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incentive awards:</w:t>
            </w:r>
          </w:p>
        </w:tc>
        <w:tc>
          <w:tcPr>
            <w:tcW w:w="2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RSUs</w:t>
            </w:r>
          </w:p>
        </w:tc>
        <w:tc>
          <w:tcPr>
            <w:tcW w:w="2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193,924</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190,821</w:t>
            </w:r>
          </w:p>
        </w:tc>
        <w:tc>
          <w:tcPr>
            <w:tcW w:w="260" w:type="dxa"/>
            <w:vAlign w:val="bottom"/>
          </w:tcPr>
          <w:p>
            <w:pPr>
              <w:spacing w:after="0"/>
              <w:rPr>
                <w:sz w:val="19"/>
                <w:szCs w:val="19"/>
                <w:color w:val="auto"/>
              </w:rPr>
            </w:pPr>
          </w:p>
        </w:tc>
        <w:tc>
          <w:tcPr>
            <w:tcW w:w="300" w:type="dxa"/>
            <w:vAlign w:val="bottom"/>
            <w:gridSpan w:val="2"/>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171,188</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PRSUs</w:t>
            </w:r>
          </w:p>
        </w:tc>
        <w:tc>
          <w:tcPr>
            <w:tcW w:w="2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34,114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43,018</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w:t>
            </w: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45,536</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DSUs</w:t>
            </w:r>
          </w:p>
        </w:tc>
        <w:tc>
          <w:tcPr>
            <w:tcW w:w="2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267,573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272,965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261,462</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98"/>
        <w:spacing w:after="0" w:line="258" w:lineRule="auto"/>
        <w:rPr>
          <w:sz w:val="20"/>
          <w:szCs w:val="20"/>
          <w:color w:val="auto"/>
        </w:rPr>
      </w:pPr>
      <w:r>
        <w:rPr>
          <w:rFonts w:ascii="Times New Roman" w:cs="Times New Roman" w:eastAsia="Times New Roman" w:hAnsi="Times New Roman"/>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4"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Company’s share-based incentive plans and awards are described below.</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RSUs and DSUs</w:t>
      </w:r>
    </w:p>
    <w:p>
      <w:pPr>
        <w:spacing w:after="0" w:line="121" w:lineRule="exact"/>
        <w:rPr>
          <w:sz w:val="20"/>
          <w:szCs w:val="20"/>
          <w:color w:val="auto"/>
        </w:rPr>
      </w:pPr>
    </w:p>
    <w:p>
      <w:pPr>
        <w:ind w:right="120" w:firstLine="598"/>
        <w:spacing w:after="0" w:line="258" w:lineRule="auto"/>
        <w:rPr>
          <w:sz w:val="20"/>
          <w:szCs w:val="20"/>
          <w:color w:val="auto"/>
        </w:rPr>
      </w:pPr>
      <w:r>
        <w:rPr>
          <w:rFonts w:ascii="Times New Roman" w:cs="Times New Roman" w:eastAsia="Times New Roman" w:hAnsi="Times New Roman"/>
          <w:sz w:val="18"/>
          <w:szCs w:val="18"/>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84" w:lineRule="exact"/>
        <w:rPr>
          <w:sz w:val="20"/>
          <w:szCs w:val="20"/>
          <w:color w:val="auto"/>
        </w:rPr>
      </w:pPr>
    </w:p>
    <w:p>
      <w:pPr>
        <w:ind w:right="180" w:firstLine="598"/>
        <w:spacing w:after="0" w:line="282" w:lineRule="auto"/>
        <w:rPr>
          <w:sz w:val="20"/>
          <w:szCs w:val="20"/>
          <w:color w:val="auto"/>
        </w:rPr>
      </w:pPr>
      <w:r>
        <w:rPr>
          <w:rFonts w:ascii="Times New Roman" w:cs="Times New Roman" w:eastAsia="Times New Roman" w:hAnsi="Times New Roman"/>
          <w:sz w:val="18"/>
          <w:szCs w:val="18"/>
          <w:color w:val="auto"/>
        </w:rPr>
        <w:t>RSUs generally include a dividend participation right that provides that during vesting periods each RSU is attributed additional RSUs (or fractions thereof) equivalent to any dividends paid on Class A common stock during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2" w:name="page113"/>
    <w:bookmarkEnd w:id="1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such period. During the years ended December 31, 2018, 2017 and 2016, issuances of RSUs pertaining to such dividend participation rights and respective charges to “retained earnings”, net of estimated forfeitures (with corresponding credits to “additional paid-in-capital”),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RSUs issued</w:t>
            </w: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888,472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985,584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1,085,354</w:t>
            </w:r>
          </w:p>
        </w:tc>
        <w:tc>
          <w:tcPr>
            <w:tcW w:w="100" w:type="dxa"/>
            <w:vAlign w:val="bottom"/>
            <w:shd w:val="clear" w:color="auto" w:fill="CFF0FC"/>
          </w:tcPr>
          <w:p>
            <w:pPr>
              <w:spacing w:after="0"/>
              <w:rPr>
                <w:sz w:val="19"/>
                <w:szCs w:val="19"/>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Charges to retained earnings, net of estimated forfeitures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44,255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18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37,284</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right="100" w:firstLine="598"/>
        <w:spacing w:after="0" w:line="255" w:lineRule="auto"/>
        <w:rPr>
          <w:sz w:val="20"/>
          <w:szCs w:val="20"/>
          <w:color w:val="auto"/>
        </w:rPr>
      </w:pPr>
      <w:r>
        <w:rPr>
          <w:rFonts w:ascii="Times New Roman" w:cs="Times New Roman" w:eastAsia="Times New Roman" w:hAnsi="Times New Roman"/>
          <w:sz w:val="18"/>
          <w:szCs w:val="18"/>
          <w:color w:val="auto"/>
        </w:rPr>
        <w:t>Non-executive members of the Board of Directors (“Non-Executive Directors”) receive approximately 55% of their annual compensation for service on the Board of Directors and its committees in the form of DSUs, which resulted in 30,463, 31,280 and 38,771 DSUs granted during the years ended December 31, 2018, 2017 and 2016,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dividends paid on Class A common stock.</w:t>
      </w:r>
    </w:p>
    <w:p>
      <w:pPr>
        <w:spacing w:after="0" w:line="189" w:lineRule="exact"/>
        <w:rPr>
          <w:sz w:val="20"/>
          <w:szCs w:val="20"/>
          <w:color w:val="auto"/>
        </w:rPr>
      </w:pPr>
    </w:p>
    <w:p>
      <w:pPr>
        <w:jc w:val="both"/>
        <w:ind w:right="100" w:firstLine="598"/>
        <w:spacing w:after="0" w:line="258" w:lineRule="auto"/>
        <w:rPr>
          <w:sz w:val="20"/>
          <w:szCs w:val="20"/>
          <w:color w:val="auto"/>
        </w:rPr>
      </w:pPr>
      <w:r>
        <w:rPr>
          <w:rFonts w:ascii="Times New Roman" w:cs="Times New Roman" w:eastAsia="Times New Roman" w:hAnsi="Times New Roman"/>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years ended December 31, 2018, 2017 and 2016, 14,661, 13,882 and 10,043 DSUs, respectively, had been granted pursuant to such Plan.</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is a summary of activity relating to RSUs and DSUs during the three-year period ended December 31,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9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DSUs</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1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9,599,658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312,670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1,085,354 RSUs relating to</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participation)</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6,878,306</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2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(239,432)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(4,540,394)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(84,759)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2016</w:t>
            </w:r>
          </w:p>
        </w:tc>
        <w:tc>
          <w:tcPr>
            <w:tcW w:w="1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11,698,138</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276,725</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985,584 RSUs relating to</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participation)</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5,437,591</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45,162</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2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(217,720)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(3,998,163)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(43,465)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12,919,846</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278,422</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888,472 RSUs relating to</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participation)</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4,245,554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23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(144,655)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2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(5,658,439)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11,362,306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85"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In connection with RSUs that settled during the years ended December 31, 2018, 2017 and 2016, the Company satisfied its minimum statutory tax withholding requirements in lieu of delivering 1,651,129, 1,290,601 and 1,421,396 shares of Class A common stock during such respective years. Accordingly, 4,007,310, 2,707,562 and 3,118,998 shares of Class A common stock held by the Company were delivered during the years ended December 31, 2018, 2017 and 2016, respectively.</w:t>
      </w:r>
    </w:p>
    <w:p>
      <w:pPr>
        <w:spacing w:after="0" w:line="180" w:lineRule="exact"/>
        <w:rPr>
          <w:sz w:val="20"/>
          <w:szCs w:val="20"/>
          <w:color w:val="auto"/>
        </w:rPr>
      </w:pPr>
    </w:p>
    <w:p>
      <w:pPr>
        <w:ind w:right="480" w:firstLine="598"/>
        <w:spacing w:after="0" w:line="282" w:lineRule="auto"/>
        <w:rPr>
          <w:sz w:val="20"/>
          <w:szCs w:val="20"/>
          <w:color w:val="auto"/>
        </w:rPr>
      </w:pPr>
      <w:r>
        <w:rPr>
          <w:rFonts w:ascii="Times New Roman" w:cs="Times New Roman" w:eastAsia="Times New Roman" w:hAnsi="Times New Roman"/>
          <w:sz w:val="18"/>
          <w:szCs w:val="18"/>
          <w:color w:val="auto"/>
        </w:rPr>
        <w:t>As of December 31, 2018, estimated unrecognized RSU compensation expense was approximately $129,837, with such expense expected to be recognized over a weighted average period of approximately 0.8 years subsequent to December 31, 2018.</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180" w:firstLine="598"/>
        <w:spacing w:after="0" w:line="282" w:lineRule="auto"/>
        <w:rPr>
          <w:sz w:val="20"/>
          <w:szCs w:val="20"/>
          <w:color w:val="auto"/>
        </w:rPr>
      </w:pPr>
      <w:r>
        <w:rPr>
          <w:rFonts w:ascii="Times New Roman" w:cs="Times New Roman" w:eastAsia="Times New Roman" w:hAnsi="Times New Roman"/>
          <w:sz w:val="18"/>
          <w:szCs w:val="18"/>
          <w:color w:val="auto"/>
        </w:rPr>
        <w:t>The following is a summary of activity related to shares of restricted Class A common stock associated with compensation arrangements during the three-year period ended December 31, 2018:</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713,738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1,795,258</w:t>
            </w:r>
          </w:p>
        </w:tc>
        <w:tc>
          <w:tcPr>
            <w:tcW w:w="120" w:type="dxa"/>
            <w:vAlign w:val="bottom"/>
          </w:tcPr>
          <w:p>
            <w:pPr>
              <w:spacing w:after="0"/>
              <w:rPr>
                <w:sz w:val="19"/>
                <w:szCs w:val="19"/>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(34,051)</w:t>
            </w: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(819,872)</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1,655,073</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841,355</w:t>
            </w:r>
          </w:p>
        </w:tc>
        <w:tc>
          <w:tcPr>
            <w:tcW w:w="120" w:type="dxa"/>
            <w:vAlign w:val="bottom"/>
          </w:tcPr>
          <w:p>
            <w:pPr>
              <w:spacing w:after="0"/>
              <w:rPr>
                <w:sz w:val="19"/>
                <w:szCs w:val="19"/>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(66,592)</w:t>
            </w: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(491,676)</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1,938,160</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529,987</w:t>
            </w:r>
          </w:p>
        </w:tc>
        <w:tc>
          <w:tcPr>
            <w:tcW w:w="120" w:type="dxa"/>
            <w:vAlign w:val="bottom"/>
          </w:tcPr>
          <w:p>
            <w:pPr>
              <w:spacing w:after="0"/>
              <w:rPr>
                <w:sz w:val="19"/>
                <w:szCs w:val="19"/>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(35,968)</w:t>
            </w: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(891,121)</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1,541,058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In connection with shares of restricted Class A common stock that settled during the years ended December 31, 2018, 2017 and 2016, the Company satisfied its minimum statutory tax withholding requirements in lieu of delivering 300,272, 150,470 and 141,026 shares of Class A common stock during such respective years. Accordingly, 590,849, 341,206 and 678,846 shares of Class A common stock held by the Company were delivered during the years ended December 31, 2018, 2017 and 2016, respectively.</w:t>
      </w:r>
    </w:p>
    <w:p>
      <w:pPr>
        <w:spacing w:after="0" w:line="180" w:lineRule="exact"/>
        <w:rPr>
          <w:sz w:val="20"/>
          <w:szCs w:val="20"/>
          <w:color w:val="auto"/>
        </w:rPr>
      </w:pPr>
    </w:p>
    <w:p>
      <w:pPr>
        <w:ind w:right="280" w:firstLine="598"/>
        <w:spacing w:after="0" w:line="266" w:lineRule="auto"/>
        <w:rPr>
          <w:sz w:val="20"/>
          <w:szCs w:val="20"/>
          <w:color w:val="auto"/>
        </w:rPr>
      </w:pPr>
      <w:r>
        <w:rPr>
          <w:rFonts w:ascii="Times New Roman" w:cs="Times New Roman" w:eastAsia="Times New Roman" w:hAnsi="Times New Roman"/>
          <w:sz w:val="18"/>
          <w:szCs w:val="18"/>
          <w:color w:val="auto"/>
        </w:rPr>
        <w:t>The restricted stock awards include a cash dividend participation right equivalent to dividends paid on Class A common stock during the period, which will vest concurrently with the underlying restricted stock award. At December 31, 2018, estimated unrecognized restricted stock expense was approximately $17,849, with such expense to be recognized over a weighted average period of approximately 0.7 years subsequent to December 31, 2018.</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121" w:lineRule="exact"/>
        <w:rPr>
          <w:sz w:val="20"/>
          <w:szCs w:val="20"/>
          <w:color w:val="auto"/>
        </w:rPr>
      </w:pPr>
    </w:p>
    <w:p>
      <w:pPr>
        <w:ind w:right="140" w:firstLine="598"/>
        <w:spacing w:after="0" w:line="258" w:lineRule="auto"/>
        <w:rPr>
          <w:sz w:val="20"/>
          <w:szCs w:val="20"/>
          <w:color w:val="auto"/>
        </w:rPr>
      </w:pPr>
      <w:r>
        <w:rPr>
          <w:rFonts w:ascii="Times New Roman" w:cs="Times New Roman" w:eastAsia="Times New Roman" w:hAnsi="Times New Roman"/>
          <w:sz w:val="18"/>
          <w:szCs w:val="18"/>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4" w:name="page115"/>
    <w:bookmarkEnd w:id="1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is a summary of activity relating to PRSUs during the three-year period ended December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1,019,038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627,956</w:t>
            </w:r>
          </w:p>
        </w:tc>
        <w:tc>
          <w:tcPr>
            <w:tcW w:w="120" w:type="dxa"/>
            <w:vAlign w:val="bottom"/>
          </w:tcPr>
          <w:p>
            <w:pPr>
              <w:spacing w:after="0"/>
              <w:rPr>
                <w:sz w:val="19"/>
                <w:szCs w:val="19"/>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units earned (b)</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360,783</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(417,021)</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1,590,756</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units earned (b)</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368,389</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(825,565)</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1,591,693</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399,869</w:t>
            </w:r>
          </w:p>
        </w:tc>
        <w:tc>
          <w:tcPr>
            <w:tcW w:w="120" w:type="dxa"/>
            <w:vAlign w:val="bottom"/>
          </w:tcPr>
          <w:p>
            <w:pPr>
              <w:spacing w:after="0"/>
              <w:rPr>
                <w:sz w:val="19"/>
                <w:szCs w:val="19"/>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units earned (b)</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627,956</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(847,723)</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1,771,795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592"/>
        <w:spacing w:after="0"/>
        <w:tabs>
          <w:tab w:leader="none" w:pos="6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PRSU awards granted during the relevant year at the target payout level.</w:t>
      </w:r>
    </w:p>
    <w:p>
      <w:pPr>
        <w:spacing w:after="0" w:line="27" w:lineRule="exact"/>
        <w:rPr>
          <w:rFonts w:ascii="Times New Roman" w:cs="Times New Roman" w:eastAsia="Times New Roman" w:hAnsi="Times New Roman"/>
          <w:sz w:val="18"/>
          <w:szCs w:val="18"/>
          <w:color w:val="auto"/>
        </w:rPr>
      </w:pPr>
    </w:p>
    <w:p>
      <w:pPr>
        <w:ind w:left="600" w:right="440" w:hanging="592"/>
        <w:spacing w:after="0" w:line="261" w:lineRule="auto"/>
        <w:tabs>
          <w:tab w:leader="none" w:pos="6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Class A common stock earned during the fiscal year under the performance criteria of previously-granted PRSU awards in excess of the target payout level of such awards.</w:t>
      </w:r>
    </w:p>
    <w:p>
      <w:pPr>
        <w:spacing w:after="0" w:line="180" w:lineRule="exact"/>
        <w:rPr>
          <w:sz w:val="20"/>
          <w:szCs w:val="20"/>
          <w:color w:val="auto"/>
        </w:rPr>
      </w:pPr>
    </w:p>
    <w:p>
      <w:pPr>
        <w:ind w:right="320" w:firstLine="598"/>
        <w:spacing w:after="0" w:line="261" w:lineRule="auto"/>
        <w:rPr>
          <w:sz w:val="20"/>
          <w:szCs w:val="20"/>
          <w:color w:val="auto"/>
        </w:rPr>
      </w:pPr>
      <w:r>
        <w:rPr>
          <w:rFonts w:ascii="Times New Roman" w:cs="Times New Roman" w:eastAsia="Times New Roman" w:hAnsi="Times New Roman"/>
          <w:sz w:val="18"/>
          <w:szCs w:val="18"/>
          <w:color w:val="auto"/>
        </w:rPr>
        <w:t>In connection with certain PRSUs that settled during the years ended December 31, 2018, 2017 and 2016, the Company satisfied its minimum statutory tax withholding requirements in lieu of delivering 91,962, 127,530 and 64,169 shares of Class A common stock during such respective years. Accordingly, 755,761, 698,035 and 352,852 shares of Class A common stock held by the Company were delivered during the years ended December 31, 2018, 2017 and 2016, respectively.</w:t>
      </w:r>
    </w:p>
    <w:p>
      <w:pPr>
        <w:spacing w:after="0" w:line="180" w:lineRule="exact"/>
        <w:rPr>
          <w:sz w:val="20"/>
          <w:szCs w:val="20"/>
          <w:color w:val="auto"/>
        </w:rPr>
      </w:pPr>
    </w:p>
    <w:p>
      <w:pPr>
        <w:ind w:right="100" w:firstLine="598"/>
        <w:spacing w:after="0" w:line="261" w:lineRule="auto"/>
        <w:rPr>
          <w:sz w:val="20"/>
          <w:szCs w:val="20"/>
          <w:color w:val="auto"/>
        </w:rPr>
      </w:pPr>
      <w:r>
        <w:rPr>
          <w:rFonts w:ascii="Times New Roman" w:cs="Times New Roman" w:eastAsia="Times New Roman" w:hAnsi="Times New Roman"/>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December 31, 2018, the total estimated unrecognized compensation expense was approximately $6,498, and the Company expects to amortize such expense over a weighted-average period of approximately 0.9 years subsequent to December 31, 2018.</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LFI and Other Similar Deferred Compensation Arrangements</w:t>
      </w:r>
    </w:p>
    <w:p>
      <w:pPr>
        <w:spacing w:after="0" w:line="121" w:lineRule="exact"/>
        <w:rPr>
          <w:sz w:val="20"/>
          <w:szCs w:val="20"/>
          <w:color w:val="auto"/>
        </w:rPr>
      </w:pPr>
    </w:p>
    <w:p>
      <w:pPr>
        <w:ind w:right="280" w:firstLine="598"/>
        <w:spacing w:after="0" w:line="282" w:lineRule="auto"/>
        <w:rPr>
          <w:sz w:val="20"/>
          <w:szCs w:val="20"/>
          <w:color w:val="auto"/>
        </w:rPr>
      </w:pPr>
      <w:r>
        <w:rPr>
          <w:rFonts w:ascii="Times New Roman" w:cs="Times New Roman" w:eastAsia="Times New Roman" w:hAnsi="Times New Roman"/>
          <w:sz w:val="18"/>
          <w:szCs w:val="18"/>
          <w:color w:val="auto"/>
        </w:rPr>
        <w:t>Commencing in February 2011, the Company granted LFI to eligible employees. In connection with LFI and other similar deferred compensation arrangements, which generally require future service as a condition for vesting,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15" w:name="page116"/>
    <w:bookmarkEnd w:id="1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88" w:lineRule="exact"/>
        <w:rPr>
          <w:sz w:val="20"/>
          <w:szCs w:val="20"/>
          <w:color w:val="auto"/>
        </w:rPr>
      </w:pPr>
    </w:p>
    <w:p>
      <w:pPr>
        <w:ind w:right="140" w:firstLine="598"/>
        <w:spacing w:after="0" w:line="282" w:lineRule="auto"/>
        <w:rPr>
          <w:sz w:val="20"/>
          <w:szCs w:val="20"/>
          <w:color w:val="auto"/>
        </w:rPr>
      </w:pPr>
      <w:r>
        <w:rPr>
          <w:rFonts w:ascii="Times New Roman" w:cs="Times New Roman" w:eastAsia="Times New Roman" w:hAnsi="Times New Roman"/>
          <w:sz w:val="18"/>
          <w:szCs w:val="18"/>
          <w:color w:val="auto"/>
        </w:rPr>
        <w:t>The following is a summary of activity relating to LFI and other similar deferred compensation arrangements during the years ended December 31, 2018 and 2017:</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Prepaid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(86,318)</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(85,679)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Decrease in fair value of underlying</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(14,086)</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(1,663)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76,362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2017</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(96,025)</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(67,575)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Increase in fair value of underlying</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60" w:firstLine="598"/>
        <w:spacing w:after="0" w:line="282" w:lineRule="auto"/>
        <w:rPr>
          <w:sz w:val="20"/>
          <w:szCs w:val="20"/>
          <w:color w:val="auto"/>
        </w:rPr>
      </w:pPr>
      <w:r>
        <w:rPr>
          <w:rFonts w:ascii="Times New Roman" w:cs="Times New Roman" w:eastAsia="Times New Roman" w:hAnsi="Times New Roman"/>
          <w:sz w:val="18"/>
          <w:szCs w:val="18"/>
          <w:color w:val="auto"/>
        </w:rPr>
        <w:t>The amortization of the prepaid compensation asset will generally be recognized over a weighted average period of approximately 0.9 years subsequent to December 31, 2018.</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116" w:name="page117"/>
    <w:bookmarkEnd w:id="1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300" w:firstLine="59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impact of LFI and other similar deferred compensation arrangements on “compensation and benefits” expense within the accompanying consolidated statements of operations for the years ended December 31, 2018, 2017 and 2016:</w:t>
      </w:r>
    </w:p>
    <w:p>
      <w:pPr>
        <w:spacing w:after="0" w:line="200" w:lineRule="exact"/>
        <w:rPr>
          <w:sz w:val="20"/>
          <w:szCs w:val="20"/>
          <w:color w:val="auto"/>
        </w:rPr>
      </w:pP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7"/>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Ended December 31,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net of forfeitures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73,382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75,573</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Change in the fair value of underlying investments</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tcPr>
          <w:p>
            <w:pPr>
              <w:spacing w:after="0"/>
              <w:rPr>
                <w:sz w:val="19"/>
                <w:szCs w:val="19"/>
                <w:color w:val="auto"/>
              </w:rPr>
            </w:pPr>
          </w:p>
        </w:tc>
      </w:tr>
      <w:tr>
        <w:trPr>
          <w:trHeight w:val="223"/>
        </w:trPr>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76,144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Incentive Awards Granted In February 2019</w:t>
      </w:r>
    </w:p>
    <w:p>
      <w:pPr>
        <w:spacing w:after="0" w:line="148" w:lineRule="exact"/>
        <w:rPr>
          <w:sz w:val="20"/>
          <w:szCs w:val="20"/>
          <w:color w:val="auto"/>
        </w:rPr>
      </w:pPr>
    </w:p>
    <w:p>
      <w:pPr>
        <w:jc w:val="both"/>
        <w:ind w:right="20" w:firstLine="598"/>
        <w:spacing w:after="0" w:line="266" w:lineRule="auto"/>
        <w:rPr>
          <w:sz w:val="20"/>
          <w:szCs w:val="20"/>
          <w:color w:val="auto"/>
        </w:rPr>
      </w:pPr>
      <w:r>
        <w:rPr>
          <w:rFonts w:ascii="Times New Roman" w:cs="Times New Roman" w:eastAsia="Times New Roman" w:hAnsi="Times New Roman"/>
          <w:sz w:val="18"/>
          <w:szCs w:val="18"/>
          <w:color w:val="auto"/>
        </w:rPr>
        <w:t>On February 4, 2019, the Company, including Lazard Group, amended and restated the Operating Agreement of Lazard Group in order to establish a new long-term incentive compensation program consisting of profits interest participation rights (“PIPRs”), which are equity incentive awards that, subject to certain conditions, may be exchanged for shares of the Company’s Class A common stock pursuant to the 2018 Plan.</w:t>
      </w:r>
    </w:p>
    <w:p>
      <w:pPr>
        <w:spacing w:after="0" w:line="176" w:lineRule="exact"/>
        <w:rPr>
          <w:sz w:val="20"/>
          <w:szCs w:val="20"/>
          <w:color w:val="auto"/>
        </w:rPr>
      </w:pPr>
    </w:p>
    <w:p>
      <w:pPr>
        <w:ind w:firstLine="598"/>
        <w:spacing w:after="0" w:line="271" w:lineRule="auto"/>
        <w:rPr>
          <w:sz w:val="20"/>
          <w:szCs w:val="20"/>
          <w:color w:val="auto"/>
        </w:rPr>
      </w:pPr>
      <w:r>
        <w:rPr>
          <w:rFonts w:ascii="Times New Roman" w:cs="Times New Roman" w:eastAsia="Times New Roman" w:hAnsi="Times New Roman"/>
          <w:sz w:val="18"/>
          <w:szCs w:val="18"/>
          <w:color w:val="auto"/>
        </w:rPr>
        <w:t>In February 2019, the Company granted approximately $378,000 of deferred incentive compensation awards to eligible employees. These grants included: RSUs or shares of restricted Class A common stock; PIPRs, including PIPRs that are subject to additional performance conditions; LFI awards; deferred cash awards; and a portion of certain fund managers’ year-end incentive compensation that is reinvested in certain funds managed by the Company’s Asset Management business.</w:t>
      </w:r>
    </w:p>
    <w:p>
      <w:pPr>
        <w:spacing w:after="0" w:line="173" w:lineRule="exact"/>
        <w:rPr>
          <w:sz w:val="20"/>
          <w:szCs w:val="20"/>
          <w:color w:val="auto"/>
        </w:rPr>
      </w:pPr>
    </w:p>
    <w:p>
      <w:pPr>
        <w:ind w:right="80" w:firstLine="598"/>
        <w:spacing w:after="0" w:line="258" w:lineRule="auto"/>
        <w:rPr>
          <w:sz w:val="20"/>
          <w:szCs w:val="20"/>
          <w:color w:val="auto"/>
        </w:rPr>
      </w:pPr>
      <w:r>
        <w:rPr>
          <w:rFonts w:ascii="Times New Roman" w:cs="Times New Roman" w:eastAsia="Times New Roman" w:hAnsi="Times New Roman"/>
          <w:sz w:val="18"/>
          <w:szCs w:val="18"/>
          <w:color w:val="auto"/>
        </w:rPr>
        <w:t>The RSUs, restricted Class A common stock and LFI granted generally provide for one-third vesting on the second anniversary of the grant date and the remaining two-thirds vesting on the third anniversary of the grant date, so long as applicable conditions have been satisfied. The PIPRs granted generally provide for vesting on the third anniversary of the grant date, so long as applicable conditions have been satisfied</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Compensation expense with respect to such incentive awards will generally be recognized over the applicable service period.</w:t>
      </w:r>
    </w:p>
    <w:p>
      <w:pPr>
        <w:spacing w:after="0" w:line="365" w:lineRule="exact"/>
        <w:rPr>
          <w:sz w:val="20"/>
          <w:szCs w:val="20"/>
          <w:color w:val="auto"/>
        </w:rPr>
      </w:pPr>
    </w:p>
    <w:p>
      <w:pPr>
        <w:ind w:left="600" w:hanging="592"/>
        <w:spacing w:after="0"/>
        <w:tabs>
          <w:tab w:leader="none" w:pos="600" w:val="left"/>
        </w:tabs>
        <w:numPr>
          <w:ilvl w:val="0"/>
          <w:numId w:val="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 PLANS</w:t>
      </w:r>
    </w:p>
    <w:p>
      <w:pPr>
        <w:spacing w:after="0" w:line="121" w:lineRule="exact"/>
        <w:rPr>
          <w:sz w:val="20"/>
          <w:szCs w:val="20"/>
          <w:color w:val="auto"/>
        </w:rPr>
      </w:pPr>
    </w:p>
    <w:p>
      <w:pPr>
        <w:ind w:right="100" w:firstLine="598"/>
        <w:spacing w:after="0" w:line="258" w:lineRule="auto"/>
        <w:rPr>
          <w:sz w:val="20"/>
          <w:szCs w:val="20"/>
          <w:color w:val="auto"/>
        </w:rPr>
      </w:pPr>
      <w:r>
        <w:rPr>
          <w:rFonts w:ascii="Times New Roman" w:cs="Times New Roman" w:eastAsia="Times New Roman" w:hAnsi="Times New Roman"/>
          <w:sz w:val="18"/>
          <w:szCs w:val="18"/>
          <w:color w:val="auto"/>
        </w:rPr>
        <w:t>The Company provides retirement and other post-retirement benefits to certain of its employees through defined benefit pension plans (the “pension plans”) and, until December 2016, in the U.S., a partially funded contributory medical post-retirement plan covering certain qualifying U.S. employees.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expenses-other” for the other components of benefit costs on the consolidated statements of operations (See Note 3).</w:t>
      </w:r>
    </w:p>
    <w:p>
      <w:pPr>
        <w:spacing w:after="0" w:line="180" w:lineRule="exact"/>
        <w:rPr>
          <w:sz w:val="20"/>
          <w:szCs w:val="20"/>
          <w:color w:val="auto"/>
        </w:rPr>
      </w:pPr>
    </w:p>
    <w:p>
      <w:pPr>
        <w:ind w:right="40" w:firstLine="59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Medical Plan—</w:t>
      </w:r>
      <w:r>
        <w:rPr>
          <w:rFonts w:ascii="Times New Roman" w:cs="Times New Roman" w:eastAsia="Times New Roman" w:hAnsi="Times New Roman"/>
          <w:sz w:val="18"/>
          <w:szCs w:val="18"/>
          <w:color w:val="auto"/>
        </w:rPr>
        <w:t>The medical plan was previously amended such that effective January 1, 2005 the plan limited post-retirement medical coverage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then former and current employees of the Company that were hired prior to January 1, 2005 and attained the age of 55 on or prior to December 31, 2005, and their dependents. Effective December 31, 2016, the Company ceased offering the medical plan.</w:t>
      </w:r>
    </w:p>
    <w:p>
      <w:pPr>
        <w:spacing w:after="0" w:line="175" w:lineRule="exact"/>
        <w:rPr>
          <w:sz w:val="20"/>
          <w:szCs w:val="20"/>
          <w:color w:val="auto"/>
        </w:rPr>
      </w:pPr>
    </w:p>
    <w:p>
      <w:pPr>
        <w:ind w:right="200" w:firstLine="598"/>
        <w:spacing w:after="0" w:line="266" w:lineRule="auto"/>
        <w:rPr>
          <w:sz w:val="20"/>
          <w:szCs w:val="20"/>
          <w:color w:val="auto"/>
        </w:rPr>
      </w:pPr>
      <w:r>
        <w:rPr>
          <w:rFonts w:ascii="Times New Roman" w:cs="Times New Roman" w:eastAsia="Times New Roman" w:hAnsi="Times New Roman"/>
          <w:sz w:val="18"/>
          <w:szCs w:val="18"/>
          <w:color w:val="auto"/>
        </w:rPr>
        <w:t>In October 2016, the Company paid participants in the medical plan $2,936 in the aggregate to settle in full the Company’s obligations under the medical plan. The settlement of such obligations resulted in the recognition of a gain of $1,788 that is recorded as a reduction to compensation and benefits expense in the consolidated statements of operations for the year ended December 31, 2016.</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0" w:lineRule="exact"/>
        <w:rPr>
          <w:sz w:val="20"/>
          <w:szCs w:val="20"/>
          <w:color w:val="auto"/>
        </w:rPr>
      </w:pPr>
    </w:p>
    <w:p>
      <w:pPr>
        <w:ind w:right="320" w:firstLine="59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Employer Contributions to Pension Plans</w:t>
      </w:r>
      <w:r>
        <w:rPr>
          <w:rFonts w:ascii="Times New Roman" w:cs="Times New Roman" w:eastAsia="Times New Roman" w:hAnsi="Times New Roman"/>
          <w:sz w:val="18"/>
          <w:szCs w:val="18"/>
          <w:color w:val="auto"/>
        </w:rPr>
        <w:t>—The Company’s funding policy for its U.S. and non-U.S. pension plans is to fund when required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applicable upon an agreement with the plans’ trustees. Management also evaluates from time to time whether to make voluntary contributions to the plans.</w:t>
      </w:r>
    </w:p>
    <w:p>
      <w:pPr>
        <w:spacing w:after="0" w:line="175" w:lineRule="exact"/>
        <w:rPr>
          <w:sz w:val="20"/>
          <w:szCs w:val="20"/>
          <w:color w:val="auto"/>
        </w:rPr>
      </w:pPr>
    </w:p>
    <w:p>
      <w:pPr>
        <w:ind w:right="180" w:firstLine="598"/>
        <w:spacing w:after="0" w:line="282" w:lineRule="auto"/>
        <w:rPr>
          <w:sz w:val="20"/>
          <w:szCs w:val="20"/>
          <w:color w:val="auto"/>
        </w:rPr>
      </w:pPr>
      <w:r>
        <w:rPr>
          <w:rFonts w:ascii="Times New Roman" w:cs="Times New Roman" w:eastAsia="Times New Roman" w:hAnsi="Times New Roman"/>
          <w:sz w:val="18"/>
          <w:szCs w:val="18"/>
          <w:color w:val="auto"/>
        </w:rPr>
        <w:t>The Company does not expect to make a contribution to the U.S. pension plan during the year ending December 31, 2019. The Company expects to contribute approximately $4,000 to the other non-U.S. pension plans during the year ending December 31, 2019.</w:t>
      </w:r>
    </w:p>
    <w:p>
      <w:pPr>
        <w:spacing w:after="0" w:line="162" w:lineRule="exact"/>
        <w:rPr>
          <w:sz w:val="20"/>
          <w:szCs w:val="20"/>
          <w:color w:val="auto"/>
        </w:rPr>
      </w:pPr>
    </w:p>
    <w:p>
      <w:pPr>
        <w:ind w:right="140" w:firstLine="59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20" w:type="dxa"/>
            <w:vAlign w:val="bottom"/>
            <w:tcBorders>
              <w:bottom w:val="single" w:sz="8" w:color="CFF0FC"/>
            </w:tcBorders>
          </w:tcPr>
          <w:p>
            <w:pPr>
              <w:spacing w:after="0"/>
              <w:rPr>
                <w:sz w:val="13"/>
                <w:szCs w:val="13"/>
                <w:color w:val="auto"/>
              </w:rPr>
            </w:pPr>
          </w:p>
        </w:tc>
        <w:tc>
          <w:tcPr>
            <w:tcW w:w="31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4100" w:type="dxa"/>
            <w:vAlign w:val="bottom"/>
            <w:gridSpan w:val="2"/>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763,831</w:t>
            </w:r>
          </w:p>
        </w:tc>
        <w:tc>
          <w:tcPr>
            <w:tcW w:w="160" w:type="dxa"/>
            <w:vAlign w:val="bottom"/>
          </w:tcPr>
          <w:p>
            <w:pPr>
              <w:spacing w:after="0"/>
              <w:rPr>
                <w:sz w:val="19"/>
                <w:szCs w:val="19"/>
                <w:color w:val="auto"/>
              </w:rPr>
            </w:pPr>
          </w:p>
        </w:tc>
        <w:tc>
          <w:tcPr>
            <w:tcW w:w="58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Amendments</w:t>
            </w:r>
          </w:p>
        </w:tc>
        <w:tc>
          <w:tcPr>
            <w:tcW w:w="3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3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(64,747)</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3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(36,095)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655,015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763,831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728,281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646,119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3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3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(34,933)</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63,716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1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642,837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728,281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Funded (deficit) at end of year</w:t>
            </w:r>
          </w:p>
        </w:tc>
        <w:tc>
          <w:tcPr>
            <w:tcW w:w="3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(12,178)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Amounts recognized in the consolidated statements</w:t>
            </w:r>
          </w:p>
        </w:tc>
        <w:tc>
          <w:tcPr>
            <w:tcW w:w="3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20" w:type="dxa"/>
            <w:vAlign w:val="bottom"/>
            <w:vMerge w:val="continue"/>
          </w:tcPr>
          <w:p>
            <w:pPr>
              <w:spacing w:after="0"/>
              <w:rPr>
                <w:sz w:val="16"/>
                <w:szCs w:val="16"/>
                <w:color w:val="auto"/>
              </w:rPr>
            </w:pPr>
          </w:p>
        </w:tc>
        <w:tc>
          <w:tcPr>
            <w:tcW w:w="3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financial condition at December 31, 2018 and</w:t>
            </w:r>
          </w:p>
        </w:tc>
        <w:tc>
          <w:tcPr>
            <w:tcW w:w="3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2017 consist of:</w:t>
            </w:r>
          </w:p>
        </w:tc>
        <w:tc>
          <w:tcPr>
            <w:tcW w:w="3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pension asset (included in “other assets”)</w:t>
            </w:r>
          </w:p>
        </w:tc>
        <w:tc>
          <w:tcPr>
            <w:tcW w:w="4100" w:type="dxa"/>
            <w:vAlign w:val="bottom"/>
            <w:gridSpan w:val="2"/>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benefit liability (included in “other</w:t>
            </w:r>
          </w:p>
        </w:tc>
        <w:tc>
          <w:tcPr>
            <w:tcW w:w="3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liabilities”)</w:t>
            </w:r>
          </w:p>
        </w:tc>
        <w:tc>
          <w:tcPr>
            <w:tcW w:w="3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(31,751)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31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(12,178)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Amounts recognized in AOCI (excluding tax</w:t>
            </w:r>
          </w:p>
        </w:tc>
        <w:tc>
          <w:tcPr>
            <w:tcW w:w="3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20" w:type="dxa"/>
            <w:vAlign w:val="bottom"/>
            <w:vMerge w:val="continue"/>
          </w:tcPr>
          <w:p>
            <w:pPr>
              <w:spacing w:after="0"/>
              <w:rPr>
                <w:sz w:val="16"/>
                <w:szCs w:val="16"/>
                <w:color w:val="auto"/>
              </w:rPr>
            </w:pPr>
          </w:p>
        </w:tc>
        <w:tc>
          <w:tcPr>
            <w:tcW w:w="3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of $33,231 and $35,154 at December 31,</w:t>
            </w:r>
          </w:p>
        </w:tc>
        <w:tc>
          <w:tcPr>
            <w:tcW w:w="3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2018 and 2017, respectively) consist of:</w:t>
            </w:r>
          </w:p>
        </w:tc>
        <w:tc>
          <w:tcPr>
            <w:tcW w:w="3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Actuarial net loss (gain)</w:t>
            </w:r>
          </w:p>
        </w:tc>
        <w:tc>
          <w:tcPr>
            <w:tcW w:w="4100" w:type="dxa"/>
            <w:vAlign w:val="bottom"/>
            <w:gridSpan w:val="2"/>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173,732</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184,135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31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3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176,910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184,135</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14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116</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69" w:lineRule="exact"/>
        <w:rPr>
          <w:sz w:val="20"/>
          <w:szCs w:val="20"/>
          <w:color w:val="auto"/>
        </w:rPr>
      </w:pPr>
    </w:p>
    <w:p>
      <w:pPr>
        <w:ind w:right="8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plan assets, the accumulated benefit obligation and the projected benefit obligation at December 31, 2018 and 2017:</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U.S. Pension Plans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Non-U.S. Pension Plans</w:t>
            </w:r>
          </w:p>
        </w:tc>
        <w:tc>
          <w:tcPr>
            <w:tcW w:w="200" w:type="dxa"/>
            <w:vAlign w:val="bottom"/>
          </w:tcPr>
          <w:p>
            <w:pPr>
              <w:spacing w:after="0"/>
              <w:rPr>
                <w:sz w:val="14"/>
                <w:szCs w:val="14"/>
                <w:color w:val="auto"/>
              </w:rPr>
            </w:pPr>
          </w:p>
        </w:tc>
        <w:tc>
          <w:tcPr>
            <w:tcW w:w="11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Pr>
          <w:p>
            <w:pPr>
              <w:spacing w:after="0"/>
              <w:rPr>
                <w:sz w:val="15"/>
                <w:szCs w:val="15"/>
                <w:color w:val="auto"/>
              </w:rPr>
            </w:pPr>
          </w:p>
        </w:tc>
        <w:tc>
          <w:tcPr>
            <w:tcW w:w="1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56"/>
        </w:trPr>
        <w:tc>
          <w:tcPr>
            <w:tcW w:w="35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20,813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622,024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703,637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642,837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728,281</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28,869</w:t>
            </w:r>
          </w:p>
        </w:tc>
        <w:tc>
          <w:tcPr>
            <w:tcW w:w="1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35,376</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626,146</w:t>
            </w:r>
          </w:p>
        </w:tc>
        <w:tc>
          <w:tcPr>
            <w:tcW w:w="10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728,455</w:t>
            </w:r>
          </w:p>
        </w:tc>
        <w:tc>
          <w:tcPr>
            <w:tcW w:w="2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655,015</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763,831</w:t>
            </w:r>
          </w:p>
        </w:tc>
        <w:tc>
          <w:tcPr>
            <w:tcW w:w="10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28,869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35,376</w:t>
            </w:r>
          </w:p>
        </w:tc>
        <w:tc>
          <w:tcPr>
            <w:tcW w:w="4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626,146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728,455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655,015</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763,831</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ind w:right="64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benefit cost (credit), the return on the Company’s post-retirement plan assets, benefits paid, contributions and other amounts recognized in AOCI for the years ended December 31, 2018, 2017 and 2016:</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Medical Plan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3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3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3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2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20" w:type="dxa"/>
            <w:vAlign w:val="bottom"/>
          </w:tcPr>
          <w:p>
            <w:pPr>
              <w:spacing w:after="0"/>
              <w:rPr>
                <w:sz w:val="19"/>
                <w:szCs w:val="19"/>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0" w:type="dxa"/>
            <w:vAlign w:val="bottom"/>
          </w:tcPr>
          <w:p>
            <w:pPr>
              <w:spacing w:after="0"/>
              <w:rPr>
                <w:sz w:val="19"/>
                <w:szCs w:val="19"/>
                <w:color w:val="auto"/>
              </w:rPr>
            </w:pP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tcPr>
          <w:p>
            <w:pPr>
              <w:spacing w:after="0"/>
              <w:rPr>
                <w:sz w:val="19"/>
                <w:szCs w:val="19"/>
                <w:color w:val="auto"/>
              </w:rPr>
            </w:pPr>
          </w:p>
        </w:tc>
        <w:tc>
          <w:tcPr>
            <w:tcW w:w="70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19,871</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(29,622)</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(27,337)</w:t>
            </w: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Prior service cost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actuarial loss (gain)</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loss (gain)</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3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(10,608)</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43,624</w:t>
            </w:r>
          </w:p>
        </w:tc>
        <w:tc>
          <w:tcPr>
            <w:tcW w:w="200" w:type="dxa"/>
            <w:vAlign w:val="bottom"/>
          </w:tcPr>
          <w:p>
            <w:pPr>
              <w:spacing w:after="0"/>
              <w:rPr>
                <w:sz w:val="19"/>
                <w:szCs w:val="19"/>
                <w:color w:val="auto"/>
              </w:rPr>
            </w:pP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119,287</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9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16,844</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62,056</w:t>
            </w:r>
          </w:p>
        </w:tc>
        <w:tc>
          <w:tcPr>
            <w:tcW w:w="220" w:type="dxa"/>
            <w:vAlign w:val="bottom"/>
          </w:tcPr>
          <w:p>
            <w:pPr>
              <w:spacing w:after="0"/>
              <w:rPr>
                <w:sz w:val="19"/>
                <w:szCs w:val="19"/>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42,022</w:t>
            </w:r>
          </w:p>
        </w:tc>
        <w:tc>
          <w:tcPr>
            <w:tcW w:w="200" w:type="dxa"/>
            <w:vAlign w:val="bottom"/>
          </w:tcPr>
          <w:p>
            <w:pPr>
              <w:spacing w:after="0"/>
              <w:rPr>
                <w:sz w:val="19"/>
                <w:szCs w:val="19"/>
                <w:color w:val="auto"/>
              </w:rPr>
            </w:pP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29,384</w:t>
            </w:r>
          </w:p>
        </w:tc>
        <w:tc>
          <w:tcPr>
            <w:tcW w:w="220" w:type="dxa"/>
            <w:vAlign w:val="bottom"/>
          </w:tcPr>
          <w:p>
            <w:pPr>
              <w:spacing w:after="0"/>
              <w:rPr>
                <w:sz w:val="19"/>
                <w:szCs w:val="19"/>
                <w:color w:val="auto"/>
              </w:rPr>
            </w:pPr>
          </w:p>
        </w:tc>
        <w:tc>
          <w:tcPr>
            <w:tcW w:w="70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changes in plan assets and benefit</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obligations recognized in AOCI (excluding</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 expense (benefit) of $1,923, $(1,287)</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and $(3,448) during the years ended</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December 31, 2018, 2017 and 2016,</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actuarial (gain) loss</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11,073</w:t>
            </w:r>
          </w:p>
        </w:tc>
        <w:tc>
          <w:tcPr>
            <w:tcW w:w="220" w:type="dxa"/>
            <w:vAlign w:val="bottom"/>
          </w:tcPr>
          <w:p>
            <w:pPr>
              <w:spacing w:after="0"/>
              <w:rPr>
                <w:sz w:val="19"/>
                <w:szCs w:val="19"/>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(17,357)</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51,626</w:t>
            </w:r>
          </w:p>
        </w:tc>
        <w:tc>
          <w:tcPr>
            <w:tcW w:w="220" w:type="dxa"/>
            <w:vAlign w:val="bottom"/>
          </w:tcPr>
          <w:p>
            <w:pPr>
              <w:spacing w:after="0"/>
              <w:rPr>
                <w:sz w:val="19"/>
                <w:szCs w:val="19"/>
                <w:color w:val="auto"/>
              </w:rPr>
            </w:pPr>
          </w:p>
        </w:tc>
        <w:tc>
          <w:tcPr>
            <w:tcW w:w="70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Reclassification of prior service (cost)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credit to earnings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(2,369)</w:t>
            </w: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Reclassification of actuarial gain (loss)</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to earnings</w:t>
            </w: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(13,052)</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(10,141)</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(3,888)</w:t>
            </w: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adjustments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(8,424)</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(20,309)</w:t>
            </w:r>
          </w:p>
        </w:tc>
        <w:tc>
          <w:tcPr>
            <w:tcW w:w="7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recognized in AOCI</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3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amount recognized in total periodic</w:t>
            </w: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 cost and AOCI</w:t>
            </w: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(7,324)</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(5,419)</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25,086</w:t>
            </w:r>
          </w:p>
        </w:tc>
        <w:tc>
          <w:tcPr>
            <w:tcW w:w="220" w:type="dxa"/>
            <w:vAlign w:val="bottom"/>
          </w:tcPr>
          <w:p>
            <w:pPr>
              <w:spacing w:after="0"/>
              <w:rPr>
                <w:sz w:val="20"/>
                <w:szCs w:val="20"/>
                <w:color w:val="auto"/>
              </w:rPr>
            </w:pPr>
          </w:p>
        </w:tc>
        <w:tc>
          <w:tcPr>
            <w:tcW w:w="700" w:type="dxa"/>
            <w:vAlign w:val="bottom"/>
          </w:tcPr>
          <w:p>
            <w:pPr>
              <w:jc w:val="right"/>
              <w:ind w:right="53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69" w:lineRule="exact"/>
        <w:rPr>
          <w:sz w:val="20"/>
          <w:szCs w:val="20"/>
          <w:color w:val="auto"/>
        </w:rPr>
      </w:pPr>
    </w:p>
    <w:p>
      <w:pPr>
        <w:ind w:right="920" w:firstLine="598"/>
        <w:spacing w:after="0" w:line="282" w:lineRule="auto"/>
        <w:rPr>
          <w:sz w:val="20"/>
          <w:szCs w:val="20"/>
          <w:color w:val="auto"/>
        </w:rPr>
      </w:pPr>
      <w:r>
        <w:rPr>
          <w:rFonts w:ascii="Times New Roman" w:cs="Times New Roman" w:eastAsia="Times New Roman" w:hAnsi="Times New Roman"/>
          <w:sz w:val="18"/>
          <w:szCs w:val="18"/>
          <w:color w:val="auto"/>
        </w:rPr>
        <w:t>The amounts in AOCI on the consolidated statement of financial condition as of December 31, 2018 that are expected to be recognized as components of net periodic benefit cost (credit) for the year ending December 31, 2019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Pension</w:t>
            </w:r>
          </w:p>
        </w:tc>
      </w:tr>
      <w:tr>
        <w:trPr>
          <w:trHeight w:val="173"/>
        </w:trPr>
        <w:tc>
          <w:tcPr>
            <w:tcW w:w="53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Plans</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actuarial loss</w:t>
            </w:r>
          </w:p>
        </w:tc>
        <w:tc>
          <w:tcPr>
            <w:tcW w:w="40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44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assumptions used to develop actuarial present value of the projected benefit obligation and net periodic pension cost as of or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2017 and 2016 are set forth below:</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Medical Plan</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46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62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05"/>
        </w:trPr>
        <w:tc>
          <w:tcPr>
            <w:tcW w:w="46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 average assumptions used to</w:t>
            </w:r>
          </w:p>
        </w:tc>
        <w:tc>
          <w:tcPr>
            <w:tcW w:w="6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5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determine benefit obligations:</w:t>
            </w: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5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Discount rate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11"/>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assumptions used to</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determine net periodic benefit cost:</w:t>
            </w: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5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Discount rate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11"/>
        </w:trPr>
        <w:tc>
          <w:tcPr>
            <w:tcW w:w="52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Expected long-term rate of return on plan</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2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r>
      <w:tr>
        <w:trPr>
          <w:trHeight w:val="21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cost trend rates used to determine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52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Initial</w:t>
            </w: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Ultimate</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52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Year ultimate trend rate achieved</w:t>
            </w: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jc w:val="both"/>
        <w:ind w:right="40" w:firstLine="598"/>
        <w:spacing w:after="0" w:line="282" w:lineRule="auto"/>
        <w:rPr>
          <w:sz w:val="20"/>
          <w:szCs w:val="20"/>
          <w:color w:val="auto"/>
        </w:rPr>
      </w:pPr>
      <w:r>
        <w:rPr>
          <w:rFonts w:ascii="Times New Roman" w:cs="Times New Roman" w:eastAsia="Times New Roman" w:hAnsi="Times New Roman"/>
          <w:sz w:val="18"/>
          <w:szCs w:val="18"/>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162" w:lineRule="exact"/>
        <w:rPr>
          <w:sz w:val="20"/>
          <w:szCs w:val="20"/>
          <w:color w:val="auto"/>
        </w:rPr>
      </w:pPr>
    </w:p>
    <w:p>
      <w:pPr>
        <w:ind w:right="80" w:firstLine="598"/>
        <w:spacing w:after="0" w:line="266" w:lineRule="auto"/>
        <w:rPr>
          <w:sz w:val="20"/>
          <w:szCs w:val="20"/>
          <w:color w:val="auto"/>
        </w:rPr>
      </w:pPr>
      <w:r>
        <w:rPr>
          <w:rFonts w:ascii="Times New Roman" w:cs="Times New Roman" w:eastAsia="Times New Roman" w:hAnsi="Times New Roman"/>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historical returns. This basis is consistent for all years presented.</w:t>
      </w:r>
    </w:p>
    <w:p>
      <w:pPr>
        <w:spacing w:after="0" w:line="213" w:lineRule="exact"/>
        <w:rPr>
          <w:sz w:val="20"/>
          <w:szCs w:val="20"/>
          <w:color w:val="auto"/>
        </w:rPr>
      </w:pPr>
    </w:p>
    <w:p>
      <w:pPr>
        <w:ind w:right="220" w:firstLine="59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Expected Benefit Payments</w:t>
      </w:r>
      <w:r>
        <w:rPr>
          <w:rFonts w:ascii="Times New Roman" w:cs="Times New Roman" w:eastAsia="Times New Roman" w:hAnsi="Times New Roman"/>
          <w:sz w:val="18"/>
          <w:szCs w:val="18"/>
          <w:color w:val="auto"/>
        </w:rPr>
        <w:t>—The following table summarizes the expected benefit payments for the Company’s pension plans for each of the next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five fiscal years and in the aggregate for the five fiscal years thereafter: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160" w:type="dxa"/>
            <w:vAlign w:val="bottom"/>
          </w:tcPr>
          <w:p>
            <w:pPr>
              <w:spacing w:after="0"/>
              <w:rPr>
                <w:sz w:val="14"/>
                <w:szCs w:val="14"/>
                <w:color w:val="auto"/>
              </w:rPr>
            </w:pPr>
          </w:p>
        </w:tc>
      </w:tr>
      <w:tr>
        <w:trPr>
          <w:trHeight w:val="173"/>
        </w:trPr>
        <w:tc>
          <w:tcPr>
            <w:tcW w:w="1160" w:type="dxa"/>
            <w:vAlign w:val="bottom"/>
          </w:tcPr>
          <w:p>
            <w:pPr>
              <w:spacing w:after="0"/>
              <w:rPr>
                <w:sz w:val="15"/>
                <w:szCs w:val="15"/>
                <w:color w:val="auto"/>
              </w:rPr>
            </w:pPr>
          </w:p>
        </w:tc>
        <w:tc>
          <w:tcPr>
            <w:tcW w:w="2600" w:type="dxa"/>
            <w:vAlign w:val="bottom"/>
            <w:tcBorders>
              <w:bottom w:val="single" w:sz="8" w:color="CFF0FC"/>
            </w:tcBorders>
          </w:tcPr>
          <w:p>
            <w:pPr>
              <w:spacing w:after="0"/>
              <w:rPr>
                <w:sz w:val="15"/>
                <w:szCs w:val="15"/>
                <w:color w:val="auto"/>
              </w:rPr>
            </w:pPr>
          </w:p>
        </w:tc>
        <w:tc>
          <w:tcPr>
            <w:tcW w:w="49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160" w:type="dxa"/>
            <w:vAlign w:val="bottom"/>
          </w:tcPr>
          <w:p>
            <w:pPr>
              <w:spacing w:after="0"/>
              <w:rPr>
                <w:sz w:val="15"/>
                <w:szCs w:val="15"/>
                <w:color w:val="auto"/>
              </w:rPr>
            </w:pPr>
          </w:p>
        </w:tc>
      </w:tr>
      <w:tr>
        <w:trPr>
          <w:trHeight w:val="223"/>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24,782</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24,570</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27,051</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28,053</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28,787</w:t>
            </w:r>
          </w:p>
        </w:tc>
        <w:tc>
          <w:tcPr>
            <w:tcW w:w="116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2024-2028</w:t>
            </w:r>
          </w:p>
        </w:tc>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152,854</w:t>
            </w:r>
          </w:p>
        </w:tc>
        <w:tc>
          <w:tcPr>
            <w:tcW w:w="1160" w:type="dxa"/>
            <w:vAlign w:val="bottom"/>
          </w:tcPr>
          <w:p>
            <w:pPr>
              <w:spacing w:after="0"/>
              <w:rPr>
                <w:sz w:val="20"/>
                <w:szCs w:val="20"/>
                <w:color w:val="auto"/>
              </w:rPr>
            </w:pPr>
          </w:p>
        </w:tc>
      </w:tr>
      <w:tr>
        <w:trPr>
          <w:trHeight w:val="643"/>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90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20" w:name="page121"/>
    <w:bookmarkEnd w:id="1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65" w:lineRule="exact"/>
        <w:rPr>
          <w:sz w:val="20"/>
          <w:szCs w:val="20"/>
          <w:color w:val="auto"/>
        </w:rPr>
      </w:pPr>
    </w:p>
    <w:p>
      <w:pPr>
        <w:ind w:right="20" w:firstLine="59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Plan Assets</w:t>
      </w:r>
      <w:r>
        <w:rPr>
          <w:rFonts w:ascii="Times New Roman" w:cs="Times New Roman" w:eastAsia="Times New Roman" w:hAnsi="Times New Roman"/>
          <w:sz w:val="18"/>
          <w:szCs w:val="18"/>
          <w:color w:val="auto"/>
        </w:rPr>
        <w:t>—The following tables present the categorization of our pension plans’ assets as of December 31, 2018 and 2017, measured at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a fair value hierarchy and investments measured at NAV or its equivalent as a practical expedient in accordance with fair value measurement disclosure requirements: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6"/>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
        </w:trPr>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NAV (a)</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81,533</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Equities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27,585</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Funds: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Alternative investments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29,975</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322,739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333,332</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151,199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162,802</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Derivative</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277,529</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642,837</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NAV (a)</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73,728</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Equities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36,854</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Funds: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Alternative investments</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Debt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374,917</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Equity</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204,636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Derivative</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326,003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397,868</w:t>
            </w:r>
          </w:p>
        </w:tc>
        <w:tc>
          <w:tcPr>
            <w:tcW w:w="220" w:type="dxa"/>
            <w:vAlign w:val="bottom"/>
            <w:gridSpan w:val="2"/>
          </w:tcPr>
          <w:p>
            <w:pPr>
              <w:spacing w:after="0"/>
              <w:rPr>
                <w:sz w:val="19"/>
                <w:szCs w:val="19"/>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728,281</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2" w:lineRule="exact"/>
        <w:rPr>
          <w:sz w:val="20"/>
          <w:szCs w:val="20"/>
          <w:color w:val="auto"/>
        </w:rPr>
      </w:pPr>
    </w:p>
    <w:p>
      <w:pPr>
        <w:ind w:left="600" w:right="420" w:hanging="592"/>
        <w:spacing w:after="0" w:line="282" w:lineRule="auto"/>
        <w:tabs>
          <w:tab w:leader="none" w:pos="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investments measured at NAV or its equivalent as a practical expedient in determining fair value. In accordance with current accounting guidance, these investments have not been classified in the fair value hierarchy.</w:t>
      </w:r>
    </w:p>
    <w:p>
      <w:pPr>
        <w:spacing w:after="0" w:line="162" w:lineRule="exact"/>
        <w:rPr>
          <w:sz w:val="20"/>
          <w:szCs w:val="20"/>
          <w:color w:val="auto"/>
        </w:rPr>
      </w:pPr>
    </w:p>
    <w:p>
      <w:pPr>
        <w:ind w:right="480" w:firstLine="598"/>
        <w:spacing w:after="0" w:line="282" w:lineRule="auto"/>
        <w:rPr>
          <w:sz w:val="20"/>
          <w:szCs w:val="20"/>
          <w:color w:val="auto"/>
        </w:rPr>
      </w:pPr>
      <w:r>
        <w:rPr>
          <w:rFonts w:ascii="Times New Roman" w:cs="Times New Roman" w:eastAsia="Times New Roman" w:hAnsi="Times New Roman"/>
          <w:sz w:val="18"/>
          <w:szCs w:val="18"/>
          <w:color w:val="auto"/>
        </w:rPr>
        <w:t>Included in equity funds are $87,129 and $102,455 as of December 31, 2018 and 2017, respectively, that are invested in funds managed by the Company.</w:t>
      </w:r>
    </w:p>
    <w:p>
      <w:pPr>
        <w:spacing w:after="0" w:line="162"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Consistent with the plans’ investment strategies, at December 31, 2018 and 2017, the Company’s U.S. pension plan had 49% and 55%, respectively, of the plans’ assets invested in equity funds in Level 1 and measured at NAV or its equivalent as a practical expedient and 51% and 45%, respectively, invested in Level 1 debt funds. The Company’s non-U.S. pension plans at December 31, 2018 and 2017 had 29% and 32%, respectively, of the plans’ assets invested in equities and equity funds that are primarily Level 1 assets; 65% and 62%, respectively, of the plans’ assets invested in debt and debt funds that are Level 1 assets or measured at NAV or its equivalent as a practical expedient, and 6% and 6%, respectively, of the plans’ assets invested in cash, which is a Level 1 asset, or in alternative investment funds that are primarily measured at NAV.</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0"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Investment Policies and Strategies</w:t>
      </w:r>
      <w:r>
        <w:rPr>
          <w:rFonts w:ascii="Times New Roman" w:cs="Times New Roman" w:eastAsia="Times New Roman" w:hAnsi="Times New Roman"/>
          <w:sz w:val="18"/>
          <w:szCs w:val="18"/>
          <w:color w:val="auto"/>
        </w:rPr>
        <w:t>—The primary investment goal is to ensure that the pension plans remain well funded, taking account of the likely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risks to investment returns and contributions. As a result, a portfolio of assets is maintained with appropriate liquidity and diversification that can be expected to generate long-term future returns that minimize the long-term costs of the pension plans without exposing the plans to an unacceptable risk of under-funding. The Company’s likely future ability to pay such contributions as are required to maintain the funded status of the plans over a reasonable time period is considered when determining the level of risk that is appropriate. The fair value of plan investments classified as Level 1 assets are based on market quotes. The fair value of plan investments measured at NAV or its equivalent as a practical expedient is determined based on information provided by external fund administrators and such investments are redeemable in the near term.</w:t>
      </w:r>
    </w:p>
    <w:p>
      <w:pPr>
        <w:spacing w:after="0" w:line="183" w:lineRule="exact"/>
        <w:rPr>
          <w:sz w:val="20"/>
          <w:szCs w:val="20"/>
          <w:color w:val="auto"/>
        </w:rPr>
      </w:pPr>
    </w:p>
    <w:p>
      <w:pPr>
        <w:ind w:right="420" w:firstLine="59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r>
        <w:rPr>
          <w:rFonts w:ascii="Times New Roman" w:cs="Times New Roman" w:eastAsia="Times New Roman" w:hAnsi="Times New Roman"/>
          <w:sz w:val="18"/>
          <w:szCs w:val="18"/>
          <w:color w:val="auto"/>
        </w:rPr>
        <w:t>—Pursuant to certain matching contributions, the Company contributes to employer sponsored defined contribution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 Such contributions amounted to $15,872, $15,065 and $14,454 for the years ended December 31, 2018, 2017 and 2016, respectively, which are included in “compensation and benefits” expense on the consolidated statements of operations.</w:t>
      </w:r>
    </w:p>
    <w:p>
      <w:pPr>
        <w:spacing w:after="0" w:line="360" w:lineRule="exact"/>
        <w:rPr>
          <w:sz w:val="20"/>
          <w:szCs w:val="20"/>
          <w:color w:val="auto"/>
        </w:rPr>
      </w:pPr>
    </w:p>
    <w:p>
      <w:pPr>
        <w:ind w:left="600" w:hanging="592"/>
        <w:spacing w:after="0"/>
        <w:tabs>
          <w:tab w:leader="none" w:pos="60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60" w:firstLine="598"/>
        <w:spacing w:after="0" w:line="258" w:lineRule="auto"/>
        <w:rPr>
          <w:sz w:val="20"/>
          <w:szCs w:val="20"/>
          <w:color w:val="auto"/>
        </w:rPr>
      </w:pPr>
      <w:r>
        <w:rPr>
          <w:rFonts w:ascii="Times New Roman" w:cs="Times New Roman" w:eastAsia="Times New Roman" w:hAnsi="Times New Roman"/>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84" w:lineRule="exact"/>
        <w:rPr>
          <w:sz w:val="20"/>
          <w:szCs w:val="20"/>
          <w:color w:val="auto"/>
        </w:rPr>
      </w:pPr>
    </w:p>
    <w:p>
      <w:pPr>
        <w:ind w:right="120" w:firstLine="598"/>
        <w:spacing w:after="0" w:line="258" w:lineRule="auto"/>
        <w:rPr>
          <w:sz w:val="20"/>
          <w:szCs w:val="20"/>
          <w:color w:val="auto"/>
        </w:rPr>
      </w:pPr>
      <w:r>
        <w:rPr>
          <w:rFonts w:ascii="Times New Roman" w:cs="Times New Roman" w:eastAsia="Times New Roman" w:hAnsi="Times New Roman"/>
          <w:sz w:val="18"/>
          <w:szCs w:val="18"/>
          <w:color w:val="auto"/>
        </w:rPr>
        <w:t>On December 22, 2017, the Tax Cuts and Jobs Act (the “Tax Act”) was enacted. The Tax Act significantly revised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included several provisions that limited the benefit of the tax rate reduction, such as restricting the deductibility of interest expense and other corporate business expenses. The Tax Act further included anti-base erosion provisions such as the base erosion and anti-abuse tax and tax on global intangible low-taxed income.</w:t>
      </w:r>
    </w:p>
    <w:p>
      <w:pPr>
        <w:spacing w:after="0" w:line="184" w:lineRule="exact"/>
        <w:rPr>
          <w:sz w:val="20"/>
          <w:szCs w:val="20"/>
          <w:color w:val="auto"/>
        </w:rPr>
      </w:pPr>
    </w:p>
    <w:p>
      <w:pPr>
        <w:jc w:val="both"/>
        <w:ind w:right="20" w:firstLine="598"/>
        <w:spacing w:after="0" w:line="261" w:lineRule="auto"/>
        <w:rPr>
          <w:sz w:val="20"/>
          <w:szCs w:val="20"/>
          <w:color w:val="auto"/>
        </w:rPr>
      </w:pPr>
      <w:r>
        <w:rPr>
          <w:rFonts w:ascii="Times New Roman" w:cs="Times New Roman" w:eastAsia="Times New Roman" w:hAnsi="Times New Roman"/>
          <w:sz w:val="18"/>
          <w:szCs w:val="18"/>
          <w:color w:val="auto"/>
        </w:rPr>
        <w:t>As a result of the reduction of the U.S. federal corporate tax rate to 21%, the Company was required to remeasure its deferred tax assets and liabilities at the new federal income tax rate of 21% based on the balances that existed on the date of the enactment of the Tax Act. The lower corporate tax rate resulted in a reduction of our net deferred tax assets by approximately $420,000 in the year ended December 31, 2017. See also Note 19 for the impact of the Tax Act on the tax receivable agreement obligation.</w:t>
      </w:r>
    </w:p>
    <w:p>
      <w:pPr>
        <w:spacing w:after="0" w:line="180" w:lineRule="exact"/>
        <w:rPr>
          <w:sz w:val="20"/>
          <w:szCs w:val="20"/>
          <w:color w:val="auto"/>
        </w:rPr>
      </w:pPr>
    </w:p>
    <w:p>
      <w:pPr>
        <w:ind w:right="80" w:firstLine="598"/>
        <w:spacing w:after="0" w:line="256" w:lineRule="auto"/>
        <w:rPr>
          <w:sz w:val="20"/>
          <w:szCs w:val="20"/>
          <w:color w:val="auto"/>
        </w:rPr>
      </w:pPr>
      <w:r>
        <w:rPr>
          <w:rFonts w:ascii="Times New Roman" w:cs="Times New Roman" w:eastAsia="Times New Roman" w:hAnsi="Times New Roman"/>
          <w:sz w:val="18"/>
          <w:szCs w:val="18"/>
          <w:color w:val="auto"/>
        </w:rPr>
        <w:t>The Tax Act also required companies to pay a one-time repatriation tax on previously unremitted earnings of certain non-U.S. corporate subsidiaries. Most of the Company’s operations outside the U.S. are conducted in “pass-through” entities for U.S. income tax purposes, and, as a result, the deemed repatriation transition tax did not apply to these pass-through entities or their earnings. The Company instead provides for U.S. income taxes on a current basis for those earnings. The Company also conducts operations outside the U.S. through foreign corporate subsidiaries, and the Company recorded a provisional amount of deferred tax expense in the year ended December 31, 2017 related to the one-time repatriation tax on the foreign earnings of those corporate subsidiaries.</w:t>
      </w:r>
    </w:p>
    <w:p>
      <w:pPr>
        <w:spacing w:after="0" w:line="188" w:lineRule="exact"/>
        <w:rPr>
          <w:sz w:val="20"/>
          <w:szCs w:val="20"/>
          <w:color w:val="auto"/>
        </w:rPr>
      </w:pPr>
    </w:p>
    <w:p>
      <w:pPr>
        <w:ind w:right="40" w:firstLine="598"/>
        <w:spacing w:after="0" w:line="261" w:lineRule="auto"/>
        <w:rPr>
          <w:sz w:val="20"/>
          <w:szCs w:val="20"/>
          <w:color w:val="auto"/>
        </w:rPr>
      </w:pPr>
      <w:r>
        <w:rPr>
          <w:rFonts w:ascii="Times New Roman" w:cs="Times New Roman" w:eastAsia="Times New Roman" w:hAnsi="Times New Roman"/>
          <w:sz w:val="18"/>
          <w:szCs w:val="18"/>
          <w:color w:val="auto"/>
        </w:rPr>
        <w:t>In accordance with the guidance provided by Staff Accounting Bulletin No. 118, the Company recognized the provisional tax impact related to the one-time deemed repatriation tax on certain foreign earnings and the remeasurement of our deferred tax assets in the year ended December 31, 2017. In 2018, we finalized our analysis of the provisional items, including the one-time repatriation tax, and adjustments to previously recorded provisional amounts related to the Tax Act were not material to the Company’s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2" w:name="page123"/>
    <w:bookmarkEnd w:id="12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On January 1, 2017, the Company adopted new accounting guidance on share-based incentive compensation. As a result of the adoption of this new guidance, the Company recognized excess tax benefits of approximately $33,000 and $9,000 from the vesting of share-based incentive compensation in the provision for income taxes in the consolidated statements of operations for the years ended December 31, 2018 and 2017, respectively. The Company also recorded deferred tax assets of $81,544, net of a valuation allowance of $12,090, as of January 1, 2017, for previously unrecognized excess tax benefits (including tax benefits from dividends or dividend equivalents) on share-based incentive compensation, with an offsetting adjustment to retained earnings.</w:t>
      </w:r>
    </w:p>
    <w:p>
      <w:pPr>
        <w:spacing w:after="0" w:line="184" w:lineRule="exact"/>
        <w:rPr>
          <w:sz w:val="20"/>
          <w:szCs w:val="20"/>
          <w:color w:val="auto"/>
        </w:rPr>
      </w:pPr>
    </w:p>
    <w:p>
      <w:pPr>
        <w:ind w:right="160" w:firstLine="598"/>
        <w:spacing w:after="0" w:line="282" w:lineRule="auto"/>
        <w:rPr>
          <w:sz w:val="20"/>
          <w:szCs w:val="20"/>
          <w:color w:val="auto"/>
        </w:rPr>
      </w:pPr>
      <w:r>
        <w:rPr>
          <w:rFonts w:ascii="Times New Roman" w:cs="Times New Roman" w:eastAsia="Times New Roman" w:hAnsi="Times New Roman"/>
          <w:sz w:val="18"/>
          <w:szCs w:val="18"/>
          <w:color w:val="auto"/>
        </w:rPr>
        <w:t>The components of the Company’s provision for income taxes for the years ended December 31, 2018, 2017 and 2016, and a reconciliation of the U.S. federal statutory income tax rate to the Company’s effective tax rates for such years, are shown below.</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8"/>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95,279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64,119</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54,253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102,931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64,436</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60,109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480,085</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50,602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(12,632)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8,150</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501,163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565,599</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123,769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tax reform</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source income not subject to U.S.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Change in U.S. federal valuation allowance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incentive compensation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credits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of non-controlling interests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68.5%</w:t>
            </w: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Note 21 regarding “operating income (loss)” by geographic region.</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17" w:right="39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260" w:firstLine="598"/>
        <w:spacing w:after="0" w:line="266" w:lineRule="auto"/>
        <w:rPr>
          <w:sz w:val="20"/>
          <w:szCs w:val="20"/>
          <w:color w:val="auto"/>
        </w:rPr>
      </w:pPr>
      <w:r>
        <w:rPr>
          <w:rFonts w:ascii="Times New Roman" w:cs="Times New Roman" w:eastAsia="Times New Roman" w:hAnsi="Times New Roman"/>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gridSpan w:val="4"/>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
        </w:trPr>
        <w:tc>
          <w:tcPr>
            <w:tcW w:w="17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Basis adjustments (a)</w:t>
            </w:r>
          </w:p>
        </w:tc>
        <w:tc>
          <w:tcPr>
            <w:tcW w:w="30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288,764</w:t>
            </w:r>
          </w:p>
        </w:tc>
        <w:tc>
          <w:tcPr>
            <w:tcW w:w="280" w:type="dxa"/>
            <w:vAlign w:val="bottom"/>
          </w:tcPr>
          <w:p>
            <w:pPr>
              <w:spacing w:after="0"/>
              <w:rPr>
                <w:sz w:val="19"/>
                <w:szCs w:val="19"/>
                <w:color w:val="auto"/>
              </w:rPr>
            </w:pPr>
          </w:p>
        </w:tc>
        <w:tc>
          <w:tcPr>
            <w:tcW w:w="460" w:type="dxa"/>
            <w:vAlign w:val="bottom"/>
            <w:gridSpan w:val="2"/>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339,133</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159,799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175,456</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operating loss and tax credit carryforwards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249,509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239,959</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34,615</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735,637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790,700</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(73,114)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(61,456)</w:t>
            </w:r>
          </w:p>
        </w:tc>
      </w:tr>
      <w:tr>
        <w:trPr>
          <w:trHeight w:val="223"/>
        </w:trPr>
        <w:tc>
          <w:tcPr>
            <w:tcW w:w="578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0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662,523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729,244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23,251</w:t>
            </w:r>
          </w:p>
        </w:tc>
        <w:tc>
          <w:tcPr>
            <w:tcW w:w="120" w:type="dxa"/>
            <w:vAlign w:val="bottom"/>
          </w:tcPr>
          <w:p>
            <w:pPr>
              <w:spacing w:after="0"/>
              <w:rPr>
                <w:sz w:val="19"/>
                <w:szCs w:val="19"/>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21,749</w:t>
            </w:r>
          </w:p>
        </w:tc>
        <w:tc>
          <w:tcPr>
            <w:tcW w:w="120" w:type="dxa"/>
            <w:vAlign w:val="bottom"/>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26,134</w:t>
            </w:r>
          </w:p>
        </w:tc>
        <w:tc>
          <w:tcPr>
            <w:tcW w:w="120" w:type="dxa"/>
            <w:vAlign w:val="bottom"/>
            <w:tcBorders>
              <w:bottom w:val="single" w:sz="8" w:color="CFF0FC"/>
            </w:tcBorders>
          </w:tcPr>
          <w:p>
            <w:pPr>
              <w:spacing w:after="0"/>
              <w:rPr>
                <w:sz w:val="19"/>
                <w:szCs w:val="19"/>
                <w:color w:val="auto"/>
              </w:rPr>
            </w:pPr>
          </w:p>
        </w:tc>
      </w:tr>
      <w:tr>
        <w:trPr>
          <w:trHeight w:val="223"/>
        </w:trPr>
        <w:tc>
          <w:tcPr>
            <w:tcW w:w="5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88,391</w:t>
            </w:r>
          </w:p>
        </w:tc>
        <w:tc>
          <w:tcPr>
            <w:tcW w:w="120" w:type="dxa"/>
            <w:vAlign w:val="bottom"/>
            <w:shd w:val="clear" w:color="auto" w:fill="CFF0FC"/>
          </w:tcPr>
          <w:p>
            <w:pPr>
              <w:spacing w:after="0"/>
              <w:rPr>
                <w:sz w:val="19"/>
                <w:szCs w:val="19"/>
                <w:color w:val="auto"/>
              </w:rPr>
            </w:pPr>
          </w:p>
        </w:tc>
      </w:tr>
      <w:tr>
        <w:trPr>
          <w:trHeight w:val="223"/>
        </w:trPr>
        <w:tc>
          <w:tcPr>
            <w:tcW w:w="5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deferred tax assets</w:t>
            </w:r>
          </w:p>
        </w:tc>
        <w:tc>
          <w:tcPr>
            <w:tcW w:w="208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592,205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640,853</w:t>
            </w:r>
          </w:p>
        </w:tc>
        <w:tc>
          <w:tcPr>
            <w:tcW w:w="120" w:type="dxa"/>
            <w:vAlign w:val="bottom"/>
          </w:tcPr>
          <w:p>
            <w:pPr>
              <w:spacing w:after="0"/>
              <w:rPr>
                <w:sz w:val="19"/>
                <w:szCs w:val="19"/>
                <w:color w:val="auto"/>
              </w:rPr>
            </w:pPr>
          </w:p>
        </w:tc>
      </w:tr>
      <w:tr>
        <w:trPr>
          <w:trHeight w:val="20"/>
        </w:trPr>
        <w:tc>
          <w:tcPr>
            <w:tcW w:w="17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40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2" w:lineRule="exact"/>
        <w:rPr>
          <w:sz w:val="20"/>
          <w:szCs w:val="20"/>
          <w:color w:val="auto"/>
        </w:rPr>
      </w:pPr>
    </w:p>
    <w:p>
      <w:pPr>
        <w:ind w:left="600" w:right="40" w:hanging="592"/>
        <w:spacing w:after="0" w:line="282" w:lineRule="auto"/>
        <w:tabs>
          <w:tab w:leader="none" w:pos="6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adjustments recorded as of December 31, 2018 and 2017 are primarily the result of additional basis from acquisitions of interests, including the impact of the tax receivable agreement obligation.</w:t>
      </w:r>
    </w:p>
    <w:p>
      <w:pPr>
        <w:spacing w:after="0" w:line="162"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The historical profitability of each tax paying entity is an important factor in determining whether to record a valuation allowance and when to release any such allowance. Certain of our tax-paying entities have individually experienced losses on a cumulative three year basis or have tax attributes that may expire unused. In addition, one of our tax 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$73,114 and $61,456 of deferred tax assets held by these entities as of December 31, 2018 and 2017, respectively.</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Changes in the deferred tax assets valuation allowance for the years ended December 31, 2018, 2017 and 2016 was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69,593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89,251</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Charged (credited) to provision for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(23,670)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(15,981)</w:t>
            </w:r>
          </w:p>
        </w:tc>
      </w:tr>
      <w:tr>
        <w:trPr>
          <w:trHeight w:val="211"/>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Charged (credited) to other comprehensive income and</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(2,498)</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(3,677)</w:t>
            </w: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69,593</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1150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59" w:lineRule="exact"/>
        <w:rPr>
          <w:sz w:val="20"/>
          <w:szCs w:val="20"/>
          <w:color w:val="auto"/>
        </w:rPr>
      </w:pPr>
    </w:p>
    <w:p>
      <w:pPr>
        <w:ind w:left="600" w:right="80" w:hanging="592"/>
        <w:spacing w:after="0" w:line="266" w:lineRule="auto"/>
        <w:tabs>
          <w:tab w:leader="none" w:pos="6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accounting guidance described above, 2017 includes recognition of previously unrecognized excess tax benefits offset by a valuation allowance of $12,090 recorded to retained earnings. 2016 includes acquisition-related deferred tax assets offset by a valuation allowance in the amount of $2,271.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4" w:name="page125"/>
    <w:bookmarkEnd w:id="12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80" w:firstLine="598"/>
        <w:spacing w:after="0" w:line="282" w:lineRule="auto"/>
        <w:rPr>
          <w:sz w:val="20"/>
          <w:szCs w:val="20"/>
          <w:color w:val="auto"/>
        </w:rPr>
      </w:pPr>
      <w:r>
        <w:rPr>
          <w:rFonts w:ascii="Times New Roman" w:cs="Times New Roman" w:eastAsia="Times New Roman" w:hAnsi="Times New Roman"/>
          <w:sz w:val="18"/>
          <w:szCs w:val="18"/>
          <w:color w:val="auto"/>
        </w:rPr>
        <w:t>The Company had net operating loss and tax credit carryforwards for which related deferred tax assets of $249,509 were recorded at December 31, 2018 primarily relating to:</w:t>
      </w:r>
    </w:p>
    <w:p>
      <w:pPr>
        <w:spacing w:after="0" w:line="54" w:lineRule="exact"/>
        <w:rPr>
          <w:sz w:val="20"/>
          <w:szCs w:val="20"/>
          <w:color w:val="auto"/>
        </w:rPr>
      </w:pPr>
    </w:p>
    <w:p>
      <w:pPr>
        <w:ind w:left="1200" w:right="320" w:hanging="598"/>
        <w:spacing w:after="0" w:line="282" w:lineRule="auto"/>
        <w:tabs>
          <w:tab w:leader="none" w:pos="12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indefinite-lived carryforwards (subject to various limitations) of approximately $32,000 in Australia, Germany, Hong Kong, Singapore, Spain, the U.K. and the U.S.; and</w:t>
      </w:r>
    </w:p>
    <w:p>
      <w:pPr>
        <w:spacing w:after="0" w:line="53"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carryforwards of approximately $171,000 in the U.S., which begin expiring in 2029.</w:t>
      </w:r>
    </w:p>
    <w:p>
      <w:pPr>
        <w:spacing w:after="0" w:line="225" w:lineRule="exact"/>
        <w:rPr>
          <w:sz w:val="20"/>
          <w:szCs w:val="20"/>
          <w:color w:val="auto"/>
        </w:rPr>
      </w:pPr>
    </w:p>
    <w:p>
      <w:pPr>
        <w:ind w:firstLine="640"/>
        <w:spacing w:after="0" w:line="261" w:lineRule="auto"/>
        <w:rPr>
          <w:sz w:val="20"/>
          <w:szCs w:val="20"/>
          <w:color w:val="auto"/>
        </w:rPr>
      </w:pPr>
      <w:r>
        <w:rPr>
          <w:rFonts w:ascii="Times New Roman" w:cs="Times New Roman" w:eastAsia="Times New Roman" w:hAnsi="Times New Roman"/>
          <w:sz w:val="18"/>
          <w:szCs w:val="18"/>
          <w:color w:val="auto"/>
        </w:rPr>
        <w:t>With few exceptions, the Company is no longer subject to income tax examination by foreign tax authorities and by U.S. federal, state and local tax authorities for years prior to 2014.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reconciliation of the beginning to the ending amount of gross unrecognized tax benefits (excluding interest and penalties)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2017 and 2016 is as follows:</w:t>
      </w:r>
    </w:p>
    <w:p>
      <w:pPr>
        <w:spacing w:after="0" w:line="2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8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Balance, January 1 (excluding interest and penalties</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$15,136, $15,392 and $13,083, respectively)</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78,674</w:t>
            </w: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78,396</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Increases in gross unrecognized tax benefits relating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tax positions taken during:</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Prior years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year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 in gross unrecognized tax benefits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relating to:</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positions taken during prior years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(5,316)</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Lapse of the applicable statute of limitations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(18,182)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(16,191)</w:t>
            </w:r>
          </w:p>
        </w:tc>
        <w:tc>
          <w:tcPr>
            <w:tcW w:w="0" w:type="dxa"/>
            <w:vAlign w:val="bottom"/>
          </w:tcPr>
          <w:p>
            <w:pPr>
              <w:spacing w:after="0"/>
              <w:rPr>
                <w:sz w:val="1"/>
                <w:szCs w:val="1"/>
                <w:color w:val="auto"/>
              </w:rPr>
            </w:pPr>
          </w:p>
        </w:tc>
      </w:tr>
      <w:tr>
        <w:trPr>
          <w:trHeight w:val="205"/>
        </w:trPr>
        <w:tc>
          <w:tcPr>
            <w:tcW w:w="58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Balance, December 31 (excluding interest and</w:t>
            </w:r>
          </w:p>
        </w:tc>
        <w:tc>
          <w:tcPr>
            <w:tcW w:w="2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penalties of $15,901, $15,136 and $15,392,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77,889</w:t>
            </w: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78,674</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Additional information with respect to unrecognized tax benefits is as follows:</w:t>
            </w: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8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Unrecognized tax benefits at the end of the year that,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if recognized, would favorably affect the effective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rate (includes interest and penalties of $15,901,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$15,136 and $15,392, respectively)</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78,693</w:t>
            </w: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78,841</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not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affect the effective tax rate</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10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20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penalties recognized in current income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expense (after giving effect to the reversal of</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and penalties of $4,889, $6,185 and</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$3,143, respectively)</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00" w:firstLine="598"/>
        <w:spacing w:after="0" w:line="282" w:lineRule="auto"/>
        <w:rPr>
          <w:sz w:val="20"/>
          <w:szCs w:val="20"/>
          <w:color w:val="auto"/>
        </w:rPr>
      </w:pPr>
      <w:r>
        <w:rPr>
          <w:rFonts w:ascii="Times New Roman" w:cs="Times New Roman" w:eastAsia="Times New Roman" w:hAnsi="Times New Roman"/>
          <w:sz w:val="18"/>
          <w:szCs w:val="18"/>
          <w:color w:val="auto"/>
        </w:rPr>
        <w:t>The Company anticipates that it is reasonably possible that approximately $13,000 of unrecognized tax benefits, including interest and penalties recorded at December 31, 2018, may be recognized within 12 months as a result of the lapse of the statute of limitations in various tax jurisdictions.</w:t>
      </w:r>
    </w:p>
    <w:p>
      <w:pPr>
        <w:spacing w:after="0" w:line="3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17" w:right="379" w:bottom="1440" w:gutter="0" w:footer="0" w:header="0"/>
        </w:sectPr>
      </w:pPr>
    </w:p>
    <w:bookmarkStart w:id="125" w:name="page126"/>
    <w:bookmarkEnd w:id="12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0" w:lineRule="exact"/>
        <w:rPr>
          <w:sz w:val="20"/>
          <w:szCs w:val="20"/>
          <w:color w:val="auto"/>
        </w:rPr>
      </w:pPr>
    </w:p>
    <w:p>
      <w:pPr>
        <w:ind w:left="600" w:hanging="592"/>
        <w:spacing w:after="0"/>
        <w:tabs>
          <w:tab w:leader="none" w:pos="600" w:val="left"/>
        </w:tabs>
        <w:numPr>
          <w:ilvl w:val="0"/>
          <w:numId w:val="8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INCOME PER SHARE OF CLASS A COMMON STOCK</w:t>
      </w:r>
    </w:p>
    <w:p>
      <w:pPr>
        <w:spacing w:after="0" w:line="121" w:lineRule="exact"/>
        <w:rPr>
          <w:sz w:val="20"/>
          <w:szCs w:val="20"/>
          <w:color w:val="auto"/>
        </w:rPr>
      </w:pPr>
    </w:p>
    <w:p>
      <w:pPr>
        <w:ind w:right="720" w:firstLine="598"/>
        <w:spacing w:after="0" w:line="282" w:lineRule="auto"/>
        <w:rPr>
          <w:sz w:val="20"/>
          <w:szCs w:val="20"/>
          <w:color w:val="auto"/>
        </w:rPr>
      </w:pPr>
      <w:r>
        <w:rPr>
          <w:rFonts w:ascii="Times New Roman" w:cs="Times New Roman" w:eastAsia="Times New Roman" w:hAnsi="Times New Roman"/>
          <w:sz w:val="18"/>
          <w:szCs w:val="18"/>
          <w:color w:val="auto"/>
        </w:rPr>
        <w:t>The Company’s basic and diluted net income per share calculations for the years ended December 31, 2018, 2017 and 2016 are computed as described below.</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Basic Net Income Per Share</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Numerator</w:t>
      </w:r>
      <w:r>
        <w:rPr>
          <w:rFonts w:ascii="Times New Roman" w:cs="Times New Roman" w:eastAsia="Times New Roman" w:hAnsi="Times New Roman"/>
          <w:sz w:val="18"/>
          <w:szCs w:val="18"/>
          <w:color w:val="auto"/>
        </w:rPr>
        <w:t>—utilizes net income attributable to Lazard Ltd for the respective years.</w:t>
      </w:r>
    </w:p>
    <w:p>
      <w:pPr>
        <w:spacing w:after="0" w:line="225" w:lineRule="exact"/>
        <w:rPr>
          <w:sz w:val="20"/>
          <w:szCs w:val="20"/>
          <w:color w:val="auto"/>
        </w:rPr>
      </w:pPr>
    </w:p>
    <w:p>
      <w:pPr>
        <w:ind w:right="640" w:firstLine="598"/>
        <w:spacing w:after="0" w:line="284" w:lineRule="auto"/>
        <w:rPr>
          <w:sz w:val="20"/>
          <w:szCs w:val="20"/>
          <w:color w:val="auto"/>
        </w:rPr>
      </w:pPr>
      <w:r>
        <w:rPr>
          <w:rFonts w:ascii="Times New Roman" w:cs="Times New Roman" w:eastAsia="Times New Roman" w:hAnsi="Times New Roman"/>
          <w:sz w:val="18"/>
          <w:szCs w:val="18"/>
          <w:i w:val="1"/>
          <w:iCs w:val="1"/>
          <w:color w:val="auto"/>
        </w:rPr>
        <w:t>Denominator</w:t>
      </w:r>
      <w:r>
        <w:rPr>
          <w:rFonts w:ascii="Times New Roman" w:cs="Times New Roman" w:eastAsia="Times New Roman" w:hAnsi="Times New Roman"/>
          <w:sz w:val="18"/>
          <w:szCs w:val="18"/>
          <w:color w:val="auto"/>
        </w:rPr>
        <w:t>—utilizes the weighted average number of shares of Class A common stock outstanding for the respective years, plus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to such shares associated with shares of Class A common stock issuable on a non-contingent basis.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Diluted Net Income Per Share</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Numerator</w:t>
      </w:r>
      <w:r>
        <w:rPr>
          <w:rFonts w:ascii="Times New Roman" w:cs="Times New Roman" w:eastAsia="Times New Roman" w:hAnsi="Times New Roman"/>
          <w:sz w:val="18"/>
          <w:szCs w:val="18"/>
          <w:color w:val="auto"/>
        </w:rPr>
        <w:t>—utilizes net income attributable to Lazard Ltd for the respective years as in the basic net income per share calculation described above.</w:t>
      </w:r>
    </w:p>
    <w:p>
      <w:pPr>
        <w:spacing w:after="0" w:line="225" w:lineRule="exact"/>
        <w:rPr>
          <w:sz w:val="20"/>
          <w:szCs w:val="20"/>
          <w:color w:val="auto"/>
        </w:rPr>
      </w:pPr>
    </w:p>
    <w:p>
      <w:pPr>
        <w:ind w:right="60" w:firstLine="59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Denominator </w:t>
      </w:r>
      <w:r>
        <w:rPr>
          <w:rFonts w:ascii="Times New Roman" w:cs="Times New Roman" w:eastAsia="Times New Roman" w:hAnsi="Times New Roman"/>
          <w:sz w:val="18"/>
          <w:szCs w:val="18"/>
          <w:color w:val="auto"/>
        </w:rPr>
        <w:t>—utilizes the weighted average number of shares of Class A common stock outstanding for the respective years as in the basic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per share calculation described above, plus, to the extent dilutive, the incremental number of shares of Class A common stock required to settle share-based incentive compensation.</w:t>
      </w:r>
    </w:p>
    <w:p>
      <w:pPr>
        <w:spacing w:after="0" w:line="176" w:lineRule="exact"/>
        <w:rPr>
          <w:sz w:val="20"/>
          <w:szCs w:val="20"/>
          <w:color w:val="auto"/>
        </w:rPr>
      </w:pPr>
    </w:p>
    <w:p>
      <w:pPr>
        <w:ind w:right="60" w:firstLine="598"/>
        <w:spacing w:after="0" w:line="282" w:lineRule="auto"/>
        <w:rPr>
          <w:sz w:val="20"/>
          <w:szCs w:val="20"/>
          <w:color w:val="auto"/>
        </w:rPr>
      </w:pPr>
      <w:r>
        <w:rPr>
          <w:rFonts w:ascii="Times New Roman" w:cs="Times New Roman" w:eastAsia="Times New Roman" w:hAnsi="Times New Roman"/>
          <w:sz w:val="18"/>
          <w:szCs w:val="18"/>
          <w:color w:val="auto"/>
        </w:rPr>
        <w:t>The calculations of the Company’s basic and diluted net income per share and weighted average shares outstanding for the years ended December 31, 2018, 2017 and 2016 are presented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8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Lazard Ltd - basic</w:t>
            </w:r>
          </w:p>
        </w:tc>
        <w:tc>
          <w:tcPr>
            <w:tcW w:w="16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527,125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253,583</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387,698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Lazard Ltd - diluted</w:t>
            </w:r>
          </w:p>
        </w:tc>
        <w:tc>
          <w:tcPr>
            <w:tcW w:w="18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FF0FC"/>
            </w:tcBorders>
            <w:vMerge w:val="continue"/>
          </w:tcPr>
          <w:p>
            <w:pPr>
              <w:spacing w:after="0"/>
              <w:rPr>
                <w:sz w:val="21"/>
                <w:szCs w:val="21"/>
                <w:color w:val="auto"/>
              </w:rPr>
            </w:pPr>
          </w:p>
        </w:tc>
        <w:tc>
          <w:tcPr>
            <w:tcW w:w="16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527,125</w:t>
            </w:r>
          </w:p>
        </w:tc>
        <w:tc>
          <w:tcPr>
            <w:tcW w:w="26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253,583</w:t>
            </w:r>
          </w:p>
        </w:tc>
        <w:tc>
          <w:tcPr>
            <w:tcW w:w="1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387,698</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1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shares of Class A common stock</w:t>
            </w:r>
          </w:p>
        </w:tc>
        <w:tc>
          <w:tcPr>
            <w:tcW w:w="1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118,753,778</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121,309,174</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124,635,160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Add - adjustment for shares of Class A common stock issuable on</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 non-contingent basis</w:t>
            </w:r>
          </w:p>
        </w:tc>
        <w:tc>
          <w:tcPr>
            <w:tcW w:w="16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252,753</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264,268</w:t>
            </w: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135,241</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 average number of shares of Class A common stock</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 basic</w:t>
            </w:r>
          </w:p>
        </w:tc>
        <w:tc>
          <w:tcPr>
            <w:tcW w:w="1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119,006,531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121,573,442</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124,770,401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Add - dilutive effect, as applicable, of:</w:t>
            </w: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incremental shares of Class A</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 issuable from share-based incentive</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6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10,761,061</w:t>
            </w:r>
          </w:p>
        </w:tc>
        <w:tc>
          <w:tcPr>
            <w:tcW w:w="2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10,906,286</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7,863,229</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 average number of shares of Class A common stock</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1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outstanding - diluted</w:t>
            </w:r>
          </w:p>
        </w:tc>
        <w:tc>
          <w:tcPr>
            <w:tcW w:w="16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129,767,592</w:t>
            </w:r>
          </w:p>
        </w:tc>
        <w:tc>
          <w:tcPr>
            <w:tcW w:w="26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132,479,728</w:t>
            </w:r>
          </w:p>
        </w:tc>
        <w:tc>
          <w:tcPr>
            <w:tcW w:w="18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132,633,630</w:t>
            </w:r>
          </w:p>
        </w:tc>
        <w:tc>
          <w:tcPr>
            <w:tcW w:w="10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1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Net income attributable to Lazard Ltd per share of Class A</w:t>
            </w:r>
          </w:p>
        </w:tc>
        <w:tc>
          <w:tcPr>
            <w:tcW w:w="1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Pr>
          <w:p>
            <w:pPr>
              <w:spacing w:after="0"/>
              <w:rPr>
                <w:sz w:val="23"/>
                <w:szCs w:val="23"/>
                <w:color w:val="auto"/>
              </w:rPr>
            </w:pP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1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26" w:name="page127"/>
    <w:bookmarkEnd w:id="1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324" w:lineRule="exact"/>
        <w:rPr>
          <w:sz w:val="20"/>
          <w:szCs w:val="20"/>
          <w:color w:val="auto"/>
        </w:rPr>
      </w:pPr>
    </w:p>
    <w:p>
      <w:pPr>
        <w:ind w:left="600" w:hanging="592"/>
        <w:spacing w:after="0"/>
        <w:tabs>
          <w:tab w:leader="none" w:pos="600" w:val="left"/>
        </w:tabs>
        <w:numPr>
          <w:ilvl w:val="0"/>
          <w:numId w:val="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 PARTIES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Sponsored Funds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serves as an investment advisor for certain affiliated investment companies and fund entities and receives management fees and,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alternative investment funds, performance-based incentive fees for providing such services. Investment advisory fees relating to such services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$654,561, $649,089 and $516,667 for the years ended December 31, 2018, 2017 and 2016, respectively, and are included in “asset management fees”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Of such amounts, $59,304 and $69,107 remained as receivables at December 31, 2018 and 2017, respectively, and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“fees receivable” on the consolidated statements of financial condition.</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right="720" w:firstLine="598"/>
        <w:spacing w:after="0" w:line="276" w:lineRule="auto"/>
        <w:rPr>
          <w:sz w:val="20"/>
          <w:szCs w:val="20"/>
          <w:color w:val="auto"/>
        </w:rPr>
      </w:pPr>
      <w:r>
        <w:rPr>
          <w:rFonts w:ascii="Times New Roman" w:cs="Times New Roman" w:eastAsia="Times New Roman" w:hAnsi="Times New Roman"/>
          <w:sz w:val="17"/>
          <w:szCs w:val="17"/>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spacing w:after="0" w:line="1" w:lineRule="exact"/>
        <w:rPr>
          <w:sz w:val="20"/>
          <w:szCs w:val="20"/>
          <w:color w:val="auto"/>
        </w:rPr>
      </w:pPr>
    </w:p>
    <w:p>
      <w:pPr>
        <w:ind w:firstLine="8"/>
        <w:spacing w:after="0" w:line="252" w:lineRule="auto"/>
        <w:tabs>
          <w:tab w:leader="none" w:pos="2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45%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who include certain of our executive officers, in proportion to their beneficial interests in the Trust.</w:t>
      </w:r>
    </w:p>
    <w:p>
      <w:pPr>
        <w:spacing w:after="0" w:line="190"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84"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For example,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the “provision (benefit) for income taxes”.</w:t>
      </w:r>
    </w:p>
    <w:p>
      <w:pPr>
        <w:spacing w:after="0" w:line="189" w:lineRule="exact"/>
        <w:rPr>
          <w:sz w:val="20"/>
          <w:szCs w:val="20"/>
          <w:color w:val="auto"/>
        </w:rPr>
      </w:pPr>
    </w:p>
    <w:p>
      <w:pPr>
        <w:ind w:right="40" w:firstLine="598"/>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2018 and 2017, the Company recorded a “benefit pursuant to tax receivable agreement” on the consolidated statements of operations of $6,495 and $202,546, respectively. As described in Note 17, the Tax Act reduced the U.S. corporate tax rate from 35% to 21% which required the Company to remeasure the tax receivable agreement obligation. Pursuant to the change in the U.S. corporate tax rate, in 2017, the Company reduced the tax receivable agreement obligation by $202,546. The cumulative liability relating to our obligations under the Amended and Restated Tax Receivable Agreement as of December 31, 2018 and 2017 was $270,640 and $310,275, respectively, and is recorded in “tax receivable agreement obligation” on the consolidated statements of financial condition. The balance at December 31, 2018 reflects a payment made under the Amended and Restated Tax Receivable Agreement in the year ended December 31, 2018 of $33,140.</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220" w:firstLine="598"/>
        <w:spacing w:after="0" w:line="261" w:lineRule="auto"/>
        <w:rPr>
          <w:sz w:val="20"/>
          <w:szCs w:val="20"/>
          <w:color w:val="auto"/>
        </w:rPr>
      </w:pPr>
      <w:r>
        <w:rPr>
          <w:rFonts w:ascii="Times New Roman" w:cs="Times New Roman" w:eastAsia="Times New Roman" w:hAnsi="Times New Roman"/>
          <w:sz w:val="18"/>
          <w:szCs w:val="18"/>
          <w:color w:val="auto"/>
        </w:rPr>
        <w:t>In the fourth quarter of 2018, the Company established a not-for-profit entity, the Lazard Foundation (the “Foundation”), with the objective of donating funds to qualifying charities. In November 2018, the Company made an unconditional commitment of $10,000 to the Foundation. The Company agreed to fund the unconditional commitment by December 31, 2028. Certain executive officers of the Company will serve as members, directors and officers of the Foundation. In accordance with U.S. GAAP, the Foundation is not consolidated in the accompanying financial statements.</w:t>
      </w:r>
    </w:p>
    <w:p>
      <w:pPr>
        <w:spacing w:after="0" w:line="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Note 14 for information regarding related party transactions pertaining to shares repurchased from certain of our executive officers.</w:t>
      </w:r>
    </w:p>
    <w:p>
      <w:pPr>
        <w:spacing w:after="0" w:line="200" w:lineRule="exact"/>
        <w:rPr>
          <w:sz w:val="20"/>
          <w:szCs w:val="20"/>
          <w:color w:val="auto"/>
        </w:rPr>
      </w:pPr>
    </w:p>
    <w:p>
      <w:pPr>
        <w:spacing w:after="0" w:line="210" w:lineRule="exact"/>
        <w:rPr>
          <w:sz w:val="20"/>
          <w:szCs w:val="20"/>
          <w:color w:val="auto"/>
        </w:rPr>
      </w:pPr>
    </w:p>
    <w:p>
      <w:pPr>
        <w:ind w:left="600" w:hanging="592"/>
        <w:spacing w:after="0"/>
        <w:tabs>
          <w:tab w:leader="none" w:pos="600" w:val="left"/>
        </w:tabs>
        <w:numPr>
          <w:ilvl w:val="0"/>
          <w:numId w:val="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REGULATORY AUTHORITIES</w:t>
      </w:r>
    </w:p>
    <w:p>
      <w:pPr>
        <w:spacing w:after="0" w:line="121" w:lineRule="exact"/>
        <w:rPr>
          <w:sz w:val="20"/>
          <w:szCs w:val="20"/>
          <w:color w:val="auto"/>
        </w:rPr>
      </w:pPr>
    </w:p>
    <w:p>
      <w:pPr>
        <w:ind w:right="140" w:firstLine="598"/>
        <w:spacing w:after="0" w:line="245" w:lineRule="auto"/>
        <w:rPr>
          <w:sz w:val="20"/>
          <w:szCs w:val="20"/>
          <w:color w:val="auto"/>
        </w:rPr>
      </w:pPr>
      <w:r>
        <w:rPr>
          <w:rFonts w:ascii="Times New Roman" w:cs="Times New Roman" w:eastAsia="Times New Roman" w:hAnsi="Times New Roman"/>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vertAlign w:val="subscript"/>
        </w:rPr>
        <w:t>3</w:t>
      </w:r>
      <w:r>
        <w:rPr>
          <w:rFonts w:ascii="Times New Roman" w:cs="Times New Roman" w:eastAsia="Times New Roman" w:hAnsi="Times New Roman"/>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December 31, 2018, LFNY’s regulatory net capital was $174,732, which exceeded the minimum requirement by $171,679. LFNY’s aggregate indebtedness to net capital ratio was 0.26:1 as of December 31, 2018.</w:t>
      </w:r>
    </w:p>
    <w:p>
      <w:pPr>
        <w:spacing w:after="0" w:line="198" w:lineRule="exact"/>
        <w:rPr>
          <w:sz w:val="20"/>
          <w:szCs w:val="20"/>
          <w:color w:val="auto"/>
        </w:rPr>
      </w:pPr>
    </w:p>
    <w:p>
      <w:pPr>
        <w:jc w:val="both"/>
        <w:ind w:right="140" w:firstLine="598"/>
        <w:spacing w:after="0" w:line="266" w:lineRule="auto"/>
        <w:rPr>
          <w:sz w:val="20"/>
          <w:szCs w:val="20"/>
          <w:color w:val="auto"/>
        </w:rPr>
      </w:pPr>
      <w:r>
        <w:rPr>
          <w:rFonts w:ascii="Times New Roman" w:cs="Times New Roman" w:eastAsia="Times New Roman" w:hAnsi="Times New Roman"/>
          <w:sz w:val="18"/>
          <w:szCs w:val="18"/>
          <w:color w:val="auto"/>
        </w:rPr>
        <w:t>Certain U.K. subsidiaries of the Company, including LCL, Lazard Fund Managers Limited and Lazard Asset Management Limited (collectively, the “U.K. Subsidiaries”) are regulated by the Financial Conduct Authority. At December 31, 2018, the aggregate regulatory net capital of the U.K. Subsidiaries was $162,350, which exceeded the minimum requirement by $142,542.</w:t>
      </w:r>
    </w:p>
    <w:p>
      <w:pPr>
        <w:spacing w:after="0" w:line="176" w:lineRule="exact"/>
        <w:rPr>
          <w:sz w:val="20"/>
          <w:szCs w:val="20"/>
          <w:color w:val="auto"/>
        </w:rPr>
      </w:pPr>
    </w:p>
    <w:p>
      <w:pPr>
        <w:ind w:firstLine="598"/>
        <w:spacing w:after="0" w:line="252" w:lineRule="auto"/>
        <w:rPr>
          <w:sz w:val="20"/>
          <w:szCs w:val="20"/>
          <w:color w:val="auto"/>
        </w:rPr>
      </w:pPr>
      <w:r>
        <w:rPr>
          <w:rFonts w:ascii="Times New Roman" w:cs="Times New Roman" w:eastAsia="Times New Roman" w:hAnsi="Times New Roman"/>
          <w:sz w:val="18"/>
          <w:szCs w:val="18"/>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December 31, 2018, the consolidated regulatory net capital of CFLF was $136,110, which exceeded the minimum requirement set for regulatory capital levels by $81,336.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December 31, 2018, the regulatory net capital of the combined European regulated group was $157,783, which exceeded the minimum requirement set for regulatory capital levels by $56,330.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99" w:lineRule="exact"/>
        <w:rPr>
          <w:sz w:val="20"/>
          <w:szCs w:val="20"/>
          <w:color w:val="auto"/>
        </w:rPr>
      </w:pPr>
    </w:p>
    <w:p>
      <w:pPr>
        <w:ind w:right="220" w:firstLine="598"/>
        <w:spacing w:after="0" w:line="266" w:lineRule="auto"/>
        <w:rPr>
          <w:sz w:val="20"/>
          <w:szCs w:val="20"/>
          <w:color w:val="auto"/>
        </w:rPr>
      </w:pPr>
      <w:r>
        <w:rPr>
          <w:rFonts w:ascii="Times New Roman" w:cs="Times New Roman" w:eastAsia="Times New Roman" w:hAnsi="Times New Roman"/>
          <w:sz w:val="18"/>
          <w:szCs w:val="18"/>
          <w:color w:val="auto"/>
        </w:rPr>
        <w:t>Certain other U.S. and non-U.S. subsidiaries are subject to various capital adequacy requirements promulgated by various regulatory and exchange authorities in the countries in which they operate. At December 31, 2018, for those subsidiaries with regulatory capital requirements, their aggregate net capital was $149,252, which exceeded the minimum required capital by $121,863.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28" w:name="page129"/>
    <w:bookmarkEnd w:id="1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December 31, 2018, each of these subsidiaries individually was in compliance with its regulatory capital requirements.</w:t>
      </w:r>
    </w:p>
    <w:p>
      <w:pPr>
        <w:spacing w:after="0" w:line="225" w:lineRule="exact"/>
        <w:rPr>
          <w:sz w:val="20"/>
          <w:szCs w:val="20"/>
          <w:color w:val="auto"/>
        </w:rPr>
      </w:pPr>
    </w:p>
    <w:p>
      <w:pPr>
        <w:ind w:right="520" w:firstLine="598"/>
        <w:spacing w:after="0" w:line="282" w:lineRule="auto"/>
        <w:rPr>
          <w:sz w:val="20"/>
          <w:szCs w:val="20"/>
          <w:color w:val="auto"/>
        </w:rPr>
      </w:pPr>
      <w:r>
        <w:rPr>
          <w:rFonts w:ascii="Times New Roman" w:cs="Times New Roman" w:eastAsia="Times New Roman" w:hAnsi="Times New Roman"/>
          <w:sz w:val="18"/>
          <w:szCs w:val="18"/>
          <w:color w:val="auto"/>
        </w:rPr>
        <w:t>Any new or expanded rules and regulations that may be adopted in countries in which we operate (including regulations that have not yet been proposed) could affect us in other ways.</w:t>
      </w:r>
    </w:p>
    <w:p>
      <w:pPr>
        <w:spacing w:after="0" w:line="347" w:lineRule="exact"/>
        <w:rPr>
          <w:sz w:val="20"/>
          <w:szCs w:val="20"/>
          <w:color w:val="auto"/>
        </w:rPr>
      </w:pPr>
    </w:p>
    <w:p>
      <w:pPr>
        <w:ind w:left="600" w:hanging="592"/>
        <w:spacing w:after="0"/>
        <w:tabs>
          <w:tab w:leader="none" w:pos="600" w:val="left"/>
        </w:tabs>
        <w:numPr>
          <w:ilvl w:val="0"/>
          <w:numId w:val="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00" w:firstLine="598"/>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Company’s segment information for the years ended December 31, 2018, 2017 and 2016 is prepared using the following methodology:</w:t>
      </w:r>
    </w:p>
    <w:p>
      <w:pPr>
        <w:spacing w:after="0" w:line="117" w:lineRule="exact"/>
        <w:rPr>
          <w:sz w:val="20"/>
          <w:szCs w:val="20"/>
          <w:color w:val="auto"/>
        </w:rPr>
      </w:pPr>
    </w:p>
    <w:p>
      <w:pPr>
        <w:ind w:left="1200" w:hanging="598"/>
        <w:spacing w:after="0"/>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expenses directly associated with each segment are included in determining operating income.</w:t>
      </w:r>
    </w:p>
    <w:p>
      <w:pPr>
        <w:spacing w:after="0" w:line="117" w:lineRule="exact"/>
        <w:rPr>
          <w:rFonts w:ascii="Times New Roman" w:cs="Times New Roman" w:eastAsia="Times New Roman" w:hAnsi="Times New Roman"/>
          <w:sz w:val="18"/>
          <w:szCs w:val="18"/>
          <w:color w:val="auto"/>
        </w:rPr>
      </w:pPr>
    </w:p>
    <w:p>
      <w:pPr>
        <w:ind w:left="1200" w:right="160" w:hanging="598"/>
        <w:spacing w:after="0" w:line="282" w:lineRule="auto"/>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not directly associated with specific segments are allocated based on the most relevant measures applicable, including headcount, square footage and other factors.</w:t>
      </w:r>
    </w:p>
    <w:p>
      <w:pPr>
        <w:spacing w:after="0" w:line="53" w:lineRule="exact"/>
        <w:rPr>
          <w:rFonts w:ascii="Times New Roman" w:cs="Times New Roman" w:eastAsia="Times New Roman" w:hAnsi="Times New Roman"/>
          <w:sz w:val="18"/>
          <w:szCs w:val="18"/>
          <w:color w:val="auto"/>
        </w:rPr>
      </w:pPr>
    </w:p>
    <w:p>
      <w:pPr>
        <w:ind w:left="1200" w:right="540" w:hanging="598"/>
        <w:spacing w:after="0" w:line="282" w:lineRule="auto"/>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62" w:lineRule="exact"/>
        <w:rPr>
          <w:sz w:val="20"/>
          <w:szCs w:val="20"/>
          <w:color w:val="auto"/>
        </w:rPr>
      </w:pPr>
    </w:p>
    <w:p>
      <w:pPr>
        <w:ind w:firstLine="598"/>
        <w:spacing w:after="0" w:line="282" w:lineRule="auto"/>
        <w:rPr>
          <w:sz w:val="20"/>
          <w:szCs w:val="20"/>
          <w:color w:val="auto"/>
        </w:rPr>
      </w:pPr>
      <w:r>
        <w:rPr>
          <w:rFonts w:ascii="Times New Roman" w:cs="Times New Roman" w:eastAsia="Times New Roman" w:hAnsi="Times New Roman"/>
          <w:sz w:val="18"/>
          <w:szCs w:val="18"/>
          <w:color w:val="auto"/>
        </w:rPr>
        <w:t>The Company allocates investment gains and losses, interest income and interest expense among the various segments based on the segment in which the underlying asset or liability is reported.</w:t>
      </w:r>
    </w:p>
    <w:p>
      <w:pPr>
        <w:spacing w:after="0" w:line="162" w:lineRule="exact"/>
        <w:rPr>
          <w:sz w:val="20"/>
          <w:szCs w:val="20"/>
          <w:color w:val="auto"/>
        </w:rPr>
      </w:pPr>
    </w:p>
    <w:p>
      <w:pPr>
        <w:ind w:right="60" w:firstLine="598"/>
        <w:spacing w:after="0" w:line="258" w:lineRule="auto"/>
        <w:rPr>
          <w:sz w:val="20"/>
          <w:szCs w:val="20"/>
          <w:color w:val="auto"/>
        </w:rPr>
      </w:pPr>
      <w:r>
        <w:rPr>
          <w:rFonts w:ascii="Times New Roman" w:cs="Times New Roman" w:eastAsia="Times New Roman" w:hAnsi="Times New Roman"/>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4" w:lineRule="exact"/>
        <w:rPr>
          <w:sz w:val="20"/>
          <w:szCs w:val="20"/>
          <w:color w:val="auto"/>
        </w:rPr>
      </w:pPr>
    </w:p>
    <w:p>
      <w:pPr>
        <w:ind w:right="120" w:firstLine="59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2018, 2017 and 2016, no individual client constituted more than 10% of the net revenue of any of the Company’s business segments.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44" w:lineRule="exact"/>
        <w:rPr>
          <w:sz w:val="20"/>
          <w:szCs w:val="20"/>
          <w:color w:val="auto"/>
        </w:rPr>
      </w:pPr>
    </w:p>
    <w:p>
      <w:pPr>
        <w:ind w:right="440" w:firstLine="598"/>
        <w:spacing w:after="0" w:line="282" w:lineRule="auto"/>
        <w:rPr>
          <w:sz w:val="20"/>
          <w:szCs w:val="20"/>
          <w:color w:val="auto"/>
        </w:rPr>
      </w:pPr>
      <w:r>
        <w:rPr>
          <w:rFonts w:ascii="Times New Roman" w:cs="Times New Roman" w:eastAsia="Times New Roman" w:hAnsi="Times New Roman"/>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As of or for the Year Ended December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6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1,555,526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1,387,682</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1,301,044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(a)</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1,198,807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1,143,586</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1,017,055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356,719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244,096</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859,306</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843,142</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1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1,255,820</w:t>
            </w:r>
          </w:p>
        </w:tc>
        <w:tc>
          <w:tcPr>
            <w:tcW w:w="2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(a)</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810,870</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444,950</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728,220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756,398</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(60,975)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(a)/(b)</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(135,591)</w:t>
            </w:r>
          </w:p>
        </w:tc>
        <w:tc>
          <w:tcPr>
            <w:tcW w:w="4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3,409,715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3,329,137</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2,644,311</w:t>
            </w:r>
          </w:p>
        </w:tc>
        <w:tc>
          <w:tcPr>
            <w:tcW w:w="2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(a)</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2,145,586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1,818,865</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825,446</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4,997,241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4,928,677</w:t>
            </w:r>
          </w:p>
        </w:tc>
        <w:tc>
          <w:tcPr>
            <w:tcW w:w="2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6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592"/>
        <w:spacing w:after="0"/>
        <w:tabs>
          <w:tab w:leader="none" w:pos="6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include depreciation and amortization of property as set forth in table below.</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Financial Advisory</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100" w:type="dxa"/>
            <w:vAlign w:val="bottom"/>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 Management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23,937</w:t>
            </w:r>
          </w:p>
        </w:tc>
        <w:tc>
          <w:tcPr>
            <w:tcW w:w="100" w:type="dxa"/>
            <w:vAlign w:val="bottom"/>
            <w:shd w:val="clear" w:color="auto" w:fill="CFF0FC"/>
          </w:tcPr>
          <w:p>
            <w:pPr>
              <w:spacing w:after="0"/>
              <w:rPr>
                <w:sz w:val="19"/>
                <w:szCs w:val="19"/>
                <w:color w:val="auto"/>
              </w:rPr>
            </w:pPr>
          </w:p>
        </w:tc>
      </w:tr>
      <w:tr>
        <w:trPr>
          <w:trHeight w:val="223"/>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34,103</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33,264</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0" w:right="80" w:hanging="592"/>
        <w:spacing w:after="0" w:line="282" w:lineRule="auto"/>
        <w:tabs>
          <w:tab w:leader="none" w:pos="6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include a benefit of $6,495 and $202,546 for the years ended December 31, 2018 and 2017, respectively, recorded for the benefit pursuant to the tax receivable agreement. See Note 19 for information regarding the tax receivable agreement obligation.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21"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76" w:lineRule="exact"/>
        <w:rPr>
          <w:sz w:val="20"/>
          <w:szCs w:val="20"/>
          <w:color w:val="auto"/>
        </w:rPr>
      </w:pPr>
    </w:p>
    <w:p>
      <w:pPr>
        <w:ind w:right="22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net revenue from, and identifiable assets for, the Company and its consolidated subsidiaries by geographic region allocated on the basis described above.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or for the Year Ended December 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56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Americas</w:t>
            </w:r>
          </w:p>
        </w:tc>
        <w:tc>
          <w:tcPr>
            <w:tcW w:w="26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1,615,736</w:t>
            </w:r>
          </w:p>
        </w:tc>
        <w:tc>
          <w:tcPr>
            <w:tcW w:w="5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1,558,070</w:t>
            </w:r>
          </w:p>
        </w:tc>
        <w:tc>
          <w:tcPr>
            <w:tcW w:w="66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EMEA</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1,022,994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903,525</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795,932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Asia Pacific</w:t>
            </w:r>
          </w:p>
        </w:tc>
        <w:tc>
          <w:tcPr>
            <w:tcW w:w="2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187,622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182,716</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2,826,352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2,644,311</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2,333,371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8"/>
                <w:szCs w:val="18"/>
                <w:color w:val="auto"/>
              </w:rPr>
              <w:t>Operating Income:</w:t>
            </w:r>
          </w:p>
        </w:tc>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3"/>
            <w:vMerge w:val="continue"/>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Americas (a)</w:t>
            </w:r>
          </w:p>
        </w:tc>
        <w:tc>
          <w:tcPr>
            <w:tcW w:w="26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434,111</w:t>
            </w:r>
          </w:p>
        </w:tc>
        <w:tc>
          <w:tcPr>
            <w:tcW w:w="5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596,044</w:t>
            </w:r>
          </w:p>
        </w:tc>
        <w:tc>
          <w:tcPr>
            <w:tcW w:w="660" w:type="dxa"/>
            <w:vAlign w:val="bottom"/>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EMEA</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193,781</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Asia Pacific</w:t>
            </w:r>
          </w:p>
        </w:tc>
        <w:tc>
          <w:tcPr>
            <w:tcW w:w="2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35,621</w:t>
            </w:r>
          </w:p>
        </w:tc>
        <w:tc>
          <w:tcPr>
            <w:tcW w:w="2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7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680,766</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825,446</w:t>
            </w:r>
          </w:p>
        </w:tc>
        <w:tc>
          <w:tcPr>
            <w:tcW w:w="22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517,461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2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Americas</w:t>
            </w:r>
          </w:p>
        </w:tc>
        <w:tc>
          <w:tcPr>
            <w:tcW w:w="26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2,557,904</w:t>
            </w:r>
          </w:p>
        </w:tc>
        <w:tc>
          <w:tcPr>
            <w:tcW w:w="5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2,600,412</w:t>
            </w:r>
          </w:p>
        </w:tc>
        <w:tc>
          <w:tcPr>
            <w:tcW w:w="66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EMEA</w:t>
            </w:r>
          </w:p>
        </w:tc>
        <w:tc>
          <w:tcPr>
            <w:tcW w:w="2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2,150,597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2,039,385</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Asia Pacific</w:t>
            </w:r>
          </w:p>
        </w:tc>
        <w:tc>
          <w:tcPr>
            <w:tcW w:w="2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288,740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288,880</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4,997,241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4,928,677</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4,556,508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5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880" w:right="400" w:hanging="440"/>
        <w:spacing w:after="0" w:line="282" w:lineRule="auto"/>
        <w:tabs>
          <w:tab w:leader="none" w:pos="8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includes a benefit of $6,495 and $202,546 for the years ended December 31, 2018 and 2017, respectively, recorded for the benefit pursuant to the tax receivable agreement. See Note 19 for information regarding the tax receivable agreement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(UNAUDITED)</w:t>
      </w:r>
    </w:p>
    <w:p>
      <w:pPr>
        <w:spacing w:after="0" w:line="121" w:lineRule="exact"/>
        <w:rPr>
          <w:sz w:val="20"/>
          <w:szCs w:val="20"/>
          <w:color w:val="auto"/>
        </w:rPr>
      </w:pPr>
    </w:p>
    <w:p>
      <w:pPr>
        <w:jc w:val="both"/>
        <w:ind w:right="180" w:firstLine="598"/>
        <w:spacing w:after="0" w:line="266" w:lineRule="auto"/>
        <w:rPr>
          <w:sz w:val="20"/>
          <w:szCs w:val="20"/>
          <w:color w:val="auto"/>
        </w:rPr>
      </w:pPr>
      <w:r>
        <w:rPr>
          <w:rFonts w:ascii="Times New Roman" w:cs="Times New Roman" w:eastAsia="Times New Roman" w:hAnsi="Times New Roman"/>
          <w:sz w:val="18"/>
          <w:szCs w:val="18"/>
          <w:color w:val="auto"/>
        </w:rPr>
        <w:t>The following represents the Company’s unaudited quarterly results for the years ended December 31, 2018 and 2017.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2018 Fiscal Quarter</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First</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Fourth</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gridSpan w:val="8"/>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754,698</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757,938</w:t>
            </w:r>
          </w:p>
        </w:tc>
        <w:tc>
          <w:tcPr>
            <w:tcW w:w="4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687,235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568,870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557,998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487,800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530,918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2,145,586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185,828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199,940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138,681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156,317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161,661</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148,379</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108,725</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113,684</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 net income attributable to</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attributable to Lazard Ltd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159,692</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146,963</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107,074</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113,396</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527,125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2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Attributable to Lazard Ltd Class A common</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per share of common stock:</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declared per share of common stock</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2017 Fiscal Quarter</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First</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Second</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Third</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Fourth</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gridSpan w:val="8"/>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623,464</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717,180</w:t>
            </w:r>
          </w:p>
        </w:tc>
        <w:tc>
          <w:tcPr>
            <w:tcW w:w="4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624,859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678,808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473,267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544,679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480,647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320,272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1,818,865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150,197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172,501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358,536</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825,446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110,430</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120,901</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111,470</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(82,954)</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 net income attributable to</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Lazard Ltd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107,553</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120,378</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109,210</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(83,558)</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253,583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28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Attributable to Lazard Ltd Class A common</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per share of common stock:</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4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(0.70)</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4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4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declared per share of common stock</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4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There were no changes in or disagreements with accountants on accounting and financial disclosure during the last two fiscal years.</w:t>
      </w:r>
    </w:p>
    <w:p>
      <w:pPr>
        <w:spacing w:after="0" w:line="200" w:lineRule="exact"/>
        <w:rPr>
          <w:sz w:val="20"/>
          <w:szCs w:val="20"/>
          <w:color w:val="auto"/>
        </w:rPr>
      </w:pPr>
    </w:p>
    <w:p>
      <w:pPr>
        <w:spacing w:after="0" w:line="21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right="520" w:firstLine="598"/>
        <w:spacing w:after="0" w:line="26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evaluated the effectiveness of our disclosure controls and procedures pursuant to Rule 13a-15 under the Exchange Act as of the end of the period covered by this Annual Report on Form 10-K. Based on that evaluation, our Chief Executive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32" w:name="page133"/>
    <w:bookmarkEnd w:id="132"/>
    <w:p>
      <w:pPr>
        <w:spacing w:after="0" w:line="258" w:lineRule="auto"/>
        <w:rPr>
          <w:sz w:val="20"/>
          <w:szCs w:val="20"/>
          <w:color w:val="auto"/>
        </w:rPr>
      </w:pPr>
      <w:r>
        <w:rPr>
          <w:rFonts w:ascii="Times New Roman" w:cs="Times New Roman" w:eastAsia="Times New Roman" w:hAnsi="Times New Roman"/>
          <w:sz w:val="18"/>
          <w:szCs w:val="18"/>
          <w:color w:val="auto"/>
        </w:rPr>
        <w:t>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right="380" w:firstLine="598"/>
        <w:spacing w:after="0" w:line="282" w:lineRule="auto"/>
        <w:rPr>
          <w:sz w:val="20"/>
          <w:szCs w:val="20"/>
          <w:color w:val="auto"/>
        </w:rPr>
      </w:pPr>
      <w:r>
        <w:rPr>
          <w:rFonts w:ascii="Times New Roman" w:cs="Times New Roman" w:eastAsia="Times New Roman" w:hAnsi="Times New Roman"/>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62" w:lineRule="exact"/>
        <w:rPr>
          <w:sz w:val="20"/>
          <w:szCs w:val="20"/>
          <w:color w:val="auto"/>
        </w:rPr>
      </w:pPr>
    </w:p>
    <w:p>
      <w:pPr>
        <w:ind w:right="180" w:firstLine="598"/>
        <w:spacing w:after="0" w:line="266" w:lineRule="auto"/>
        <w:rPr>
          <w:sz w:val="20"/>
          <w:szCs w:val="20"/>
          <w:color w:val="auto"/>
        </w:rPr>
      </w:pPr>
      <w:r>
        <w:rPr>
          <w:rFonts w:ascii="Times New Roman" w:cs="Times New Roman" w:eastAsia="Times New Roman" w:hAnsi="Times New Roman"/>
          <w:sz w:val="18"/>
          <w:szCs w:val="18"/>
          <w:color w:val="auto"/>
        </w:rPr>
        <w:t>Management’s Report on Internal Control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36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133" w:name="page134"/>
    <w:bookmarkEnd w:id="133"/>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3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21" w:lineRule="exact"/>
        <w:rPr>
          <w:sz w:val="20"/>
          <w:szCs w:val="20"/>
          <w:color w:val="auto"/>
        </w:rPr>
      </w:pPr>
    </w:p>
    <w:p>
      <w:pPr>
        <w:jc w:val="both"/>
        <w:ind w:right="40" w:firstLine="598"/>
        <w:spacing w:after="0" w:line="272" w:lineRule="auto"/>
        <w:rPr>
          <w:sz w:val="20"/>
          <w:szCs w:val="20"/>
          <w:color w:val="auto"/>
        </w:rPr>
      </w:pPr>
      <w:r>
        <w:rPr>
          <w:rFonts w:ascii="Times New Roman" w:cs="Times New Roman" w:eastAsia="Times New Roman" w:hAnsi="Times New Roman"/>
          <w:sz w:val="17"/>
          <w:szCs w:val="17"/>
          <w:color w:val="auto"/>
        </w:rPr>
        <w:t>Information regarding members of the Board of Directors, including its audit committee and audit committee financial expert, as well as information regarding our Code of Business Conduct and Ethics that applies to our Chief Executive Officer and senior financial officers, will be presented in Lazard Ltd’s definitive proxy statement for its 2019 annual general meeting of shareholders, which will be held in April 2019, and is incorporated herein by reference.</w:t>
      </w:r>
    </w:p>
    <w:p>
      <w:pPr>
        <w:spacing w:after="0" w:line="2" w:lineRule="exact"/>
        <w:rPr>
          <w:sz w:val="20"/>
          <w:szCs w:val="20"/>
          <w:color w:val="auto"/>
        </w:rPr>
      </w:pPr>
    </w:p>
    <w:p>
      <w:pPr>
        <w:ind w:right="840"/>
        <w:spacing w:after="0" w:line="261" w:lineRule="auto"/>
        <w:rPr>
          <w:sz w:val="20"/>
          <w:szCs w:val="20"/>
          <w:color w:val="auto"/>
        </w:rPr>
      </w:pPr>
      <w:r>
        <w:rPr>
          <w:rFonts w:ascii="Times New Roman" w:cs="Times New Roman" w:eastAsia="Times New Roman" w:hAnsi="Times New Roman"/>
          <w:sz w:val="18"/>
          <w:szCs w:val="18"/>
          <w:color w:val="auto"/>
        </w:rPr>
        <w:t>Information regarding our executive officers is included in Part I of this Annual Report on Form 10-K under the caption “Executive Officers of the Registrant”.</w:t>
      </w:r>
    </w:p>
    <w:p>
      <w:pPr>
        <w:spacing w:after="0" w:line="180" w:lineRule="exact"/>
        <w:rPr>
          <w:sz w:val="20"/>
          <w:szCs w:val="20"/>
          <w:color w:val="auto"/>
        </w:rPr>
      </w:pPr>
    </w:p>
    <w:p>
      <w:pPr>
        <w:jc w:val="both"/>
        <w:ind w:right="300" w:firstLine="598"/>
        <w:spacing w:after="0" w:line="266"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with respect to compliance with Section 16(a) of the Exchange Act will be set forth under the caption “Section 16(a) Beneficial Ownership Reporting and Compliance” in Lazard Ltd’s definitive proxy statement for its 2019 annual general meeting of shareholders, and is incorporated herein by reference.</w:t>
      </w:r>
    </w:p>
    <w:p>
      <w:pPr>
        <w:spacing w:after="0" w:line="36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260" w:firstLine="598"/>
        <w:spacing w:after="0" w:line="282" w:lineRule="auto"/>
        <w:rPr>
          <w:sz w:val="20"/>
          <w:szCs w:val="20"/>
          <w:color w:val="auto"/>
        </w:rPr>
      </w:pPr>
      <w:r>
        <w:rPr>
          <w:rFonts w:ascii="Times New Roman" w:cs="Times New Roman" w:eastAsia="Times New Roman" w:hAnsi="Times New Roman"/>
          <w:sz w:val="18"/>
          <w:szCs w:val="18"/>
          <w:color w:val="auto"/>
        </w:rPr>
        <w:t>Information regarding executive officer and director compensation will be presented in Lazard Ltd’s definitive proxy statement for its 2019 annual general meeting of shareholders, which will be held in April 2019, and is incorporated herein by reference.</w:t>
      </w:r>
    </w:p>
    <w:p>
      <w:pPr>
        <w:spacing w:after="0" w:line="34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180" w:firstLine="598"/>
        <w:spacing w:after="0" w:line="266"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shareholder matters will be presented in Lazard Ltd’s definitive proxy statement for its 2019 annual general meeting of shareholders, which will be held in April 2019,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280" w:firstLine="59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2018 regarding securities issued under our 2018 Incentive Compensation Plan, 2008 Incentive Compensation Plan and 2005 Equity Incentive Plan.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460" w:type="dxa"/>
            <w:vAlign w:val="bottom"/>
          </w:tcPr>
          <w:p>
            <w:pPr>
              <w:spacing w:after="0"/>
              <w:rPr>
                <w:sz w:val="12"/>
                <w:szCs w:val="12"/>
                <w:color w:val="auto"/>
              </w:rPr>
            </w:pPr>
          </w:p>
        </w:tc>
        <w:tc>
          <w:tcPr>
            <w:tcW w:w="18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460" w:type="dxa"/>
            <w:vAlign w:val="bottom"/>
          </w:tcPr>
          <w:p>
            <w:pPr>
              <w:spacing w:after="0"/>
              <w:rPr>
                <w:sz w:val="12"/>
                <w:szCs w:val="12"/>
                <w:color w:val="auto"/>
              </w:rPr>
            </w:pPr>
          </w:p>
        </w:tc>
        <w:tc>
          <w:tcPr>
            <w:tcW w:w="18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3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460" w:type="dxa"/>
            <w:vAlign w:val="bottom"/>
          </w:tcPr>
          <w:p>
            <w:pPr>
              <w:spacing w:after="0"/>
              <w:rPr>
                <w:sz w:val="12"/>
                <w:szCs w:val="12"/>
                <w:color w:val="auto"/>
              </w:rPr>
            </w:pPr>
          </w:p>
        </w:tc>
        <w:tc>
          <w:tcPr>
            <w:tcW w:w="18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30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460" w:type="dxa"/>
            <w:vAlign w:val="bottom"/>
          </w:tcPr>
          <w:p>
            <w:pPr>
              <w:spacing w:after="0"/>
              <w:rPr>
                <w:sz w:val="12"/>
                <w:szCs w:val="12"/>
                <w:color w:val="auto"/>
              </w:rPr>
            </w:pPr>
          </w:p>
        </w:tc>
        <w:tc>
          <w:tcPr>
            <w:tcW w:w="18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the</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3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460" w:type="dxa"/>
            <w:vAlign w:val="bottom"/>
          </w:tcPr>
          <w:p>
            <w:pPr>
              <w:spacing w:after="0"/>
              <w:rPr>
                <w:sz w:val="15"/>
                <w:szCs w:val="15"/>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Second Column)</w:t>
            </w:r>
          </w:p>
        </w:tc>
        <w:tc>
          <w:tcPr>
            <w:tcW w:w="0" w:type="dxa"/>
            <w:vAlign w:val="bottom"/>
          </w:tcPr>
          <w:p>
            <w:pPr>
              <w:spacing w:after="0"/>
              <w:rPr>
                <w:sz w:val="1"/>
                <w:szCs w:val="1"/>
                <w:color w:val="auto"/>
              </w:rPr>
            </w:pPr>
          </w:p>
        </w:tc>
      </w:tr>
      <w:tr>
        <w:trPr>
          <w:trHeight w:val="205"/>
        </w:trPr>
        <w:tc>
          <w:tcPr>
            <w:tcW w:w="30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Equity compensation</w:t>
            </w:r>
          </w:p>
        </w:tc>
        <w:tc>
          <w:tcPr>
            <w:tcW w:w="2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plans approved by</w:t>
            </w:r>
          </w:p>
        </w:tc>
        <w:tc>
          <w:tcPr>
            <w:tcW w:w="2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30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2018 Incentive Compensation Plan</w:t>
            </w:r>
            <w:r>
              <w:rPr>
                <w:rFonts w:ascii="Times New Roman" w:cs="Times New Roman" w:eastAsia="Times New Roman" w:hAnsi="Times New Roman"/>
                <w:sz w:val="15"/>
                <w:szCs w:val="15"/>
                <w:color w:val="auto"/>
                <w:w w:val="99"/>
              </w:rPr>
              <w:t>(1)</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115,092</w:t>
            </w:r>
          </w:p>
        </w:tc>
        <w:tc>
          <w:tcPr>
            <w:tcW w:w="46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29,874,262</w:t>
            </w:r>
          </w:p>
        </w:tc>
        <w:tc>
          <w:tcPr>
            <w:tcW w:w="3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plans approved by</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3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2008 Incentive Compensation Plan</w:t>
            </w:r>
            <w:r>
              <w:rPr>
                <w:rFonts w:ascii="Times New Roman" w:cs="Times New Roman" w:eastAsia="Times New Roman" w:hAnsi="Times New Roman"/>
                <w:sz w:val="15"/>
                <w:szCs w:val="15"/>
                <w:color w:val="auto"/>
                <w:w w:val="99"/>
              </w:rPr>
              <w:t>(2)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14,858,011</w:t>
            </w: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2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plans not approved by</w:t>
            </w:r>
          </w:p>
        </w:tc>
        <w:tc>
          <w:tcPr>
            <w:tcW w:w="2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30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2005 Equity Incentive Plan</w:t>
            </w:r>
            <w:r>
              <w:rPr>
                <w:rFonts w:ascii="Times New Roman" w:cs="Times New Roman" w:eastAsia="Times New Roman" w:hAnsi="Times New Roman"/>
                <w:sz w:val="15"/>
                <w:szCs w:val="15"/>
                <w:color w:val="auto"/>
              </w:rPr>
              <w:t>(3)</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46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5"/>
                <w:szCs w:val="15"/>
                <w:color w:val="auto"/>
              </w:rPr>
              <w:t>(4)</w:t>
            </w:r>
          </w:p>
        </w:tc>
        <w:tc>
          <w:tcPr>
            <w:tcW w:w="1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(5)</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14,998,705</w:t>
            </w: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29,874,262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1" w:lineRule="exact"/>
        <w:rPr>
          <w:sz w:val="20"/>
          <w:szCs w:val="20"/>
          <w:color w:val="auto"/>
        </w:rPr>
      </w:pPr>
    </w:p>
    <w:p>
      <w:pPr>
        <w:ind w:left="600" w:right="200" w:hanging="592"/>
        <w:spacing w:after="0" w:line="266" w:lineRule="auto"/>
        <w:tabs>
          <w:tab w:leader="none" w:pos="6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2018 Incentive Compensation Plan was approved by the stockholders of Lazard Ltd on April 24, 2018 and replaced the 2008 Incentive Compensation Plan, which was terminated on April 24, 2018. The 2018 Plan authorizes the issuance of up to 30 million shares of Class A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34" w:name="page135"/>
    <w:bookmarkEnd w:id="134"/>
    <w:p>
      <w:pPr>
        <w:jc w:val="both"/>
        <w:ind w:left="600" w:hanging="592"/>
        <w:spacing w:after="0" w:line="266" w:lineRule="auto"/>
        <w:tabs>
          <w:tab w:leader="none" w:pos="6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2008 Incentive Compensation Plan was approved by the stockholders of Lazard Ltd on May 6, 2008. The 2008 Incentive Compensation Plan was terminated on April 24, 2018, although awards granted under the 2008 Incentive Compensation Plan remain outstanding and continue to be subject to its terms.</w:t>
      </w:r>
    </w:p>
    <w:p>
      <w:pPr>
        <w:spacing w:after="0" w:line="68" w:lineRule="exact"/>
        <w:rPr>
          <w:rFonts w:ascii="Times New Roman" w:cs="Times New Roman" w:eastAsia="Times New Roman" w:hAnsi="Times New Roman"/>
          <w:sz w:val="18"/>
          <w:szCs w:val="18"/>
          <w:color w:val="auto"/>
        </w:rPr>
      </w:pPr>
    </w:p>
    <w:p>
      <w:pPr>
        <w:ind w:left="600" w:right="40" w:hanging="592"/>
        <w:spacing w:after="0" w:line="266" w:lineRule="auto"/>
        <w:tabs>
          <w:tab w:leader="none" w:pos="6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2005 Equity Incentive Plan was established prior to our equity public offering in May 2005 and, as a result, did not require approval by security holders. The 2005 Equity Incentive Plan expired in the second quarter of 2015, although awards granted under the 2005 Equity Incentive Plan remain outstanding and continue to be subject to its terms.</w:t>
      </w:r>
    </w:p>
    <w:p>
      <w:pPr>
        <w:spacing w:after="0" w:line="68" w:lineRule="exact"/>
        <w:rPr>
          <w:rFonts w:ascii="Times New Roman" w:cs="Times New Roman" w:eastAsia="Times New Roman" w:hAnsi="Times New Roman"/>
          <w:sz w:val="18"/>
          <w:szCs w:val="18"/>
          <w:color w:val="auto"/>
        </w:rPr>
      </w:pPr>
    </w:p>
    <w:p>
      <w:pPr>
        <w:ind w:left="600" w:right="140" w:hanging="592"/>
        <w:spacing w:after="0" w:line="266" w:lineRule="auto"/>
        <w:tabs>
          <w:tab w:leader="none" w:pos="6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outstanding stock unit awards, after giving effect to forfeitures, as of December 31, 2018. As of that date, the only grants made under the 2018 Incentive Compensation Plan, 2008 Incentive Compensation Plan and 2005 Equity Incentive Plan have been in the form of stock unit awards and restricted stock awards. See Note 15 of Notes to Consolidated Financial Statements for a description of the plans.</w:t>
      </w:r>
    </w:p>
    <w:p>
      <w:pPr>
        <w:spacing w:after="0" w:line="68" w:lineRule="exact"/>
        <w:rPr>
          <w:rFonts w:ascii="Times New Roman" w:cs="Times New Roman" w:eastAsia="Times New Roman" w:hAnsi="Times New Roman"/>
          <w:sz w:val="18"/>
          <w:szCs w:val="18"/>
          <w:color w:val="auto"/>
        </w:rPr>
      </w:pPr>
    </w:p>
    <w:p>
      <w:pPr>
        <w:ind w:left="600" w:right="100" w:hanging="592"/>
        <w:spacing w:after="0" w:line="258" w:lineRule="auto"/>
        <w:tabs>
          <w:tab w:leader="none" w:pos="6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awarded under our 2018 Incentive Compensation Plan, 2008 Incentive Compensation Plan and 2005 Equity Incentive Plan was granted at no cost to the persons receiving them and represents the contingent right to receive the equivalent number of shares of Lazard Ltd Class A common stock. Performance-based restricted stock units awarded represent the contingent right to receive Class A common stock based on the achievement of performance criteria, and the number of shares of Class A common stock that ultimately may be received generally can range from zero to two times the target number. See Note 15 of Notes to Consolidated Financial Statements.</w:t>
      </w:r>
    </w:p>
    <w:p>
      <w:pPr>
        <w:spacing w:after="0" w:line="75" w:lineRule="exact"/>
        <w:rPr>
          <w:rFonts w:ascii="Times New Roman" w:cs="Times New Roman" w:eastAsia="Times New Roman" w:hAnsi="Times New Roman"/>
          <w:sz w:val="18"/>
          <w:szCs w:val="18"/>
          <w:color w:val="auto"/>
        </w:rPr>
      </w:pPr>
    </w:p>
    <w:p>
      <w:pPr>
        <w:ind w:left="600" w:right="140" w:hanging="592"/>
        <w:spacing w:after="0" w:line="282" w:lineRule="auto"/>
        <w:tabs>
          <w:tab w:leader="none" w:pos="6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number of securities remaining available for future issuance, after considering the impact of vested restricted stock units that will not be delivered as a result of withholding taxes.</w:t>
      </w:r>
    </w:p>
    <w:p>
      <w:pPr>
        <w:spacing w:after="0" w:line="34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320" w:firstLine="598"/>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will be presented in Lazard Ltd’s definitive proxy statement for its 2019 annual general meeting of shareholders, which will be held in April 2019, and is incorporated herein by reference.</w:t>
      </w:r>
    </w:p>
    <w:p>
      <w:pPr>
        <w:spacing w:after="0" w:line="34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right="120" w:firstLine="598"/>
        <w:spacing w:after="0" w:line="282"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will be presented in Lazard Ltd’s definitive proxy statement for its 2019 annual general meeting of shareholders, which will be held in April 2019, and is incorporated herein by reference.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35" w:name="page136"/>
    <w:bookmarkEnd w:id="13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ind w:left="600" w:hanging="592"/>
        <w:spacing w:after="0"/>
        <w:tabs>
          <w:tab w:leader="none" w:pos="6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as part of this Report:</w:t>
      </w:r>
    </w:p>
    <w:p>
      <w:pPr>
        <w:spacing w:after="0" w:line="117" w:lineRule="exact"/>
        <w:rPr>
          <w:rFonts w:ascii="Times New Roman" w:cs="Times New Roman" w:eastAsia="Times New Roman" w:hAnsi="Times New Roman"/>
          <w:sz w:val="18"/>
          <w:szCs w:val="18"/>
          <w:b w:val="1"/>
          <w:bCs w:val="1"/>
          <w:color w:val="auto"/>
        </w:rPr>
      </w:pPr>
    </w:p>
    <w:p>
      <w:pPr>
        <w:ind w:left="1200" w:hanging="598"/>
        <w:spacing w:after="0"/>
        <w:tabs>
          <w:tab w:leader="none" w:pos="120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Financial Statements</w:t>
      </w:r>
    </w:p>
    <w:p>
      <w:pPr>
        <w:spacing w:after="0" w:line="121" w:lineRule="exact"/>
        <w:rPr>
          <w:rFonts w:ascii="Times New Roman" w:cs="Times New Roman" w:eastAsia="Times New Roman" w:hAnsi="Times New Roman"/>
          <w:sz w:val="18"/>
          <w:szCs w:val="18"/>
          <w:b w:val="1"/>
          <w:bCs w:val="1"/>
          <w:color w:val="auto"/>
        </w:rPr>
      </w:pPr>
    </w:p>
    <w:p>
      <w:pPr>
        <w:ind w:left="120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required to be filed in the Annual Report on Form 10-K are listed on page F-1 hereof and in Part II, Item 8 hereof.</w:t>
      </w:r>
    </w:p>
    <w:p>
      <w:pPr>
        <w:spacing w:after="0" w:line="49" w:lineRule="exact"/>
        <w:rPr>
          <w:rFonts w:ascii="Times New Roman" w:cs="Times New Roman" w:eastAsia="Times New Roman" w:hAnsi="Times New Roman"/>
          <w:sz w:val="18"/>
          <w:szCs w:val="18"/>
          <w:b w:val="1"/>
          <w:bCs w:val="1"/>
          <w:color w:val="auto"/>
        </w:rPr>
      </w:pPr>
    </w:p>
    <w:p>
      <w:pPr>
        <w:ind w:left="1200" w:hanging="598"/>
        <w:spacing w:after="0"/>
        <w:tabs>
          <w:tab w:leader="none" w:pos="120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w:t>
      </w:r>
    </w:p>
    <w:p>
      <w:pPr>
        <w:spacing w:after="0" w:line="121" w:lineRule="exact"/>
        <w:rPr>
          <w:rFonts w:ascii="Times New Roman" w:cs="Times New Roman" w:eastAsia="Times New Roman" w:hAnsi="Times New Roman"/>
          <w:sz w:val="18"/>
          <w:szCs w:val="18"/>
          <w:b w:val="1"/>
          <w:bCs w:val="1"/>
          <w:color w:val="auto"/>
        </w:rPr>
      </w:pPr>
    </w:p>
    <w:p>
      <w:pPr>
        <w:jc w:val="both"/>
        <w:ind w:left="120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 schedule required in the Annual Report on Form 10-K is listed on page F-1 hereof. The required schedule appears on pages F-2 through F-6 hereof. All other schedules have been omitted because they are not applicable, not required or the information required is included in the Company’s consolidated financial statements or notes thereto.</w:t>
      </w:r>
    </w:p>
    <w:p>
      <w:pPr>
        <w:spacing w:after="0" w:line="64" w:lineRule="exact"/>
        <w:rPr>
          <w:rFonts w:ascii="Times New Roman" w:cs="Times New Roman" w:eastAsia="Times New Roman" w:hAnsi="Times New Roman"/>
          <w:sz w:val="18"/>
          <w:szCs w:val="18"/>
          <w:b w:val="1"/>
          <w:bCs w:val="1"/>
          <w:color w:val="auto"/>
        </w:rPr>
      </w:pPr>
    </w:p>
    <w:p>
      <w:pPr>
        <w:ind w:left="1200" w:hanging="598"/>
        <w:spacing w:after="0"/>
        <w:tabs>
          <w:tab w:leader="none" w:pos="120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3.1</w:t>
            </w:r>
          </w:p>
        </w:tc>
        <w:tc>
          <w:tcPr>
            <w:tcW w:w="10180" w:type="dxa"/>
            <w:vAlign w:val="bottom"/>
            <w:gridSpan w:val="29"/>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Certificate of Incorporation and Memorandum of Association of the Registrant (incorporated by reference to Exhibit 3.1 to the Registrant’s</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Registration Statement (File No. 333-121407) on Form S-1/A filed on March 21, 2005).</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3.2</w:t>
            </w:r>
          </w:p>
        </w:tc>
        <w:tc>
          <w:tcPr>
            <w:tcW w:w="10180" w:type="dxa"/>
            <w:vAlign w:val="bottom"/>
            <w:gridSpan w:val="29"/>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Certificate of Incorporation in Change of Name of the Registrant (incorporated by reference to Exhibit 3.2 to the Registrant’s Registration</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Statement (File No. 333-121407) on Form S-1/A filed on March 21, 2005).</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3.3</w:t>
            </w:r>
          </w:p>
        </w:tc>
        <w:tc>
          <w:tcPr>
            <w:tcW w:w="98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Amended and Restated Bye-Laws of Lazard Ltd (incorporated by reference to Exhibit 3.3 to the Registrant’s Quarterly Report (File No.</w:t>
              </w:r>
            </w:hyperlink>
          </w:p>
        </w:tc>
        <w:tc>
          <w:tcPr>
            <w:tcW w:w="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001-32492) on Form 10-Q filed on June 16, 2005).</w:t>
              </w:r>
            </w:hyperlink>
          </w:p>
        </w:tc>
        <w:tc>
          <w:tcPr>
            <w:tcW w:w="65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3.4</w:t>
            </w:r>
          </w:p>
        </w:tc>
        <w:tc>
          <w:tcPr>
            <w:tcW w:w="10180" w:type="dxa"/>
            <w:vAlign w:val="bottom"/>
            <w:gridSpan w:val="29"/>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First Amendment to Amended and Restated Bye-Laws of Lazard Ltd (incorporated by reference to Exhibit 3.4 to the Registrant’s Quarterly</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Report (File No. 001-32492) on Form 10-Q filed on May 9, 2008).</w:t>
              </w:r>
            </w:hyperlink>
          </w:p>
        </w:tc>
        <w:tc>
          <w:tcPr>
            <w:tcW w:w="5240" w:type="dxa"/>
            <w:vAlign w:val="bottom"/>
            <w:tcBorders>
              <w:top w:val="single" w:sz="8" w:color="0000EE"/>
            </w:tcBorders>
            <w:gridSpan w:val="13"/>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3.5</w:t>
            </w:r>
          </w:p>
        </w:tc>
        <w:tc>
          <w:tcPr>
            <w:tcW w:w="98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Second Amendment to the Amended and Restated Bye-Laws of Lazard Ltd (incorporated by reference to Exhibit 3.5 to the Registrant’s</w:t>
              </w:r>
            </w:hyperlink>
          </w:p>
        </w:tc>
        <w:tc>
          <w:tcPr>
            <w:tcW w:w="3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9"/>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Quarterly Report (File No. 001-32492) on Form 10-Q filed on April 30, 2010).</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3"/>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4.1</w:t>
            </w:r>
          </w:p>
        </w:tc>
        <w:tc>
          <w:tcPr>
            <w:tcW w:w="10180" w:type="dxa"/>
            <w:vAlign w:val="bottom"/>
            <w:gridSpan w:val="29"/>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Form of Specimen Certificate for Class A common stock (incorporated by reference to Exhibit 4.1 to the Registrant’s Registration Statement</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1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(File No. 333-121407) on Form S-1/A filed on April 11, 2005).</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40" w:type="dxa"/>
            <w:vAlign w:val="bottom"/>
            <w:tcBorders>
              <w:left w:val="single" w:sz="8" w:color="0000EE"/>
            </w:tcBorders>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4.2</w:t>
            </w:r>
          </w:p>
        </w:tc>
        <w:tc>
          <w:tcPr>
            <w:tcW w:w="10180" w:type="dxa"/>
            <w:vAlign w:val="bottom"/>
            <w:gridSpan w:val="29"/>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Indenture, dated as of May 10, 2005, by and between Lazard Group LLC and The Bank of New York, as Trustee (incorporated by reference</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to Exhibit 4.1 to Lazard Group LLC’s Registration Statement (File No. 333-126751) on Form S-4 filed on July 21, 2005).</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40" w:type="dxa"/>
            <w:vAlign w:val="bottom"/>
            <w:tcBorders>
              <w:left w:val="single" w:sz="8" w:color="0000EE"/>
            </w:tcBorders>
            <w:gridSpan w:val="5"/>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60" w:type="dxa"/>
            <w:vAlign w:val="bottom"/>
            <w:vMerge w:val="continue"/>
          </w:tcPr>
          <w:p>
            <w:pPr>
              <w:spacing w:after="0"/>
              <w:rPr>
                <w:sz w:val="24"/>
                <w:szCs w:val="24"/>
                <w:color w:val="auto"/>
              </w:rPr>
            </w:pPr>
          </w:p>
        </w:tc>
        <w:tc>
          <w:tcPr>
            <w:tcW w:w="99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Fifth Supplemental Indenture, dated as of November 14, 2013, between Lazard Group LLC and The Bank of New York Mellon, as trustee</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9"/>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(incorporated by reference to Exhibit 4.1 to the Registrant’s Current Report on Form 8-K (File No. 001-32492) filed on November 14,</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90">
              <w:r>
                <w:rPr>
                  <w:rFonts w:ascii="Times New Roman" w:cs="Times New Roman" w:eastAsia="Times New Roman" w:hAnsi="Times New Roman"/>
                  <w:sz w:val="18"/>
                  <w:szCs w:val="18"/>
                  <w:color w:val="0000EE"/>
                  <w:w w:val="94"/>
                </w:rPr>
                <w:t>2013).</w:t>
              </w:r>
            </w:hyperlink>
          </w:p>
        </w:tc>
        <w:tc>
          <w:tcPr>
            <w:tcW w:w="26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4.4</w:t>
            </w:r>
          </w:p>
        </w:tc>
        <w:tc>
          <w:tcPr>
            <w:tcW w:w="98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Sixth Supplemental Indenture, dated as of February 13, 2015, between Lazard Group LLC and The Bank of New York Mellon, as trustee</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(incorporated by reference to Exhibit 4.1 of the Registrant’s Current Report on Form 8-K (File No. 001-32492) filed on February 13, 2015).</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4.5</w:t>
            </w:r>
          </w:p>
        </w:tc>
        <w:tc>
          <w:tcPr>
            <w:tcW w:w="101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Seventh Supplemental Indenture, dated as of November 4, 2016, between Lazard Group LLC and The Bank of New York Mellon, as trustee</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1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(incorporated by reference to Exhibit 4.1 of the Registrant’s Current Report on Form 8-K (File No. 001-32492) filed on November 7, 2016).</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4.6</w:t>
            </w:r>
          </w:p>
        </w:tc>
        <w:tc>
          <w:tcPr>
            <w:tcW w:w="100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Eighth Supplemental Indenture, dated as of September 19, 2018, between Lazard Group LLC and the Bank of New York Mellon, as trustee</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9"/>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(incorporated by reference to Exhibit 4.1 to the Registrant’s Current Report on Form 8-K (File No. 001-32492) filed on September 19, 2018</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318"/>
        </w:trPr>
        <w:tc>
          <w:tcPr>
            <w:tcW w:w="1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4.7</w:t>
            </w:r>
          </w:p>
        </w:tc>
        <w:tc>
          <w:tcPr>
            <w:tcW w:w="10080" w:type="dxa"/>
            <w:vAlign w:val="bottom"/>
            <w:tcBorders>
              <w:top w:val="single" w:sz="8" w:color="0000EE"/>
            </w:tcBorders>
            <w:gridSpan w:val="2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Senior Note (included in Exhibits </w:t>
            </w:r>
            <w:hyperlink r:id="rId190">
              <w:r>
                <w:rPr>
                  <w:rFonts w:ascii="Times New Roman" w:cs="Times New Roman" w:eastAsia="Times New Roman" w:hAnsi="Times New Roman"/>
                  <w:sz w:val="18"/>
                  <w:szCs w:val="18"/>
                  <w:color w:val="0000EE"/>
                </w:rPr>
                <w:t>4.3</w:t>
              </w:r>
            </w:hyperlink>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color w:val="0000EE"/>
                </w:rPr>
                <w:t>4.4</w:t>
              </w:r>
            </w:hyperlink>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color w:val="0000EE"/>
                </w:rPr>
                <w:t>4.5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193">
              <w:r>
                <w:rPr>
                  <w:rFonts w:ascii="Times New Roman" w:cs="Times New Roman" w:eastAsia="Times New Roman" w:hAnsi="Times New Roman"/>
                  <w:sz w:val="18"/>
                  <w:szCs w:val="18"/>
                  <w:color w:val="0000EE"/>
                </w:rPr>
                <w:t>4.6</w:t>
              </w:r>
            </w:hyperlink>
            <w:r>
              <w:rPr>
                <w:rFonts w:ascii="Times New Roman" w:cs="Times New Roman" w:eastAsia="Times New Roman" w:hAnsi="Times New Roman"/>
                <w:sz w:val="18"/>
                <w:szCs w:val="18"/>
                <w:color w:val="auto"/>
              </w:rPr>
              <w:t>).</w:t>
            </w:r>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60" w:type="dxa"/>
            <w:vAlign w:val="bottom"/>
          </w:tcPr>
          <w:p>
            <w:pPr>
              <w:spacing w:after="0"/>
              <w:rPr>
                <w:sz w:val="24"/>
                <w:szCs w:val="24"/>
                <w:color w:val="auto"/>
              </w:rPr>
            </w:pPr>
          </w:p>
        </w:tc>
        <w:tc>
          <w:tcPr>
            <w:tcW w:w="31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134</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55" w:right="2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Amended and Restated Operating Agreement of Lazard Group LLC, dated as of February 4, 2019 (incorporated by reference to Exhibit 99.1</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7"/>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to Registrant’s Current Report (File No. 001-32492) on Form 8-K filed on February 5, 2019).</w:t>
              </w:r>
            </w:hyperlink>
          </w:p>
        </w:tc>
      </w:tr>
      <w:tr>
        <w:trPr>
          <w:trHeight w:val="20"/>
        </w:trPr>
        <w:tc>
          <w:tcPr>
            <w:tcW w:w="12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9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Second Amended and Restated Tax Receivable Agreement, dated as of October 26, 2015, by and among Ltd Sub A, Ltd Sub B and LTBP</w:t>
              </w:r>
            </w:hyperlink>
          </w:p>
        </w:tc>
        <w:tc>
          <w:tcPr>
            <w:tcW w:w="22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7"/>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Trust (incorporated by reference to Exhibit 10.2 to the Registrant’s Quarterly Report (File No. 001-32492) on Form 10-Q filed on October</w:t>
              </w:r>
            </w:hyperlink>
          </w:p>
        </w:tc>
      </w:tr>
      <w:tr>
        <w:trPr>
          <w:trHeight w:val="196"/>
        </w:trPr>
        <w:tc>
          <w:tcPr>
            <w:tcW w:w="12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97">
              <w:r>
                <w:rPr>
                  <w:rFonts w:ascii="Times New Roman" w:cs="Times New Roman" w:eastAsia="Times New Roman" w:hAnsi="Times New Roman"/>
                  <w:sz w:val="18"/>
                  <w:szCs w:val="18"/>
                  <w:color w:val="0000EE"/>
                  <w:w w:val="97"/>
                </w:rPr>
                <w:t>28, 2015).</w:t>
              </w:r>
            </w:hyperlink>
          </w:p>
        </w:tc>
        <w:tc>
          <w:tcPr>
            <w:tcW w:w="2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Lease, dated as of January 27, 1994, by and between Rockefeller Center Properties and Lazard Frères &amp; Co. LLC (incorporated by reference</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7"/>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to Exhibit 10.19 to the Registrant’s Registration Statement (File No. 333-121407) on Form S-1/A filed on February 11, 2005).</w:t>
              </w:r>
            </w:hyperlink>
          </w:p>
        </w:tc>
      </w:tr>
      <w:tr>
        <w:trPr>
          <w:trHeight w:val="20"/>
        </w:trPr>
        <w:tc>
          <w:tcPr>
            <w:tcW w:w="126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gridSpan w:val="27"/>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Fourth Amendment dated as of February 16, 2011, by and among RCPI Landmark Properties, L.L.C. (as the successor in interest to</w:t>
              </w:r>
            </w:hyperlink>
          </w:p>
        </w:tc>
      </w:tr>
      <w:tr>
        <w:trPr>
          <w:trHeight w:val="20"/>
        </w:trPr>
        <w:tc>
          <w:tcPr>
            <w:tcW w:w="126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Rockefeller Center Properties), RCPI 30 Rock 22234849, L.L.C. and Lazard Group LLC (as the successor in interest to Lazard Frères &amp; Co.</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LLC), to the Lease dated as of January 27, 1994, by and among Rockefeller Center Properties and Lazard Frères &amp; Co. LLC (incorporated</w:t>
              </w:r>
            </w:hyperlink>
          </w:p>
        </w:tc>
        <w:tc>
          <w:tcPr>
            <w:tcW w:w="18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7"/>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by reference to Exhibit 10.16 to the Registrant’s Quarterly Report (File No. 001-32492) on Form 10-Q filed on April 29, 2011).</w:t>
              </w:r>
            </w:hyperlink>
          </w:p>
        </w:tc>
      </w:tr>
      <w:tr>
        <w:trPr>
          <w:trHeight w:val="20"/>
        </w:trPr>
        <w:tc>
          <w:tcPr>
            <w:tcW w:w="126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80" w:type="dxa"/>
            <w:vAlign w:val="bottom"/>
            <w:gridSpan w:val="27"/>
          </w:tcPr>
          <w:p>
            <w:pPr>
              <w:spacing w:after="0"/>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Lazard Ltd 2005 Equity Incentive Plan (incorporated by reference to Exhibit 10.21 to the Registrant’s Registration Statement (File No. 333-</w:t>
              </w:r>
            </w:hyperlink>
          </w:p>
        </w:tc>
      </w:tr>
      <w:tr>
        <w:trPr>
          <w:trHeight w:val="196"/>
        </w:trPr>
        <w:tc>
          <w:tcPr>
            <w:tcW w:w="1260" w:type="dxa"/>
            <w:vAlign w:val="bottom"/>
          </w:tcPr>
          <w:p>
            <w:pPr>
              <w:spacing w:after="0"/>
              <w:rPr>
                <w:sz w:val="17"/>
                <w:szCs w:val="17"/>
                <w:color w:val="auto"/>
              </w:rPr>
            </w:pPr>
          </w:p>
        </w:tc>
        <w:tc>
          <w:tcPr>
            <w:tcW w:w="100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121407) on Form S-1/A filed on May 2, 2005).</w:t>
              </w:r>
            </w:hyperlink>
          </w:p>
        </w:tc>
        <w:tc>
          <w:tcPr>
            <w:tcW w:w="10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8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Lazard Ltd 2008 Incentive Compensation Plan (incorporated by reference to Annex B to the Registrant’s Definitive Proxy Statement on</w:t>
              </w:r>
            </w:hyperlink>
          </w:p>
        </w:tc>
        <w:tc>
          <w:tcPr>
            <w:tcW w:w="38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Schedule 14A (File No. 001-32492) filed on March 24, 2008).</w:t>
              </w:r>
            </w:hyperlink>
          </w:p>
        </w:tc>
        <w:tc>
          <w:tcPr>
            <w:tcW w:w="5680" w:type="dxa"/>
            <w:vAlign w:val="bottom"/>
            <w:gridSpan w:val="21"/>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9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Lazard Ltd 2016 French Sub-plan (incorporated by reference to Annex B to the Registrant’s Definitive Proxy Statement on Schedule 14A</w:t>
              </w:r>
            </w:hyperlink>
          </w:p>
        </w:tc>
        <w:tc>
          <w:tcPr>
            <w:tcW w:w="24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(File No. 001-32492) filed on March 10, 2016).</w:t>
              </w:r>
            </w:hyperlink>
          </w:p>
        </w:tc>
        <w:tc>
          <w:tcPr>
            <w:tcW w:w="6740" w:type="dxa"/>
            <w:vAlign w:val="bottom"/>
            <w:gridSpan w:val="24"/>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8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Lazard Ltd 2018 Incentive Compensation Plan (incorporated by reference to Annex B to the Registrant’s Definitive Proxy Statement on</w:t>
              </w:r>
            </w:hyperlink>
          </w:p>
        </w:tc>
        <w:tc>
          <w:tcPr>
            <w:tcW w:w="38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7"/>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Schedule 14A (File No. 001-32492) filed on March 15, 2018)</w:t>
              </w:r>
              <w:r>
                <w:rPr>
                  <w:rFonts w:ascii="Times New Roman" w:cs="Times New Roman" w:eastAsia="Times New Roman" w:hAnsi="Times New Roman"/>
                  <w:sz w:val="18"/>
                  <w:szCs w:val="18"/>
                  <w:color w:val="000000"/>
                </w:rPr>
                <w:t>.</w:t>
              </w:r>
            </w:hyperlink>
          </w:p>
        </w:tc>
      </w:tr>
      <w:tr>
        <w:trPr>
          <w:trHeight w:val="20"/>
        </w:trPr>
        <w:tc>
          <w:tcPr>
            <w:tcW w:w="1260" w:type="dxa"/>
            <w:vAlign w:val="bottom"/>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7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Amended and Restated Agreement relating to Retention and Noncompetition and Other Covenants, dated as of March 9, 2016, by and</w:t>
              </w:r>
            </w:hyperlink>
          </w:p>
        </w:tc>
        <w:tc>
          <w:tcPr>
            <w:tcW w:w="48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7"/>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among the Registrant, Lazard Group LLC and Kenneth M. Jacobs (incorporated by reference to Exhibit 10.9 to the Registrant’s Quarterly</w:t>
              </w:r>
            </w:hyperlink>
          </w:p>
        </w:tc>
      </w:tr>
      <w:tr>
        <w:trPr>
          <w:trHeight w:val="196"/>
        </w:trPr>
        <w:tc>
          <w:tcPr>
            <w:tcW w:w="126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Report (File No. 001-32492) on Form 10-Q filed on April 27, 2016).</w:t>
              </w:r>
            </w:hyperlink>
          </w:p>
        </w:tc>
        <w:tc>
          <w:tcPr>
            <w:tcW w:w="4960" w:type="dxa"/>
            <w:vAlign w:val="bottom"/>
            <w:tcBorders>
              <w:top w:val="single" w:sz="8" w:color="0000EE"/>
            </w:tcBorders>
            <w:gridSpan w:val="13"/>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7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Amended and Restated Agreement relating to Retention and Noncompetition and Other Covenants, dated as of March 9, 2016, by and</w:t>
              </w:r>
            </w:hyperlink>
          </w:p>
        </w:tc>
        <w:tc>
          <w:tcPr>
            <w:tcW w:w="48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7"/>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among the Registrant, Lazard Group LLC and Ashish Bhutani (incorporated by reference to Exhibit 10.10 to the Registrant’s Quarterly</w:t>
              </w:r>
            </w:hyperlink>
          </w:p>
        </w:tc>
      </w:tr>
      <w:tr>
        <w:trPr>
          <w:trHeight w:val="196"/>
        </w:trPr>
        <w:tc>
          <w:tcPr>
            <w:tcW w:w="126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Report (File No. 001-32492) on Form 10-Q filed on April 27, 2016).</w:t>
              </w:r>
            </w:hyperlink>
          </w:p>
        </w:tc>
        <w:tc>
          <w:tcPr>
            <w:tcW w:w="4780" w:type="dxa"/>
            <w:vAlign w:val="bottom"/>
            <w:tcBorders>
              <w:top w:val="single" w:sz="8" w:color="0000EE"/>
            </w:tcBorders>
            <w:gridSpan w:val="9"/>
          </w:tcPr>
          <w:p>
            <w:pPr>
              <w:spacing w:after="0"/>
              <w:rPr>
                <w:sz w:val="17"/>
                <w:szCs w:val="17"/>
                <w:color w:val="auto"/>
              </w:rPr>
            </w:pPr>
          </w:p>
        </w:tc>
        <w:tc>
          <w:tcPr>
            <w:tcW w:w="440" w:type="dxa"/>
            <w:vAlign w:val="bottom"/>
            <w:gridSpan w:val="11"/>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7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Amended and Restated Agreement relating to Retention and Noncompetition and Other Covenants, dated as of March 9, 2016, by and</w:t>
              </w:r>
            </w:hyperlink>
          </w:p>
        </w:tc>
        <w:tc>
          <w:tcPr>
            <w:tcW w:w="48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7"/>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among the Registrant, Lazard Group LLC and Scott D. Hoffman (incorporated by reference to Exhibit 10.12 to the Registrant’s Quarterly</w:t>
              </w:r>
            </w:hyperlink>
          </w:p>
        </w:tc>
      </w:tr>
      <w:tr>
        <w:trPr>
          <w:trHeight w:val="196"/>
        </w:trPr>
        <w:tc>
          <w:tcPr>
            <w:tcW w:w="126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Report (File No. 001-32492) on Form 10-Q filed on April 27, 2016).</w:t>
              </w:r>
            </w:hyperlink>
          </w:p>
        </w:tc>
        <w:tc>
          <w:tcPr>
            <w:tcW w:w="4940" w:type="dxa"/>
            <w:vAlign w:val="bottom"/>
            <w:tcBorders>
              <w:top w:val="single" w:sz="8" w:color="0000EE"/>
            </w:tcBorders>
            <w:gridSpan w:val="12"/>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6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Amendment, dated as of October 30, 2017, to Amended and Restated Agreement relating to Retention and Noncompetition and Other</w:t>
              </w:r>
            </w:hyperlink>
          </w:p>
        </w:tc>
        <w:tc>
          <w:tcPr>
            <w:tcW w:w="50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7"/>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Covenants, dated as of March 9, 2016, by and among the Registrant, Lazard Group LLC and Scott D. Hoffman (incorporated by reference to</w:t>
              </w:r>
            </w:hyperlink>
          </w:p>
        </w:tc>
      </w:tr>
      <w:tr>
        <w:trPr>
          <w:trHeight w:val="196"/>
        </w:trPr>
        <w:tc>
          <w:tcPr>
            <w:tcW w:w="1260" w:type="dxa"/>
            <w:vAlign w:val="bottom"/>
          </w:tcPr>
          <w:p>
            <w:pPr>
              <w:spacing w:after="0"/>
              <w:rPr>
                <w:sz w:val="17"/>
                <w:szCs w:val="17"/>
                <w:color w:val="auto"/>
              </w:rPr>
            </w:pPr>
          </w:p>
        </w:tc>
        <w:tc>
          <w:tcPr>
            <w:tcW w:w="1014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Exhibit 10.14 to the Registrant’s Quarterly Report (File No. 001-32492) on Form 10-Q filed on October 31, 2017).</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4660" w:type="dxa"/>
            <w:vAlign w:val="bottom"/>
            <w:gridSpan w:val="5"/>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180" w:type="dxa"/>
            <w:vAlign w:val="bottom"/>
            <w:gridSpan w:val="27"/>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Agreement relating to Retention and Noncompetition and Other Covenants, dated as of October 30, 2017, by and among the Registrant,</w:t>
              </w:r>
            </w:hyperlink>
          </w:p>
        </w:tc>
      </w:tr>
      <w:tr>
        <w:trPr>
          <w:trHeight w:val="196"/>
        </w:trPr>
        <w:tc>
          <w:tcPr>
            <w:tcW w:w="126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Lazard Group LLC and Evan L. Russo (incorporated by reference to Exhibit 10.15 to the Registrant’s Quarterly Report (File No. 001-</w:t>
              </w:r>
            </w:hyperlink>
          </w:p>
        </w:tc>
        <w:tc>
          <w:tcPr>
            <w:tcW w:w="120" w:type="dxa"/>
            <w:vAlign w:val="bottom"/>
            <w:tcBorders>
              <w:top w:val="single" w:sz="8" w:color="0000EE"/>
            </w:tcBorders>
            <w:gridSpan w:val="4"/>
          </w:tcPr>
          <w:p>
            <w:pPr>
              <w:spacing w:after="0"/>
              <w:rPr>
                <w:sz w:val="17"/>
                <w:szCs w:val="17"/>
                <w:color w:val="auto"/>
              </w:rPr>
            </w:pPr>
          </w:p>
        </w:tc>
        <w:tc>
          <w:tcPr>
            <w:tcW w:w="400" w:type="dxa"/>
            <w:vAlign w:val="bottom"/>
            <w:gridSpan w:val="10"/>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32492) on Form 10-Q filed on October 31, 2017).</w:t>
              </w:r>
            </w:hyperlink>
          </w:p>
        </w:tc>
        <w:tc>
          <w:tcPr>
            <w:tcW w:w="6580" w:type="dxa"/>
            <w:vAlign w:val="bottom"/>
            <w:gridSpan w:val="23"/>
          </w:tcPr>
          <w:p>
            <w:pPr>
              <w:spacing w:after="0"/>
              <w:rPr>
                <w:sz w:val="17"/>
                <w:szCs w:val="17"/>
                <w:color w:val="auto"/>
              </w:rPr>
            </w:pPr>
          </w:p>
        </w:tc>
      </w:tr>
      <w:tr>
        <w:trPr>
          <w:trHeight w:val="574"/>
        </w:trPr>
        <w:tc>
          <w:tcPr>
            <w:tcW w:w="1260" w:type="dxa"/>
            <w:vAlign w:val="bottom"/>
          </w:tcPr>
          <w:p>
            <w:pPr>
              <w:spacing w:after="0"/>
              <w:rPr>
                <w:sz w:val="24"/>
                <w:szCs w:val="24"/>
                <w:color w:val="auto"/>
              </w:rPr>
            </w:pPr>
          </w:p>
        </w:tc>
        <w:tc>
          <w:tcPr>
            <w:tcW w:w="4960" w:type="dxa"/>
            <w:vAlign w:val="bottom"/>
            <w:gridSpan w:val="7"/>
          </w:tcPr>
          <w:p>
            <w:pPr>
              <w:ind w:left="4320"/>
              <w:spacing w:after="0"/>
              <w:rPr>
                <w:sz w:val="20"/>
                <w:szCs w:val="20"/>
                <w:color w:val="auto"/>
              </w:rPr>
            </w:pPr>
            <w:r>
              <w:rPr>
                <w:rFonts w:ascii="Times New Roman" w:cs="Times New Roman" w:eastAsia="Times New Roman" w:hAnsi="Times New Roman"/>
                <w:sz w:val="18"/>
                <w:szCs w:val="18"/>
                <w:color w:val="auto"/>
              </w:rPr>
              <w:t>135</w:t>
            </w: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10.14*</w:t>
            </w:r>
          </w:p>
        </w:tc>
        <w:tc>
          <w:tcPr>
            <w:tcW w:w="96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Amended and Restated Agreement relating to Retention and Noncompetition and Other Covenants, dated as of March 9, 2016, by and</w:t>
              </w:r>
            </w:hyperlink>
          </w:p>
        </w:tc>
        <w:tc>
          <w:tcPr>
            <w:tcW w:w="50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among the Registrant, Lazard Group LLC and Alexander F. Stern (incorporated by reference to Exhibit 10.13 to the Registrant’s Quarterly</w:t>
              </w:r>
            </w:hyperlink>
          </w:p>
        </w:tc>
        <w:tc>
          <w:tcPr>
            <w:tcW w:w="20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Report (File No. 001-32492) on Form 10-Q filed on April 27, 2016).</w:t>
              </w:r>
            </w:hyperlink>
          </w:p>
        </w:tc>
        <w:tc>
          <w:tcPr>
            <w:tcW w:w="5220" w:type="dxa"/>
            <w:vAlign w:val="bottom"/>
            <w:gridSpan w:val="20"/>
          </w:tcPr>
          <w:p>
            <w:pPr>
              <w:spacing w:after="0"/>
              <w:rPr>
                <w:sz w:val="17"/>
                <w:szCs w:val="17"/>
                <w:color w:val="auto"/>
              </w:rPr>
            </w:pPr>
          </w:p>
        </w:tc>
      </w:tr>
      <w:tr>
        <w:trPr>
          <w:trHeight w:val="318"/>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10.15*</w:t>
            </w:r>
          </w:p>
        </w:tc>
        <w:tc>
          <w:tcPr>
            <w:tcW w:w="10180" w:type="dxa"/>
            <w:vAlign w:val="bottom"/>
            <w:gridSpan w:val="31"/>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Form of Award Letter for Annual Grant of Deferred Stock Units to Non-Executive Directors (incorporated by reference to Exhibit 99.1 to</w:t>
              </w:r>
            </w:hyperlink>
          </w:p>
        </w:tc>
      </w:tr>
      <w:tr>
        <w:trPr>
          <w:trHeight w:val="196"/>
        </w:trPr>
        <w:tc>
          <w:tcPr>
            <w:tcW w:w="1260" w:type="dxa"/>
            <w:vAlign w:val="bottom"/>
          </w:tcPr>
          <w:p>
            <w:pPr>
              <w:spacing w:after="0"/>
              <w:rPr>
                <w:sz w:val="17"/>
                <w:szCs w:val="17"/>
                <w:color w:val="auto"/>
              </w:rPr>
            </w:pPr>
          </w:p>
        </w:tc>
        <w:tc>
          <w:tcPr>
            <w:tcW w:w="99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the Registrant’s Current Report on Form 8-K (File No. 001-32492) filed on September 8, 2005).</w:t>
              </w:r>
            </w:hyperlink>
          </w:p>
        </w:tc>
        <w:tc>
          <w:tcPr>
            <w:tcW w:w="260" w:type="dxa"/>
            <w:vAlign w:val="bottom"/>
            <w:gridSpan w:val="8"/>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10.16*</w:t>
            </w:r>
          </w:p>
        </w:tc>
        <w:tc>
          <w:tcPr>
            <w:tcW w:w="95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Form of Agreement evidencing a grant of Restricted Stock Units to Executive Officers under the 2008 Incentive Compensation Plan</w:t>
              </w:r>
            </w:hyperlink>
          </w:p>
        </w:tc>
        <w:tc>
          <w:tcPr>
            <w:tcW w:w="64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(incorporated by reference to Exhibit 10.41 to the Registrant’s Annual Report (File No. 001-32492) on Form 10-K filed on March 2, 2009).</w:t>
              </w:r>
            </w:hyperlink>
          </w:p>
        </w:tc>
        <w:tc>
          <w:tcPr>
            <w:tcW w:w="120" w:type="dxa"/>
            <w:vAlign w:val="bottom"/>
            <w:gridSpan w:val="2"/>
          </w:tcPr>
          <w:p>
            <w:pPr>
              <w:spacing w:after="0"/>
              <w:rPr>
                <w:sz w:val="17"/>
                <w:szCs w:val="17"/>
                <w:color w:val="auto"/>
              </w:rPr>
            </w:pPr>
          </w:p>
        </w:tc>
      </w:tr>
      <w:tr>
        <w:trPr>
          <w:trHeight w:val="318"/>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10.17*</w:t>
            </w:r>
          </w:p>
        </w:tc>
        <w:tc>
          <w:tcPr>
            <w:tcW w:w="10180" w:type="dxa"/>
            <w:vAlign w:val="bottom"/>
            <w:gridSpan w:val="31"/>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Form of Agreement evidencing a grant of Deferred Cash Award to Executive Officers (incorporated by reference to Exhibit 10.42 to the</w:t>
              </w:r>
            </w:hyperlink>
          </w:p>
        </w:tc>
      </w:tr>
      <w:tr>
        <w:trPr>
          <w:trHeight w:val="196"/>
        </w:trPr>
        <w:tc>
          <w:tcPr>
            <w:tcW w:w="126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Registrant’s Annual Report (File No. 001-32492) on Form 10-K filed on March 2, 2009).</w:t>
              </w:r>
            </w:hyperlink>
          </w:p>
        </w:tc>
        <w:tc>
          <w:tcPr>
            <w:tcW w:w="3360" w:type="dxa"/>
            <w:vAlign w:val="bottom"/>
            <w:tcBorders>
              <w:top w:val="single" w:sz="8" w:color="0000EE"/>
            </w:tcBorders>
            <w:gridSpan w:val="8"/>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318"/>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10.18*</w:t>
            </w:r>
          </w:p>
        </w:tc>
        <w:tc>
          <w:tcPr>
            <w:tcW w:w="10180" w:type="dxa"/>
            <w:vAlign w:val="bottom"/>
            <w:gridSpan w:val="31"/>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Directors’ Fee Deferral Unit Plan (incorporated by reference to Exhibit 10.39 to the Registrant’s Quarterly Report (File No. 001-32492) on</w:t>
              </w:r>
            </w:hyperlink>
          </w:p>
        </w:tc>
      </w:tr>
      <w:tr>
        <w:trPr>
          <w:trHeight w:val="196"/>
        </w:trPr>
        <w:tc>
          <w:tcPr>
            <w:tcW w:w="126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Form 10-Q filed on May 11, 2006).</w:t>
              </w:r>
            </w:hyperlink>
          </w:p>
        </w:tc>
        <w:tc>
          <w:tcPr>
            <w:tcW w:w="7440" w:type="dxa"/>
            <w:vAlign w:val="bottom"/>
            <w:tcBorders>
              <w:top w:val="single" w:sz="8" w:color="0000EE"/>
            </w:tcBorders>
            <w:gridSpan w:val="24"/>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18"/>
        </w:trPr>
        <w:tc>
          <w:tcPr>
            <w:tcW w:w="12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8"/>
              </w:rPr>
              <w:t>10.19</w:t>
            </w:r>
          </w:p>
        </w:tc>
        <w:tc>
          <w:tcPr>
            <w:tcW w:w="100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Amended and Restated Credit Agreement, dated as of September 25, 2015, among Lazard Group LLC, the Banks from time to time parties</w:t>
              </w:r>
            </w:hyperlink>
          </w:p>
        </w:tc>
        <w:tc>
          <w:tcPr>
            <w:tcW w:w="14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31"/>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thereto, and Citibank, N.A., as Administrative Agent (incorporated by reference to Exhibit 10.27 to the Registrant’s Quarterly Report (File</w:t>
              </w:r>
            </w:hyperlink>
          </w:p>
        </w:tc>
      </w:tr>
      <w:tr>
        <w:trPr>
          <w:trHeight w:val="196"/>
        </w:trPr>
        <w:tc>
          <w:tcPr>
            <w:tcW w:w="126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No. 001-32492) on Form 10-Q filed on October 28, 2015).</w:t>
              </w:r>
            </w:hyperlink>
          </w:p>
        </w:tc>
        <w:tc>
          <w:tcPr>
            <w:tcW w:w="5740" w:type="dxa"/>
            <w:vAlign w:val="bottom"/>
            <w:tcBorders>
              <w:top w:val="single" w:sz="8" w:color="0000EE"/>
            </w:tcBorders>
            <w:gridSpan w:val="18"/>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318"/>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10.20*</w:t>
            </w:r>
          </w:p>
        </w:tc>
        <w:tc>
          <w:tcPr>
            <w:tcW w:w="1012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Form of Agreement evidencing a grant of Lazard Fund Interests to Named Executive Officers (incorporated by reference to Exhibit 10.55 to</w:t>
              </w:r>
            </w:hyperlink>
          </w:p>
        </w:tc>
        <w:tc>
          <w:tcPr>
            <w:tcW w:w="6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7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the Registrant’s Quarterly Report (File No. 001-32492) on Form 10-Q filed on May 1, 2013).</w:t>
              </w:r>
            </w:hyperlink>
          </w:p>
        </w:tc>
        <w:tc>
          <w:tcPr>
            <w:tcW w:w="3460" w:type="dxa"/>
            <w:vAlign w:val="bottom"/>
            <w:gridSpan w:val="18"/>
          </w:tcPr>
          <w:p>
            <w:pPr>
              <w:spacing w:after="0"/>
              <w:rPr>
                <w:sz w:val="17"/>
                <w:szCs w:val="17"/>
                <w:color w:val="auto"/>
              </w:rPr>
            </w:pPr>
          </w:p>
        </w:tc>
      </w:tr>
      <w:tr>
        <w:trPr>
          <w:trHeight w:val="318"/>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10.21*</w:t>
            </w:r>
          </w:p>
        </w:tc>
        <w:tc>
          <w:tcPr>
            <w:tcW w:w="100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Form of Agreement evidencing a February 20, 2014 grant of Performance-Based Stock Units under the 2008 Incentive Compensation Plan</w:t>
              </w:r>
            </w:hyperlink>
          </w:p>
        </w:tc>
        <w:tc>
          <w:tcPr>
            <w:tcW w:w="16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31"/>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(incorporated by reference to Exhibit 10.55 to the Registrant’s Quarterly Report (File No. 001-32492) on Form 10-Q filed May 6, 2014).</w:t>
              </w:r>
            </w:hyperlink>
          </w:p>
        </w:tc>
      </w:tr>
      <w:tr>
        <w:trPr>
          <w:trHeight w:val="20"/>
        </w:trPr>
        <w:tc>
          <w:tcPr>
            <w:tcW w:w="126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318"/>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10.22*</w:t>
            </w:r>
          </w:p>
        </w:tc>
        <w:tc>
          <w:tcPr>
            <w:tcW w:w="10180" w:type="dxa"/>
            <w:vAlign w:val="bottom"/>
            <w:gridSpan w:val="31"/>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Agreement between the Company and Kenneth M. Jacobs, dated as of February 20, 2014, evidencing a grant of Performance-Based Stock</w:t>
              </w:r>
            </w:hyperlink>
          </w:p>
        </w:tc>
      </w:tr>
      <w:tr>
        <w:trPr>
          <w:trHeight w:val="196"/>
        </w:trPr>
        <w:tc>
          <w:tcPr>
            <w:tcW w:w="126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Units under the 2008 Incentive Compensation Plan (incorporated by reference to Exhibit 10.56 to the Registrant’s Quarterly Report</w:t>
              </w:r>
            </w:hyperlink>
          </w:p>
        </w:tc>
        <w:tc>
          <w:tcPr>
            <w:tcW w:w="480" w:type="dxa"/>
            <w:vAlign w:val="bottom"/>
            <w:tcBorders>
              <w:top w:val="single" w:sz="8" w:color="0000EE"/>
            </w:tcBorders>
            <w:gridSpan w:val="8"/>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(File No. 001-32492) on Form 10-Q filed on May 6, 2014).</w:t>
              </w:r>
            </w:hyperlink>
          </w:p>
        </w:tc>
        <w:tc>
          <w:tcPr>
            <w:tcW w:w="5900" w:type="dxa"/>
            <w:vAlign w:val="bottom"/>
            <w:gridSpan w:val="23"/>
          </w:tcPr>
          <w:p>
            <w:pPr>
              <w:spacing w:after="0"/>
              <w:rPr>
                <w:sz w:val="17"/>
                <w:szCs w:val="17"/>
                <w:color w:val="auto"/>
              </w:rPr>
            </w:pPr>
          </w:p>
        </w:tc>
      </w:tr>
      <w:tr>
        <w:trPr>
          <w:trHeight w:val="318"/>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10.23*</w:t>
            </w:r>
          </w:p>
        </w:tc>
        <w:tc>
          <w:tcPr>
            <w:tcW w:w="10180" w:type="dxa"/>
            <w:vAlign w:val="bottom"/>
            <w:gridSpan w:val="31"/>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Form of Agreement evidencing a grant of Restricted Stock under the 2008 Incentive Compensation Plan (incorporated by reference to</w:t>
              </w:r>
            </w:hyperlink>
          </w:p>
        </w:tc>
      </w:tr>
      <w:tr>
        <w:trPr>
          <w:trHeight w:val="196"/>
        </w:trPr>
        <w:tc>
          <w:tcPr>
            <w:tcW w:w="1260" w:type="dxa"/>
            <w:vAlign w:val="bottom"/>
          </w:tcPr>
          <w:p>
            <w:pPr>
              <w:spacing w:after="0"/>
              <w:rPr>
                <w:sz w:val="17"/>
                <w:szCs w:val="17"/>
                <w:color w:val="auto"/>
              </w:rPr>
            </w:pPr>
          </w:p>
        </w:tc>
        <w:tc>
          <w:tcPr>
            <w:tcW w:w="96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Exhibit 10.55 to the Registrant’s Quarterly Report (File No. 001-32492) on Form 10-Q filed on April 30, 2010).</w:t>
              </w:r>
            </w:hyperlink>
          </w:p>
        </w:tc>
        <w:tc>
          <w:tcPr>
            <w:tcW w:w="520" w:type="dxa"/>
            <w:vAlign w:val="bottom"/>
            <w:gridSpan w:val="1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20" w:type="dxa"/>
            <w:vAlign w:val="bottom"/>
            <w:gridSpan w:val="5"/>
            <w:shd w:val="clear" w:color="auto" w:fill="0000EE"/>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318"/>
        </w:trPr>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6"/>
              </w:rPr>
              <w:t>10.24*</w:t>
            </w:r>
          </w:p>
        </w:tc>
        <w:tc>
          <w:tcPr>
            <w:tcW w:w="98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Form of Agreement evidencing a grant of Lazard Fund Interests (incorporated by reference to Exhibit 10.55 to the Registrant’s Quarterly</w:t>
              </w:r>
            </w:hyperlink>
          </w:p>
        </w:tc>
        <w:tc>
          <w:tcPr>
            <w:tcW w:w="30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31"/>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Report (File No. 001-32492) on Form 10-Q filed on April 29, 2011).</w:t>
              </w:r>
            </w:hyperlink>
          </w:p>
        </w:tc>
      </w:tr>
      <w:tr>
        <w:trPr>
          <w:trHeight w:val="318"/>
        </w:trPr>
        <w:tc>
          <w:tcPr>
            <w:tcW w:w="12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21.1</w:t>
            </w:r>
          </w:p>
        </w:tc>
        <w:tc>
          <w:tcPr>
            <w:tcW w:w="21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9"/>
              </w:rPr>
            </w:pPr>
            <w:hyperlink w:anchor="page147">
              <w:r>
                <w:rPr>
                  <w:rFonts w:ascii="Times New Roman" w:cs="Times New Roman" w:eastAsia="Times New Roman" w:hAnsi="Times New Roman"/>
                  <w:sz w:val="18"/>
                  <w:szCs w:val="18"/>
                  <w:color w:val="0000EE"/>
                  <w:w w:val="99"/>
                </w:rPr>
                <w:t>Subsidiaries of the Registrant.</w:t>
              </w:r>
            </w:hyperlink>
          </w:p>
        </w:tc>
        <w:tc>
          <w:tcPr>
            <w:tcW w:w="2760" w:type="dxa"/>
            <w:vAlign w:val="bottom"/>
            <w:tcBorders>
              <w:top w:val="single" w:sz="8" w:color="0000EE"/>
            </w:tcBorders>
            <w:gridSpan w:val="9"/>
          </w:tcPr>
          <w:p>
            <w:pPr>
              <w:spacing w:after="0"/>
              <w:rPr>
                <w:sz w:val="24"/>
                <w:szCs w:val="24"/>
                <w:color w:val="auto"/>
              </w:rPr>
            </w:pPr>
          </w:p>
        </w:tc>
        <w:tc>
          <w:tcPr>
            <w:tcW w:w="5240" w:type="dxa"/>
            <w:vAlign w:val="bottom"/>
            <w:gridSpan w:val="21"/>
          </w:tcPr>
          <w:p>
            <w:pPr>
              <w:spacing w:after="0"/>
              <w:rPr>
                <w:sz w:val="24"/>
                <w:szCs w:val="24"/>
                <w:color w:val="auto"/>
              </w:rPr>
            </w:pPr>
          </w:p>
        </w:tc>
      </w:tr>
      <w:tr>
        <w:trPr>
          <w:trHeight w:val="318"/>
        </w:trPr>
        <w:tc>
          <w:tcPr>
            <w:tcW w:w="12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23.1</w:t>
            </w:r>
          </w:p>
        </w:tc>
        <w:tc>
          <w:tcPr>
            <w:tcW w:w="10180" w:type="dxa"/>
            <w:vAlign w:val="bottom"/>
            <w:gridSpan w:val="31"/>
          </w:tcPr>
          <w:p>
            <w:pPr>
              <w:spacing w:after="0"/>
              <w:rPr>
                <w:rFonts w:ascii="Times New Roman" w:cs="Times New Roman" w:eastAsia="Times New Roman" w:hAnsi="Times New Roman"/>
                <w:sz w:val="18"/>
                <w:szCs w:val="18"/>
                <w:color w:val="0000EE"/>
              </w:rPr>
            </w:pPr>
            <w:hyperlink w:anchor="page148">
              <w:r>
                <w:rPr>
                  <w:rFonts w:ascii="Times New Roman" w:cs="Times New Roman" w:eastAsia="Times New Roman" w:hAnsi="Times New Roman"/>
                  <w:sz w:val="18"/>
                  <w:szCs w:val="18"/>
                  <w:color w:val="0000EE"/>
                </w:rPr>
                <w:t>Consent of Independent Registered Public Accounting Firm.</w:t>
              </w:r>
            </w:hyperlink>
          </w:p>
        </w:tc>
      </w:tr>
      <w:tr>
        <w:trPr>
          <w:trHeight w:val="318"/>
        </w:trPr>
        <w:tc>
          <w:tcPr>
            <w:tcW w:w="12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31.1</w:t>
            </w:r>
          </w:p>
        </w:tc>
        <w:tc>
          <w:tcPr>
            <w:tcW w:w="37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49">
              <w:r>
                <w:rPr>
                  <w:rFonts w:ascii="Times New Roman" w:cs="Times New Roman" w:eastAsia="Times New Roman" w:hAnsi="Times New Roman"/>
                  <w:sz w:val="18"/>
                  <w:szCs w:val="18"/>
                  <w:color w:val="0000EE"/>
                  <w:w w:val="99"/>
                </w:rPr>
                <w:t>Rule 13a-14(a) Certification of Kenneth M. Jacobs.</w:t>
              </w:r>
            </w:hyperlink>
          </w:p>
        </w:tc>
        <w:tc>
          <w:tcPr>
            <w:tcW w:w="640" w:type="dxa"/>
            <w:vAlign w:val="bottom"/>
            <w:tcBorders>
              <w:top w:val="single" w:sz="8" w:color="0000EE"/>
            </w:tcBorders>
            <w:gridSpan w:val="3"/>
          </w:tcPr>
          <w:p>
            <w:pPr>
              <w:spacing w:after="0"/>
              <w:rPr>
                <w:sz w:val="24"/>
                <w:szCs w:val="24"/>
                <w:color w:val="auto"/>
              </w:rPr>
            </w:pPr>
          </w:p>
        </w:tc>
        <w:tc>
          <w:tcPr>
            <w:tcW w:w="5820" w:type="dxa"/>
            <w:vAlign w:val="bottom"/>
            <w:gridSpan w:val="22"/>
          </w:tcPr>
          <w:p>
            <w:pPr>
              <w:spacing w:after="0"/>
              <w:rPr>
                <w:sz w:val="24"/>
                <w:szCs w:val="24"/>
                <w:color w:val="auto"/>
              </w:rPr>
            </w:pPr>
          </w:p>
        </w:tc>
      </w:tr>
      <w:tr>
        <w:trPr>
          <w:trHeight w:val="318"/>
        </w:trPr>
        <w:tc>
          <w:tcPr>
            <w:tcW w:w="12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31.2</w:t>
            </w:r>
          </w:p>
        </w:tc>
        <w:tc>
          <w:tcPr>
            <w:tcW w:w="10180" w:type="dxa"/>
            <w:vAlign w:val="bottom"/>
            <w:gridSpan w:val="31"/>
          </w:tcPr>
          <w:p>
            <w:pPr>
              <w:spacing w:after="0"/>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Rule 13a-14(a) Certification of Evan L. Russo.</w:t>
              </w:r>
            </w:hyperlink>
          </w:p>
        </w:tc>
      </w:tr>
      <w:tr>
        <w:trPr>
          <w:trHeight w:val="20"/>
        </w:trPr>
        <w:tc>
          <w:tcPr>
            <w:tcW w:w="126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40" w:type="dxa"/>
            <w:vAlign w:val="bottom"/>
            <w:gridSpan w:val="26"/>
          </w:tcPr>
          <w:p>
            <w:pPr>
              <w:spacing w:after="0" w:line="20" w:lineRule="exact"/>
              <w:rPr>
                <w:sz w:val="1"/>
                <w:szCs w:val="1"/>
                <w:color w:val="auto"/>
              </w:rPr>
            </w:pPr>
          </w:p>
        </w:tc>
      </w:tr>
      <w:tr>
        <w:trPr>
          <w:trHeight w:val="318"/>
        </w:trPr>
        <w:tc>
          <w:tcPr>
            <w:tcW w:w="12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32.1</w:t>
            </w:r>
          </w:p>
        </w:tc>
        <w:tc>
          <w:tcPr>
            <w:tcW w:w="36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51">
              <w:r>
                <w:rPr>
                  <w:rFonts w:ascii="Times New Roman" w:cs="Times New Roman" w:eastAsia="Times New Roman" w:hAnsi="Times New Roman"/>
                  <w:sz w:val="18"/>
                  <w:szCs w:val="18"/>
                  <w:color w:val="0000EE"/>
                  <w:w w:val="99"/>
                </w:rPr>
                <w:t>Section 1350 Certification for Kenneth M. Jacobs.</w:t>
              </w:r>
            </w:hyperlink>
          </w:p>
        </w:tc>
        <w:tc>
          <w:tcPr>
            <w:tcW w:w="6540" w:type="dxa"/>
            <w:vAlign w:val="bottom"/>
            <w:gridSpan w:val="26"/>
          </w:tcPr>
          <w:p>
            <w:pPr>
              <w:spacing w:after="0"/>
              <w:rPr>
                <w:sz w:val="24"/>
                <w:szCs w:val="24"/>
                <w:color w:val="auto"/>
              </w:rPr>
            </w:pPr>
          </w:p>
        </w:tc>
      </w:tr>
      <w:tr>
        <w:trPr>
          <w:trHeight w:val="318"/>
        </w:trPr>
        <w:tc>
          <w:tcPr>
            <w:tcW w:w="12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32.2</w:t>
            </w:r>
          </w:p>
        </w:tc>
        <w:tc>
          <w:tcPr>
            <w:tcW w:w="10180" w:type="dxa"/>
            <w:vAlign w:val="bottom"/>
            <w:gridSpan w:val="31"/>
          </w:tcPr>
          <w:p>
            <w:pPr>
              <w:spacing w:after="0"/>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Section 1350 Certification for Evan L. Russo.</w:t>
              </w:r>
            </w:hyperlink>
          </w:p>
        </w:tc>
      </w:tr>
      <w:tr>
        <w:trPr>
          <w:trHeight w:val="35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3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880" w:type="dxa"/>
            <w:vAlign w:val="bottom"/>
            <w:gridSpan w:val="28"/>
          </w:tcPr>
          <w:p>
            <w:pPr>
              <w:spacing w:after="0"/>
              <w:rPr>
                <w:sz w:val="24"/>
                <w:szCs w:val="24"/>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554"/>
        </w:trPr>
        <w:tc>
          <w:tcPr>
            <w:tcW w:w="1260" w:type="dxa"/>
            <w:vAlign w:val="bottom"/>
          </w:tcPr>
          <w:p>
            <w:pPr>
              <w:spacing w:after="0"/>
              <w:rPr>
                <w:sz w:val="24"/>
                <w:szCs w:val="24"/>
                <w:color w:val="auto"/>
              </w:rPr>
            </w:pPr>
          </w:p>
        </w:tc>
        <w:tc>
          <w:tcPr>
            <w:tcW w:w="4940" w:type="dxa"/>
            <w:vAlign w:val="bottom"/>
            <w:gridSpan w:val="10"/>
          </w:tcPr>
          <w:p>
            <w:pPr>
              <w:ind w:left="432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1150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70" w:lineRule="exact"/>
        <w:rPr>
          <w:sz w:val="20"/>
          <w:szCs w:val="20"/>
          <w:color w:val="auto"/>
        </w:rPr>
      </w:pPr>
    </w:p>
    <w:p>
      <w:pPr>
        <w:ind w:left="600" w:hanging="592"/>
        <w:spacing w:after="0"/>
        <w:tabs>
          <w:tab w:leader="none" w:pos="6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2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 AND FINANCIAL STATEMENT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ITEMS 15(a)(1) AND 15(a)(2)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4920" w:type="dxa"/>
            <w:vAlign w:val="bottom"/>
            <w:gridSpan w:val="11"/>
            <w:vMerge w:val="restart"/>
          </w:tcPr>
          <w:p>
            <w:pPr>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Management’s Report on Internal Control Over Financial Reporting</w:t>
              </w:r>
            </w:hyperlink>
          </w:p>
        </w:tc>
        <w:tc>
          <w:tcPr>
            <w:tcW w:w="5600" w:type="dxa"/>
            <w:vAlign w:val="bottom"/>
            <w:gridSpan w:val="10"/>
            <w:vMerge w:val="restart"/>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61"/>
        </w:trPr>
        <w:tc>
          <w:tcPr>
            <w:tcW w:w="4920" w:type="dxa"/>
            <w:vAlign w:val="bottom"/>
            <w:tcBorders>
              <w:bottom w:val="single" w:sz="8" w:color="0000EE"/>
            </w:tcBorders>
            <w:gridSpan w:val="11"/>
            <w:vMerge w:val="continue"/>
          </w:tcPr>
          <w:p>
            <w:pPr>
              <w:spacing w:after="0"/>
              <w:rPr>
                <w:sz w:val="13"/>
                <w:szCs w:val="13"/>
                <w:color w:val="auto"/>
              </w:rPr>
            </w:pPr>
          </w:p>
        </w:tc>
        <w:tc>
          <w:tcPr>
            <w:tcW w:w="5600" w:type="dxa"/>
            <w:vAlign w:val="bottom"/>
            <w:gridSpan w:val="10"/>
            <w:vMerge w:val="continue"/>
          </w:tcPr>
          <w:p>
            <w:pPr>
              <w:spacing w:after="0"/>
              <w:rPr>
                <w:sz w:val="13"/>
                <w:szCs w:val="13"/>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3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Reports of Independent Registered Public Accounting Firm</w:t>
              </w:r>
            </w:hyperlink>
          </w:p>
        </w:tc>
        <w:tc>
          <w:tcPr>
            <w:tcW w:w="6220" w:type="dxa"/>
            <w:vAlign w:val="bottom"/>
            <w:gridSpan w:val="11"/>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58"/>
        </w:trPr>
        <w:tc>
          <w:tcPr>
            <w:tcW w:w="105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520" w:type="dxa"/>
            <w:vAlign w:val="bottom"/>
            <w:gridSpan w:val="21"/>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Consolidated Statements of Financial Condition as of December 31, 2018 and 2017</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1"/>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Consolidated Statements of Operations for the years ended December 31, 2018, 2017 and 2016</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18"/>
        </w:trPr>
        <w:tc>
          <w:tcPr>
            <w:tcW w:w="672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Consolidated Statements of Comprehensive Income for the years ended December 31, 2018,</w:t>
              </w:r>
            </w:hyperlink>
          </w:p>
        </w:tc>
        <w:tc>
          <w:tcPr>
            <w:tcW w:w="140" w:type="dxa"/>
            <w:vAlign w:val="bottom"/>
            <w:tcBorders>
              <w:top w:val="single" w:sz="8" w:color="0000EE"/>
            </w:tcBorders>
          </w:tcPr>
          <w:p>
            <w:pPr>
              <w:spacing w:after="0"/>
              <w:rPr>
                <w:sz w:val="24"/>
                <w:szCs w:val="24"/>
                <w:color w:val="auto"/>
              </w:rPr>
            </w:pPr>
          </w:p>
        </w:tc>
        <w:tc>
          <w:tcPr>
            <w:tcW w:w="366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2017 and 2016</w:t>
              </w:r>
            </w:hyperlink>
          </w:p>
        </w:tc>
        <w:tc>
          <w:tcPr>
            <w:tcW w:w="9220" w:type="dxa"/>
            <w:vAlign w:val="bottom"/>
            <w:gridSpan w:val="16"/>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18"/>
        </w:trPr>
        <w:tc>
          <w:tcPr>
            <w:tcW w:w="69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Consolidated Statements of Cash Flows for the years ended December 31, 2018, 2017 and 2016</w:t>
              </w:r>
            </w:hyperlink>
          </w:p>
        </w:tc>
        <w:tc>
          <w:tcPr>
            <w:tcW w:w="3600" w:type="dxa"/>
            <w:vAlign w:val="bottom"/>
            <w:gridSpan w:val="5"/>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18"/>
        </w:trPr>
        <w:tc>
          <w:tcPr>
            <w:tcW w:w="73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Consolidated Statements of Changes in Stockholders’ Equity for the years ended December 31, 2018,</w:t>
              </w:r>
            </w:hyperlink>
          </w:p>
        </w:tc>
        <w:tc>
          <w:tcPr>
            <w:tcW w:w="3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2017 and 2016</w:t>
              </w:r>
            </w:hyperlink>
          </w:p>
        </w:tc>
        <w:tc>
          <w:tcPr>
            <w:tcW w:w="9220" w:type="dxa"/>
            <w:vAlign w:val="bottom"/>
            <w:gridSpan w:val="16"/>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18"/>
        </w:trPr>
        <w:tc>
          <w:tcPr>
            <w:tcW w:w="31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Notes to Consolidated Financial Statements</w:t>
              </w:r>
            </w:hyperlink>
          </w:p>
        </w:tc>
        <w:tc>
          <w:tcPr>
            <w:tcW w:w="7360" w:type="dxa"/>
            <w:vAlign w:val="bottom"/>
            <w:gridSpan w:val="1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318"/>
        </w:trPr>
        <w:tc>
          <w:tcPr>
            <w:tcW w:w="282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132">
              <w:r>
                <w:rPr>
                  <w:rFonts w:ascii="Times New Roman" w:cs="Times New Roman" w:eastAsia="Times New Roman" w:hAnsi="Times New Roman"/>
                  <w:sz w:val="18"/>
                  <w:szCs w:val="18"/>
                  <w:b w:val="1"/>
                  <w:bCs w:val="1"/>
                  <w:color w:val="0000EE"/>
                  <w:w w:val="99"/>
                </w:rPr>
                <w:t>Supplemental Financial Information</w:t>
              </w:r>
            </w:hyperlink>
          </w:p>
        </w:tc>
        <w:tc>
          <w:tcPr>
            <w:tcW w:w="770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132">
              <w:r>
                <w:rPr>
                  <w:rFonts w:ascii="Times New Roman" w:cs="Times New Roman" w:eastAsia="Times New Roman" w:hAnsi="Times New Roman"/>
                  <w:sz w:val="18"/>
                  <w:szCs w:val="18"/>
                  <w:color w:val="0000EE"/>
                  <w:w w:val="99"/>
                </w:rPr>
                <w:t>Quarterly Results</w:t>
              </w:r>
            </w:hyperlink>
          </w:p>
        </w:tc>
        <w:tc>
          <w:tcPr>
            <w:tcW w:w="9240" w:type="dxa"/>
            <w:vAlign w:val="bottom"/>
            <w:gridSpan w:val="17"/>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358"/>
        </w:trPr>
        <w:tc>
          <w:tcPr>
            <w:tcW w:w="105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5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Schedule I—Condensed Financial Information of Registrant (Parent Company Only)</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141">
              <w:r>
                <w:rPr>
                  <w:rFonts w:ascii="Times New Roman" w:cs="Times New Roman" w:eastAsia="Times New Roman" w:hAnsi="Times New Roman"/>
                  <w:sz w:val="18"/>
                  <w:szCs w:val="18"/>
                  <w:color w:val="0000EE"/>
                  <w:w w:val="99"/>
                </w:rPr>
                <w:t>Condensed Statements of Financial Condition as of December 31, 2018 and 2017</w:t>
              </w:r>
            </w:hyperlink>
          </w:p>
        </w:tc>
        <w:tc>
          <w:tcPr>
            <w:tcW w:w="4200" w:type="dxa"/>
            <w:vAlign w:val="bottom"/>
            <w:gridSpan w:val="8"/>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42">
              <w:r>
                <w:rPr>
                  <w:rFonts w:ascii="Times New Roman" w:cs="Times New Roman" w:eastAsia="Times New Roman" w:hAnsi="Times New Roman"/>
                  <w:sz w:val="18"/>
                  <w:szCs w:val="18"/>
                  <w:color w:val="0000EE"/>
                  <w:w w:val="99"/>
                </w:rPr>
                <w:t>Condensed Statements of Operations for the years ended December 31, 2018, 2017 and 2016</w:t>
              </w:r>
            </w:hyperlink>
          </w:p>
        </w:tc>
        <w:tc>
          <w:tcPr>
            <w:tcW w:w="3360" w:type="dxa"/>
            <w:vAlign w:val="bottom"/>
            <w:gridSpan w:val="3"/>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Condensed Statements of Comprehensive Income for the years ended December 31, 2018,</w:t>
              </w:r>
            </w:hyperlink>
          </w:p>
        </w:tc>
        <w:tc>
          <w:tcPr>
            <w:tcW w:w="35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43">
              <w:r>
                <w:rPr>
                  <w:rFonts w:ascii="Times New Roman" w:cs="Times New Roman" w:eastAsia="Times New Roman" w:hAnsi="Times New Roman"/>
                  <w:sz w:val="18"/>
                  <w:szCs w:val="18"/>
                  <w:color w:val="0000EE"/>
                  <w:w w:val="99"/>
                </w:rPr>
                <w:t>2017 and 2016</w:t>
              </w:r>
            </w:hyperlink>
          </w:p>
        </w:tc>
        <w:tc>
          <w:tcPr>
            <w:tcW w:w="8780" w:type="dxa"/>
            <w:vAlign w:val="bottom"/>
            <w:gridSpan w:val="15"/>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9"/>
          </w:tcPr>
          <w:p>
            <w:pPr>
              <w:spacing w:after="0"/>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Condensed Statements of Cash Flows for the years ended December 31, 2018, 2017 and 2016</w:t>
              </w:r>
            </w:hyperlink>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6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Notes to Condensed Financial Statements</w:t>
              </w:r>
            </w:hyperlink>
          </w:p>
        </w:tc>
        <w:tc>
          <w:tcPr>
            <w:tcW w:w="3320" w:type="dxa"/>
            <w:vAlign w:val="bottom"/>
            <w:gridSpan w:val="2"/>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20" w:firstLine="598"/>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consolidated financial statements or notes thereto.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 AND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60" w:type="dxa"/>
            <w:vAlign w:val="bottom"/>
          </w:tcPr>
          <w:p>
            <w:pPr>
              <w:spacing w:after="0"/>
              <w:rPr>
                <w:sz w:val="19"/>
                <w:szCs w:val="19"/>
                <w:color w:val="auto"/>
              </w:rPr>
            </w:pPr>
          </w:p>
        </w:tc>
        <w:tc>
          <w:tcPr>
            <w:tcW w:w="580" w:type="dxa"/>
            <w:vAlign w:val="bottom"/>
            <w:gridSpan w:val="2"/>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Investments in subsidiaries, equity method</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(1,275,357)</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(1,061,259)</w:t>
            </w: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Due from subsidiaries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2,191,915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2,259,112</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66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920,713</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1,201,774</w:t>
            </w:r>
          </w:p>
        </w:tc>
        <w:tc>
          <w:tcPr>
            <w:tcW w:w="120" w:type="dxa"/>
            <w:vAlign w:val="bottom"/>
            <w:tcBorders>
              <w:bottom w:val="single" w:sz="8" w:color="CFF0FC"/>
            </w:tcBorders>
          </w:tcPr>
          <w:p>
            <w:pPr>
              <w:spacing w:after="0"/>
              <w:rPr>
                <w:sz w:val="22"/>
                <w:szCs w:val="22"/>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Due to subsidiaries</w:t>
            </w:r>
          </w:p>
        </w:tc>
        <w:tc>
          <w:tcPr>
            <w:tcW w:w="1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par value $.01 per share; 15,000,000 shares authorized:</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Series A—no shares issued and outstanding</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Series B—no shares issued and outstanding</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Class A, par value $.01 per share (500,000,000 shares authorized;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129,766,091 shares issued at December 31, 2018 and 2017,</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including shares held by subsidiaries as indicated below)</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20"/>
                <w:szCs w:val="20"/>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788,140</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1,080,413</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(273,818)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(232,518)</w:t>
            </w:r>
          </w:p>
        </w:tc>
      </w:tr>
      <w:tr>
        <w:trPr>
          <w:trHeight w:val="223"/>
        </w:trPr>
        <w:tc>
          <w:tcPr>
            <w:tcW w:w="6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1,673,735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1,637,333</w:t>
            </w:r>
          </w:p>
        </w:tc>
        <w:tc>
          <w:tcPr>
            <w:tcW w:w="120" w:type="dxa"/>
            <w:vAlign w:val="bottom"/>
          </w:tcPr>
          <w:p>
            <w:pPr>
              <w:spacing w:after="0"/>
              <w:rPr>
                <w:sz w:val="19"/>
                <w:szCs w:val="19"/>
                <w:color w:val="auto"/>
              </w:rPr>
            </w:pPr>
          </w:p>
        </w:tc>
      </w:tr>
      <w:tr>
        <w:trPr>
          <w:trHeight w:val="211"/>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A common stock held by subsidiaries, at cost (17,574,805 and</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10,747,142 shares at December 31, 2018 and 2017, respectively)</w:t>
            </w:r>
          </w:p>
        </w:tc>
        <w:tc>
          <w:tcPr>
            <w:tcW w:w="1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(756,884)</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(437,530)</w:t>
            </w:r>
          </w:p>
        </w:tc>
      </w:tr>
      <w:tr>
        <w:trPr>
          <w:trHeight w:val="223"/>
        </w:trPr>
        <w:tc>
          <w:tcPr>
            <w:tcW w:w="66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916,851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1,199,803</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920,713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1,201,774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720" w:type="dxa"/>
            <w:vAlign w:val="bottom"/>
            <w:tcBorders>
              <w:bottom w:val="single" w:sz="8" w:color="CFF0FC"/>
            </w:tcBorders>
          </w:tcPr>
          <w:p>
            <w:pPr>
              <w:spacing w:after="0"/>
              <w:rPr>
                <w:sz w:val="13"/>
                <w:szCs w:val="13"/>
                <w:color w:val="auto"/>
              </w:rPr>
            </w:pPr>
          </w:p>
        </w:tc>
        <w:tc>
          <w:tcPr>
            <w:tcW w:w="20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2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392,574</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145,008</w:t>
            </w:r>
          </w:p>
        </w:tc>
        <w:tc>
          <w:tcPr>
            <w:tcW w:w="180" w:type="dxa"/>
            <w:vAlign w:val="bottom"/>
          </w:tcPr>
          <w:p>
            <w:pPr>
              <w:spacing w:after="0"/>
              <w:rPr>
                <w:sz w:val="19"/>
                <w:szCs w:val="19"/>
                <w:color w:val="auto"/>
              </w:rPr>
            </w:pP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326,366</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0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136,399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110,381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63,019</w:t>
            </w:r>
          </w:p>
        </w:tc>
        <w:tc>
          <w:tcPr>
            <w:tcW w:w="100" w:type="dxa"/>
            <w:vAlign w:val="bottom"/>
            <w:shd w:val="clear" w:color="auto" w:fill="CFF0FC"/>
          </w:tcPr>
          <w:p>
            <w:pPr>
              <w:spacing w:after="0"/>
              <w:rPr>
                <w:sz w:val="19"/>
                <w:szCs w:val="19"/>
                <w:color w:val="auto"/>
              </w:rPr>
            </w:pPr>
          </w:p>
        </w:tc>
      </w:tr>
      <w:tr>
        <w:trPr>
          <w:trHeight w:val="223"/>
        </w:trPr>
        <w:tc>
          <w:tcPr>
            <w:tcW w:w="4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0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528,973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255,389</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389,385</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services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19"/>
                <w:szCs w:val="19"/>
                <w:color w:val="auto"/>
              </w:rPr>
            </w:pPr>
          </w:p>
        </w:tc>
      </w:tr>
      <w:tr>
        <w:trPr>
          <w:trHeight w:val="223"/>
        </w:trPr>
        <w:tc>
          <w:tcPr>
            <w:tcW w:w="4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527,125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253,583</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
        </w:trPr>
        <w:tc>
          <w:tcPr>
            <w:tcW w:w="5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68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527,125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253,583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387,698</w:t>
            </w:r>
          </w:p>
        </w:tc>
        <w:tc>
          <w:tcPr>
            <w:tcW w:w="100" w:type="dxa"/>
            <w:vAlign w:val="bottom"/>
            <w:shd w:val="clear" w:color="auto" w:fill="CFF0FC"/>
          </w:tcPr>
          <w:p>
            <w:pPr>
              <w:spacing w:after="0"/>
              <w:rPr>
                <w:sz w:val="19"/>
                <w:szCs w:val="19"/>
                <w:color w:val="auto"/>
              </w:rPr>
            </w:pPr>
          </w:p>
        </w:tc>
      </w:tr>
      <w:tr>
        <w:trPr>
          <w:trHeight w:val="201"/>
        </w:trPr>
        <w:tc>
          <w:tcPr>
            <w:tcW w:w="56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OF TAX:</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(46,601)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71,668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(57,919)</w:t>
            </w:r>
          </w:p>
        </w:tc>
      </w:tr>
      <w:tr>
        <w:trPr>
          <w:trHeight w:val="230"/>
        </w:trPr>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benefit plans:</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Prior service costs (net of tax benefit of $543</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6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for the year ended December 31, 2018)</w:t>
            </w: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1"/>
        </w:trPr>
        <w:tc>
          <w:tcPr>
            <w:tcW w:w="5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Actuarial gain (loss) (net of tax expense (benefit) of</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$131, $(3,507) and $(5,205) for the years ended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December 31, 2018, 2017 and 2016, respectively)</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(24,473)</w:t>
            </w:r>
          </w:p>
        </w:tc>
      </w:tr>
      <w:tr>
        <w:trPr>
          <w:trHeight w:val="211"/>
        </w:trPr>
        <w:tc>
          <w:tcPr>
            <w:tcW w:w="5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Adjustments for items reclassified to earnings (net of tax</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expense of $2,335, $2,220 and $1,757 for the</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years ended December 31, 2018, 2017 and 2016,</w:t>
            </w: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6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respectively)</w:t>
            </w:r>
          </w:p>
        </w:tc>
        <w:tc>
          <w:tcPr>
            <w:tcW w:w="110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FF0FC"/>
          </w:tcPr>
          <w:p>
            <w:pPr>
              <w:spacing w:after="0"/>
              <w:rPr>
                <w:sz w:val="20"/>
                <w:szCs w:val="20"/>
                <w:color w:val="auto"/>
              </w:rPr>
            </w:pPr>
          </w:p>
        </w:tc>
      </w:tr>
      <w:tr>
        <w:trPr>
          <w:trHeight w:val="201"/>
        </w:trPr>
        <w:tc>
          <w:tcPr>
            <w:tcW w:w="56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OTHER COMPREHENSIVE INCOME (LOSS), NET OF</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TAX</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(79,866)</w:t>
            </w:r>
          </w:p>
        </w:tc>
      </w:tr>
      <w:tr>
        <w:trPr>
          <w:trHeight w:val="223"/>
        </w:trPr>
        <w:tc>
          <w:tcPr>
            <w:tcW w:w="56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335,287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5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527,125</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253,583</w:t>
            </w:r>
          </w:p>
        </w:tc>
        <w:tc>
          <w:tcPr>
            <w:tcW w:w="180" w:type="dxa"/>
            <w:vAlign w:val="bottom"/>
          </w:tcPr>
          <w:p>
            <w:pPr>
              <w:spacing w:after="0"/>
              <w:rPr>
                <w:sz w:val="19"/>
                <w:szCs w:val="19"/>
                <w:color w:val="auto"/>
              </w:rPr>
            </w:pPr>
          </w:p>
        </w:tc>
        <w:tc>
          <w:tcPr>
            <w:tcW w:w="3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387,698</w:t>
            </w:r>
          </w:p>
        </w:tc>
        <w:tc>
          <w:tcPr>
            <w:tcW w:w="100" w:type="dxa"/>
            <w:vAlign w:val="bottom"/>
          </w:tcPr>
          <w:p>
            <w:pPr>
              <w:spacing w:after="0"/>
              <w:rPr>
                <w:sz w:val="19"/>
                <w:szCs w:val="19"/>
                <w:color w:val="auto"/>
              </w:rPr>
            </w:pPr>
          </w:p>
        </w:tc>
      </w:tr>
      <w:tr>
        <w:trPr>
          <w:trHeight w:val="211"/>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(392,574)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(145,008)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(326,366)</w:t>
            </w:r>
          </w:p>
        </w:tc>
      </w:tr>
      <w:tr>
        <w:trPr>
          <w:trHeight w:val="230"/>
        </w:trPr>
        <w:tc>
          <w:tcPr>
            <w:tcW w:w="5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received from subsidiaries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189,786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63,822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due to/from subsidiaries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273,051</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55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359,854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341,480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334,150</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contribution to subsidiaries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3"/>
        </w:trPr>
        <w:tc>
          <w:tcPr>
            <w:tcW w:w="55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A common stock dividends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(359,639)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(341,450)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(336,138)</w:t>
            </w:r>
          </w:p>
        </w:tc>
      </w:tr>
      <w:tr>
        <w:trPr>
          <w:trHeight w:val="223"/>
        </w:trPr>
        <w:tc>
          <w:tcPr>
            <w:tcW w:w="55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(359,639)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(341,450)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(336,138)</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January 1</w:t>
            </w:r>
          </w:p>
        </w:tc>
        <w:tc>
          <w:tcPr>
            <w:tcW w:w="1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0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December 31</w:t>
            </w:r>
          </w:p>
        </w:tc>
        <w:tc>
          <w:tcPr>
            <w:tcW w:w="1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44" w:name="page145"/>
    <w:bookmarkEnd w:id="14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LAZARD LTD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52" w:lineRule="exact"/>
        <w:rPr>
          <w:sz w:val="20"/>
          <w:szCs w:val="20"/>
          <w:color w:val="auto"/>
        </w:rPr>
      </w:pPr>
    </w:p>
    <w:p>
      <w:pPr>
        <w:ind w:left="600" w:hanging="592"/>
        <w:spacing w:after="0"/>
        <w:tabs>
          <w:tab w:leader="none" w:pos="60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98"/>
        <w:spacing w:after="0" w:line="282" w:lineRule="auto"/>
        <w:rPr>
          <w:sz w:val="20"/>
          <w:szCs w:val="20"/>
          <w:color w:val="auto"/>
        </w:rPr>
      </w:pPr>
      <w:r>
        <w:rPr>
          <w:rFonts w:ascii="Times New Roman" w:cs="Times New Roman" w:eastAsia="Times New Roman" w:hAnsi="Times New Roman"/>
          <w:sz w:val="18"/>
          <w:szCs w:val="18"/>
          <w:color w:val="auto"/>
        </w:rPr>
        <w:t>The accompanying Lazard Ltd condensed financial statements (the “Parent Company Financial Statements”), including the notes thereto, should be read in conjunction with the consolidated financial statements of Lazard Ltd and its subsidiaries (the “Company”) and the notes thereto.</w:t>
      </w:r>
    </w:p>
    <w:p>
      <w:pPr>
        <w:spacing w:after="0" w:line="162"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The Parent Company Financial Statements as of December 31, 2018 and 2017, and for each of the three years in the period ended December 31, 2018,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Parent Company Financial Statements include investments in subsidiaries, accounted for under the equity method.</w:t>
      </w:r>
    </w:p>
    <w:p>
      <w:pPr>
        <w:spacing w:after="0" w:line="225" w:lineRule="exact"/>
        <w:rPr>
          <w:sz w:val="20"/>
          <w:szCs w:val="20"/>
          <w:color w:val="auto"/>
        </w:rPr>
      </w:pPr>
    </w:p>
    <w:p>
      <w:pPr>
        <w:ind w:right="440" w:firstLine="598"/>
        <w:spacing w:after="0" w:line="282" w:lineRule="auto"/>
        <w:rPr>
          <w:sz w:val="20"/>
          <w:szCs w:val="20"/>
          <w:color w:val="auto"/>
        </w:rPr>
      </w:pPr>
      <w:r>
        <w:rPr>
          <w:rFonts w:ascii="Times New Roman" w:cs="Times New Roman" w:eastAsia="Times New Roman" w:hAnsi="Times New Roman"/>
          <w:sz w:val="18"/>
          <w:szCs w:val="18"/>
          <w:color w:val="auto"/>
        </w:rPr>
        <w:t>For the period ended December 31, 2016, equity in earnings of subsidiaries also includes a gain of $12,668 related to the portion of a business acquired in the fourth quarter of 2016 that was previously owned by one of the Company’s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3" w:right="37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9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2019</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LAZARD LTD</w:t>
      </w:r>
    </w:p>
    <w:p>
      <w:pPr>
        <w:spacing w:after="0" w:line="252" w:lineRule="exact"/>
        <w:rPr>
          <w:sz w:val="20"/>
          <w:szCs w:val="20"/>
          <w:color w:val="auto"/>
        </w:rPr>
      </w:pPr>
    </w:p>
    <w:p>
      <w:pPr>
        <w:ind w:left="6860"/>
        <w:spacing w:after="0"/>
        <w:tabs>
          <w:tab w:leader="none" w:pos="758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Kenneth M. Jacobs</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-130810</wp:posOffset>
            </wp:positionV>
            <wp:extent cx="26498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ind w:right="340" w:firstLine="59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140" w:type="dxa"/>
            <w:vAlign w:val="bottom"/>
          </w:tcPr>
          <w:p>
            <w:pPr>
              <w:spacing w:after="0"/>
              <w:rPr>
                <w:sz w:val="14"/>
                <w:szCs w:val="14"/>
                <w:color w:val="auto"/>
              </w:rPr>
            </w:pPr>
          </w:p>
        </w:tc>
        <w:tc>
          <w:tcPr>
            <w:tcW w:w="512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40" w:type="dxa"/>
            <w:vAlign w:val="bottom"/>
          </w:tcPr>
          <w:p>
            <w:pPr>
              <w:spacing w:after="0"/>
              <w:rPr>
                <w:sz w:val="14"/>
                <w:szCs w:val="14"/>
                <w:color w:val="auto"/>
              </w:rPr>
            </w:pPr>
          </w:p>
        </w:tc>
        <w:tc>
          <w:tcPr>
            <w:tcW w:w="2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M. Jacobs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25, 2019</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Kenneth M. Jacobs</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28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Evan L. Russo</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25, 2019</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Evan L. Russo</w:t>
            </w:r>
          </w:p>
        </w:tc>
        <w:tc>
          <w:tcPr>
            <w:tcW w:w="140" w:type="dxa"/>
            <w:vAlign w:val="bottom"/>
          </w:tcPr>
          <w:p>
            <w:pPr>
              <w:spacing w:after="0"/>
              <w:rPr>
                <w:sz w:val="19"/>
                <w:szCs w:val="19"/>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228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Dominick Ragone</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25, 2019</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Dominick Ragone</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Andrew M. Alper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25, 2019</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M. Alper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Ashish Bhutani</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25, 2019</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Ashish Bhutani</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N. Haass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25, 2019</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N. Haass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J. Heyer</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25, 2019</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Steven J. Heyer</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 Michelle Jarrard</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25, 2019</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Michelle Jarrard</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Sylvia Jay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25, 2019</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Sylvia Jay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6"/>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Iris Knobloch</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25, 2019</w:t>
            </w:r>
          </w:p>
        </w:tc>
      </w:tr>
      <w:tr>
        <w:trPr>
          <w:trHeight w:val="234"/>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Iris Knobloch</w:t>
            </w:r>
          </w:p>
        </w:tc>
        <w:tc>
          <w:tcPr>
            <w:tcW w:w="1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1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Philip A. Laskawy</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25, 2019</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Philip A. Laskawy</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Jane L. Mendillo</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25, 2019</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Jane L. Mendillo</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19"/>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D. Parsons</w:t>
            </w:r>
          </w:p>
        </w:tc>
        <w:tc>
          <w:tcPr>
            <w:tcW w:w="140" w:type="dxa"/>
            <w:vAlign w:val="bottom"/>
          </w:tcPr>
          <w:p>
            <w:pPr>
              <w:spacing w:after="0"/>
              <w:rPr>
                <w:sz w:val="24"/>
                <w:szCs w:val="24"/>
                <w:color w:val="auto"/>
              </w:rPr>
            </w:pPr>
          </w:p>
        </w:tc>
        <w:tc>
          <w:tcPr>
            <w:tcW w:w="5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February 25, 2019</w:t>
            </w:r>
          </w:p>
        </w:tc>
      </w:tr>
      <w:tr>
        <w:trPr>
          <w:trHeight w:val="22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D. Parsons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20"/>
          </w:cols>
          <w:pgMar w:left="240" w:top="455" w:right="2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7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r>
      <w:tr>
        <w:trPr>
          <w:trHeight w:val="365"/>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 OF ORGANIZATION</w:t>
            </w:r>
          </w:p>
        </w:tc>
      </w:tr>
      <w:tr>
        <w:trPr>
          <w:trHeight w:val="31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Lazard Group LLC</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Lazard International Holdings, Inc.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Lazard Frères &amp; Co.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Lazard Asset Management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LLtd Corp I</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LLtd Corp II</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Lazard &amp; Co., Holdings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Lazard &amp; Co.,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Lazard &amp; Co., Services Limited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Compagnie Financière Lazard Frères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Lazard Frères Gestion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Lazard Frères Banque SA</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Maison Lazard SAS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LLtd Holding Sàrl</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LLtd 2 Sàrl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bl>
    <w:p>
      <w:pPr>
        <w:sectPr>
          <w:pgSz w:w="11900" w:h="16838" w:orient="portrait"/>
          <w:cols w:equalWidth="0" w:num="1">
            <w:col w:w="11420"/>
          </w:cols>
          <w:pgMar w:left="240" w:top="117" w:right="2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333-126752, No. 333-154977, No. 333-193845, No. 333-217597 and No. 333-224552, each on Form S-8, and Registration Statement No. 333-210959 on Form S-3, of our reports dated February 25, 2019, relating to the consolidated financial statements and financial statement schedule of Lazard Ltd and subsidiaries (the “Company”), and the effectiveness of the Company’s internal control over financial reporting appearing in this Annual Report on Form 10-K of the Company for the year ended December 31, 2018.</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ectPr>
          <w:pgSz w:w="11900" w:h="16838" w:orient="portrait"/>
          <w:cols w:equalWidth="0" w:num="1">
            <w:col w:w="11420"/>
          </w:cols>
          <w:pgMar w:left="240" w:top="117" w:right="2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 Kenneth M. Jacobs, certify that:</w:t>
      </w:r>
    </w:p>
    <w:p>
      <w:pPr>
        <w:spacing w:after="0" w:line="225" w:lineRule="exact"/>
        <w:rPr>
          <w:sz w:val="20"/>
          <w:szCs w:val="20"/>
          <w:color w:val="auto"/>
        </w:rPr>
      </w:pPr>
    </w:p>
    <w:p>
      <w:pPr>
        <w:ind w:left="780" w:hanging="174"/>
        <w:spacing w:after="0"/>
        <w:tabs>
          <w:tab w:leader="none" w:pos="7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2018 of Lazard Ltd (the “Registrant”);</w:t>
      </w:r>
    </w:p>
    <w:p>
      <w:pPr>
        <w:spacing w:after="0" w:line="225" w:lineRule="exact"/>
        <w:rPr>
          <w:rFonts w:ascii="Times New Roman" w:cs="Times New Roman" w:eastAsia="Times New Roman" w:hAnsi="Times New Roman"/>
          <w:sz w:val="18"/>
          <w:szCs w:val="18"/>
          <w:color w:val="auto"/>
        </w:rPr>
      </w:pPr>
    </w:p>
    <w:p>
      <w:pPr>
        <w:ind w:right="160" w:firstLine="606"/>
        <w:spacing w:after="0" w:line="282" w:lineRule="auto"/>
        <w:tabs>
          <w:tab w:leader="none" w:pos="7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20" w:firstLine="606"/>
        <w:spacing w:after="0" w:line="282" w:lineRule="auto"/>
        <w:tabs>
          <w:tab w:leader="none" w:pos="7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60" w:firstLine="606"/>
        <w:spacing w:after="0" w:line="266" w:lineRule="auto"/>
        <w:tabs>
          <w:tab w:leader="none" w:pos="7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00" w:right="460" w:firstLine="572"/>
        <w:spacing w:after="0" w:line="266" w:lineRule="auto"/>
        <w:tabs>
          <w:tab w:leader="none" w:pos="141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00" w:right="180" w:firstLine="572"/>
        <w:spacing w:after="0" w:line="266" w:lineRule="auto"/>
        <w:tabs>
          <w:tab w:leader="none" w:pos="142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00" w:right="240" w:firstLine="572"/>
        <w:spacing w:after="0" w:line="282" w:lineRule="auto"/>
        <w:tabs>
          <w:tab w:leader="none" w:pos="141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00" w:right="140" w:firstLine="572"/>
        <w:spacing w:after="0" w:line="266" w:lineRule="auto"/>
        <w:tabs>
          <w:tab w:leader="none" w:pos="142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60" w:firstLine="606"/>
        <w:spacing w:after="0" w:line="282" w:lineRule="auto"/>
        <w:tabs>
          <w:tab w:leader="none" w:pos="7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00" w:right="520" w:firstLine="572"/>
        <w:spacing w:after="0" w:line="282" w:lineRule="auto"/>
        <w:tabs>
          <w:tab w:leader="none" w:pos="141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00" w:right="140" w:firstLine="572"/>
        <w:spacing w:after="0" w:line="282" w:lineRule="auto"/>
        <w:tabs>
          <w:tab w:leader="none" w:pos="142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2019</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tab/>
        <w:t>Kenneth M. Jacobs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117" w:right="2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 Evan L. Russo, certify that:</w:t>
      </w:r>
    </w:p>
    <w:p>
      <w:pPr>
        <w:spacing w:after="0" w:line="225" w:lineRule="exact"/>
        <w:rPr>
          <w:sz w:val="20"/>
          <w:szCs w:val="20"/>
          <w:color w:val="auto"/>
        </w:rPr>
      </w:pPr>
    </w:p>
    <w:p>
      <w:pPr>
        <w:ind w:left="780" w:hanging="174"/>
        <w:spacing w:after="0"/>
        <w:tabs>
          <w:tab w:leader="none" w:pos="7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2018 of Lazard Ltd (the “Registrant”);</w:t>
      </w:r>
    </w:p>
    <w:p>
      <w:pPr>
        <w:spacing w:after="0" w:line="225" w:lineRule="exact"/>
        <w:rPr>
          <w:rFonts w:ascii="Times New Roman" w:cs="Times New Roman" w:eastAsia="Times New Roman" w:hAnsi="Times New Roman"/>
          <w:sz w:val="18"/>
          <w:szCs w:val="18"/>
          <w:color w:val="auto"/>
        </w:rPr>
      </w:pPr>
    </w:p>
    <w:p>
      <w:pPr>
        <w:ind w:right="160" w:firstLine="606"/>
        <w:spacing w:after="0" w:line="282" w:lineRule="auto"/>
        <w:tabs>
          <w:tab w:leader="none" w:pos="7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20" w:firstLine="606"/>
        <w:spacing w:after="0" w:line="282" w:lineRule="auto"/>
        <w:tabs>
          <w:tab w:leader="none" w:pos="7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60" w:firstLine="606"/>
        <w:spacing w:after="0" w:line="266" w:lineRule="auto"/>
        <w:tabs>
          <w:tab w:leader="none" w:pos="7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00" w:right="460" w:firstLine="572"/>
        <w:spacing w:after="0" w:line="266" w:lineRule="auto"/>
        <w:tabs>
          <w:tab w:leader="none" w:pos="141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00" w:right="180" w:firstLine="572"/>
        <w:spacing w:after="0" w:line="266" w:lineRule="auto"/>
        <w:tabs>
          <w:tab w:leader="none" w:pos="142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00" w:right="240" w:firstLine="572"/>
        <w:spacing w:after="0" w:line="282" w:lineRule="auto"/>
        <w:tabs>
          <w:tab w:leader="none" w:pos="141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00" w:right="140" w:firstLine="572"/>
        <w:spacing w:after="0" w:line="266" w:lineRule="auto"/>
        <w:tabs>
          <w:tab w:leader="none" w:pos="142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60" w:firstLine="606"/>
        <w:spacing w:after="0" w:line="282" w:lineRule="auto"/>
        <w:tabs>
          <w:tab w:leader="none" w:pos="7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00" w:right="520" w:firstLine="572"/>
        <w:spacing w:after="0" w:line="282" w:lineRule="auto"/>
        <w:tabs>
          <w:tab w:leader="none" w:pos="141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00" w:right="140" w:firstLine="572"/>
        <w:spacing w:after="0" w:line="282" w:lineRule="auto"/>
        <w:tabs>
          <w:tab w:leader="none" w:pos="142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2019</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tab/>
        <w:t>Evan L. Russo</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0"/>
          <w:szCs w:val="20"/>
          <w:color w:val="auto"/>
        </w:rPr>
      </w:pPr>
    </w:p>
    <w:p>
      <w:pPr>
        <w:ind w:right="160" w:firstLine="598"/>
        <w:spacing w:after="0" w:line="261"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Ltd (the “Registrant”) hereby certifies that the Registrant’s Annual Report on Form 10-K for the year ended December 31,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18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Kenneth M. Jacobs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47" w:lineRule="exact"/>
        <w:rPr>
          <w:sz w:val="20"/>
          <w:szCs w:val="20"/>
          <w:color w:val="auto"/>
        </w:rPr>
      </w:pPr>
    </w:p>
    <w:p>
      <w:pPr>
        <w:ind w:right="700" w:firstLine="59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17" w:right="2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0"/>
          <w:szCs w:val="20"/>
          <w:color w:val="auto"/>
        </w:rPr>
      </w:pPr>
    </w:p>
    <w:p>
      <w:pPr>
        <w:ind w:right="160" w:firstLine="598"/>
        <w:spacing w:after="0" w:line="261"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Ltd (the “Registrant”) hereby certifies that the Registrant’s Annual Report on Form 10-K for the year ended December 31,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19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tab/>
        <w:t>Evan L. Russo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ind w:right="700" w:firstLine="59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1)"/>
      <w:numFmt w:val="decimal"/>
      <w:start w:val="2"/>
    </w:lvl>
  </w:abstractNum>
  <w:abstractNum w:abstractNumId="21">
    <w:nsid w:val="D34B6A8"/>
    <w:multiLevelType w:val="hybridMultilevel"/>
    <w:lvl w:ilvl="0">
      <w:lvlJc w:val="left"/>
      <w:lvlText w:val="(%1)"/>
      <w:numFmt w:val="lowerLetter"/>
      <w:start w:val="1"/>
    </w:lvl>
  </w:abstractNum>
  <w:abstractNum w:abstractNumId="22">
    <w:nsid w:val="10233C99"/>
    <w:multiLevelType w:val="hybridMultilevel"/>
    <w:lvl w:ilvl="0">
      <w:lvlJc w:val="left"/>
      <w:lvlText w:val="(%1)"/>
      <w:numFmt w:val="lowerLetter"/>
      <w:start w:val="3"/>
    </w:lvl>
  </w:abstractNum>
  <w:abstractNum w:abstractNumId="23">
    <w:nsid w:val="3F6AB60F"/>
    <w:multiLevelType w:val="hybridMultilevel"/>
    <w:lvl w:ilvl="0">
      <w:lvlJc w:val="left"/>
      <w:lvlText w:val="(%1)"/>
      <w:numFmt w:val="lowerLetter"/>
      <w:start w:val="5"/>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lvl w:ilvl="1">
      <w:lvlJc w:val="left"/>
      <w:lvlText w:val="(%2)"/>
      <w:numFmt w:val="lowerRoman"/>
      <w:start w:val="1"/>
    </w:lvl>
  </w:abstractNum>
  <w:abstractNum w:abstractNumId="27">
    <w:nsid w:val="579BE4F1"/>
    <w:multiLevelType w:val="hybridMultilevel"/>
    <w:lvl w:ilvl="0">
      <w:lvlJc w:val="left"/>
      <w:lvlText w:val="(%1)"/>
      <w:numFmt w:val="lowerLetter"/>
      <w:start w:val="1"/>
    </w:lvl>
  </w:abstractNum>
  <w:abstractNum w:abstractNumId="28">
    <w:nsid w:val="310C50B3"/>
    <w:multiLevelType w:val="hybridMultilevel"/>
    <w:lvl w:ilvl="0">
      <w:lvlJc w:val="left"/>
      <w:lvlText w:val="(%1)"/>
      <w:numFmt w:val="lowerLetter"/>
      <w:start w:val="1"/>
    </w:lvl>
  </w:abstractNum>
  <w:abstractNum w:abstractNumId="29">
    <w:nsid w:val="5FF87E05"/>
    <w:multiLevelType w:val="hybridMultilevel"/>
    <w:lvl w:ilvl="0">
      <w:lvlJc w:val="left"/>
      <w:lvlText w:val="(%1)"/>
      <w:numFmt w:val="lowerLetter"/>
      <w:start w:val="7"/>
    </w:lvl>
  </w:abstractNum>
  <w:abstractNum w:abstractNumId="30">
    <w:nsid w:val="2F305DEF"/>
    <w:multiLevelType w:val="hybridMultilevel"/>
    <w:lvl w:ilvl="0">
      <w:lvlJc w:val="left"/>
      <w:lvlText w:val="(%1)"/>
      <w:numFmt w:val="lowerLetter"/>
      <w:start w:val="1"/>
    </w:lvl>
  </w:abstractNum>
  <w:abstractNum w:abstractNumId="31">
    <w:nsid w:val="25A70BF7"/>
    <w:multiLevelType w:val="hybridMultilevel"/>
    <w:lvl w:ilvl="0">
      <w:lvlJc w:val="left"/>
      <w:lvlText w:val="(%1)"/>
      <w:numFmt w:val="lowerLetter"/>
      <w:start w:val="1"/>
    </w:lvl>
  </w:abstractNum>
  <w:abstractNum w:abstractNumId="32">
    <w:nsid w:val="1DBABF00"/>
    <w:multiLevelType w:val="hybridMultilevel"/>
    <w:lvl w:ilvl="0">
      <w:lvlJc w:val="left"/>
      <w:lvlText w:val="(%1)"/>
      <w:numFmt w:val="lowerRoman"/>
      <w:start w:val="2"/>
    </w:lvl>
  </w:abstractNum>
  <w:abstractNum w:abstractNumId="33">
    <w:nsid w:val="4AD084E9"/>
    <w:multiLevelType w:val="hybridMultilevel"/>
    <w:lvl w:ilvl="0">
      <w:lvlJc w:val="left"/>
      <w:lvlText w:val="(%1)"/>
      <w:numFmt w:val="lowerLetter"/>
      <w:start w:val="1"/>
    </w:lvl>
  </w:abstractNum>
  <w:abstractNum w:abstractNumId="34">
    <w:nsid w:val="1F48EAA1"/>
    <w:multiLevelType w:val="hybridMultilevel"/>
    <w:lvl w:ilvl="0">
      <w:lvlJc w:val="left"/>
      <w:lvlText w:val="(%1)"/>
      <w:numFmt w:val="lowerLetter"/>
      <w:start w:val="1"/>
    </w:lvl>
  </w:abstractNum>
  <w:abstractNum w:abstractNumId="35">
    <w:nsid w:val="1381823A"/>
    <w:multiLevelType w:val="hybridMultilevel"/>
    <w:lvl w:ilvl="0">
      <w:lvlJc w:val="left"/>
      <w:lvlText w:val="(%1)"/>
      <w:numFmt w:val="lowerLetter"/>
      <w:start w:val="2"/>
    </w:lvl>
  </w:abstractNum>
  <w:abstractNum w:abstractNumId="36">
    <w:nsid w:val="5DB70AE5"/>
    <w:multiLevelType w:val="hybridMultilevel"/>
    <w:lvl w:ilvl="0">
      <w:lvlJc w:val="left"/>
      <w:lvlText w:val="(%1)"/>
      <w:numFmt w:val="lowerLetter"/>
      <w:start w:val="1"/>
    </w:lvl>
  </w:abstractNum>
  <w:abstractNum w:abstractNumId="37">
    <w:nsid w:val="100F8FCA"/>
    <w:multiLevelType w:val="hybridMultilevel"/>
    <w:lvl w:ilvl="0">
      <w:lvlJc w:val="left"/>
      <w:lvlText w:val="(%1)"/>
      <w:numFmt w:val="lowerLetter"/>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1)"/>
      <w:numFmt w:val="lowerLetter"/>
      <w:start w:val="1"/>
    </w:lvl>
  </w:abstractNum>
  <w:abstractNum w:abstractNumId="42">
    <w:nsid w:val="799D0247"/>
    <w:multiLevelType w:val="hybridMultilevel"/>
    <w:lvl w:ilvl="0">
      <w:lvlJc w:val="left"/>
      <w:lvlText w:val="(%1)"/>
      <w:numFmt w:val="lowerLetter"/>
      <w:start w:val="2"/>
    </w:lvl>
  </w:abstractNum>
  <w:abstractNum w:abstractNumId="43">
    <w:nsid w:val="6B94764"/>
    <w:multiLevelType w:val="hybridMultilevel"/>
    <w:lvl w:ilvl="0">
      <w:lvlJc w:val="left"/>
      <w:lvlText w:val="(%1)"/>
      <w:numFmt w:val="lowerLetter"/>
      <w:start w:val="4"/>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1."/>
      <w:numFmt w:val="decimal"/>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1."/>
      <w:numFmt w:val="decimal"/>
      <w:start w:val="2"/>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decimal"/>
      <w:start w:val="3"/>
    </w:lvl>
  </w:abstractNum>
  <w:abstractNum w:abstractNumId="55">
    <w:nsid w:val="42963E5A"/>
    <w:multiLevelType w:val="hybridMultilevel"/>
    <w:lvl w:ilvl="0">
      <w:lvlJc w:val="left"/>
      <w:lvlText w:val="%1."/>
      <w:numFmt w:val="decimal"/>
      <w:start w:val="4"/>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decimal"/>
      <w:start w:val="5"/>
    </w:lvl>
  </w:abstractNum>
  <w:abstractNum w:abstractNumId="58">
    <w:nsid w:val="1A32234B"/>
    <w:multiLevelType w:val="hybridMultilevel"/>
    <w:lvl w:ilvl="0">
      <w:lvlJc w:val="left"/>
      <w:lvlText w:val="%1."/>
      <w:numFmt w:val="decimal"/>
      <w:start w:val="6"/>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decimal"/>
      <w:start w:val="7"/>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1)"/>
      <w:numFmt w:val="lowerLetter"/>
      <w:start w:val="1"/>
    </w:lvl>
  </w:abstractNum>
  <w:abstractNum w:abstractNumId="63">
    <w:nsid w:val="6A5EE64"/>
    <w:multiLevelType w:val="hybridMultilevel"/>
    <w:lvl w:ilvl="0">
      <w:lvlJc w:val="left"/>
      <w:lvlText w:val="(%1)"/>
      <w:numFmt w:val="lowerLetter"/>
      <w:start w:val="1"/>
    </w:lvl>
  </w:abstractNum>
  <w:abstractNum w:abstractNumId="64">
    <w:nsid w:val="14330624"/>
    <w:multiLevelType w:val="hybridMultilevel"/>
    <w:lvl w:ilvl="0">
      <w:lvlJc w:val="left"/>
      <w:lvlText w:val="%1."/>
      <w:numFmt w:val="decimal"/>
      <w:start w:val="8"/>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1."/>
      <w:numFmt w:val="decimal"/>
      <w:start w:val="9"/>
    </w:lvl>
  </w:abstractNum>
  <w:abstractNum w:abstractNumId="67">
    <w:nsid w:val="71EA1109"/>
    <w:multiLevelType w:val="hybridMultilevel"/>
    <w:lvl w:ilvl="0">
      <w:lvlJc w:val="left"/>
      <w:lvlText w:val="%1."/>
      <w:numFmt w:val="decimal"/>
      <w:start w:val="10"/>
    </w:lvl>
  </w:abstractNum>
  <w:abstractNum w:abstractNumId="68">
    <w:nsid w:val="100F59DC"/>
    <w:multiLevelType w:val="hybridMultilevel"/>
    <w:lvl w:ilvl="0">
      <w:lvlJc w:val="left"/>
      <w:lvlText w:val="%1."/>
      <w:numFmt w:val="decimal"/>
      <w:start w:val="11"/>
    </w:lvl>
  </w:abstractNum>
  <w:abstractNum w:abstractNumId="69">
    <w:nsid w:val="7FB7E0AA"/>
    <w:multiLevelType w:val="hybridMultilevel"/>
    <w:lvl w:ilvl="0">
      <w:lvlJc w:val="left"/>
      <w:lvlText w:val="(%1)"/>
      <w:numFmt w:val="lowerLetter"/>
      <w:start w:val="1"/>
    </w:lvl>
  </w:abstractNum>
  <w:abstractNum w:abstractNumId="70">
    <w:nsid w:val="6EB5BD4"/>
    <w:multiLevelType w:val="hybridMultilevel"/>
    <w:lvl w:ilvl="0">
      <w:lvlJc w:val="left"/>
      <w:lvlText w:val="%1."/>
      <w:numFmt w:val="decimal"/>
      <w:start w:val="12"/>
    </w:lvl>
  </w:abstractNum>
  <w:abstractNum w:abstractNumId="71">
    <w:nsid w:val="6F6DD9AC"/>
    <w:multiLevelType w:val="hybridMultilevel"/>
    <w:lvl w:ilvl="0">
      <w:lvlJc w:val="left"/>
      <w:lvlText w:val="(%1)"/>
      <w:numFmt w:val="lowerLetter"/>
      <w:start w:val="1"/>
    </w:lvl>
  </w:abstractNum>
  <w:abstractNum w:abstractNumId="72">
    <w:nsid w:val="94211F2"/>
    <w:multiLevelType w:val="hybridMultilevel"/>
    <w:lvl w:ilvl="0">
      <w:lvlJc w:val="left"/>
      <w:lvlText w:val="%1."/>
      <w:numFmt w:val="decimal"/>
      <w:start w:val="13"/>
    </w:lvl>
  </w:abstractNum>
  <w:abstractNum w:abstractNumId="73">
    <w:nsid w:val="885E1B"/>
    <w:multiLevelType w:val="hybridMultilevel"/>
    <w:lvl w:ilvl="0">
      <w:lvlJc w:val="left"/>
      <w:lvlText w:val="%1."/>
      <w:numFmt w:val="decimal"/>
      <w:start w:val="14"/>
    </w:lvl>
  </w:abstractNum>
  <w:abstractNum w:abstractNumId="74">
    <w:nsid w:val="76272110"/>
    <w:multiLevelType w:val="hybridMultilevel"/>
    <w:lvl w:ilvl="0">
      <w:lvlJc w:val="left"/>
      <w:lvlText w:val="(%1)"/>
      <w:numFmt w:val="lowerLetter"/>
      <w:start w:val="1"/>
    </w:lvl>
  </w:abstractNum>
  <w:abstractNum w:abstractNumId="75">
    <w:nsid w:val="4C04A8AF"/>
    <w:multiLevelType w:val="hybridMultilevel"/>
    <w:lvl w:ilvl="0">
      <w:lvlJc w:val="left"/>
      <w:lvlText w:val="%1."/>
      <w:numFmt w:val="decimal"/>
      <w:start w:val="15"/>
    </w:lvl>
  </w:abstractNum>
  <w:abstractNum w:abstractNumId="76">
    <w:nsid w:val="1716703B"/>
    <w:multiLevelType w:val="hybridMultilevel"/>
    <w:lvl w:ilvl="0">
      <w:lvlJc w:val="left"/>
      <w:lvlText w:val="(%1)"/>
      <w:numFmt w:val="lowerLetter"/>
      <w:start w:val="1"/>
    </w:lvl>
  </w:abstractNum>
  <w:abstractNum w:abstractNumId="77">
    <w:nsid w:val="14E17E33"/>
    <w:multiLevelType w:val="hybridMultilevel"/>
    <w:lvl w:ilvl="0">
      <w:lvlJc w:val="left"/>
      <w:lvlText w:val="%1."/>
      <w:numFmt w:val="decimal"/>
      <w:start w:val="16"/>
    </w:lvl>
  </w:abstractNum>
  <w:abstractNum w:abstractNumId="78">
    <w:nsid w:val="3222E7CD"/>
    <w:multiLevelType w:val="hybridMultilevel"/>
    <w:lvl w:ilvl="0">
      <w:lvlJc w:val="left"/>
      <w:lvlText w:val="(%1)"/>
      <w:numFmt w:val="lowerLetter"/>
      <w:start w:val="1"/>
    </w:lvl>
  </w:abstractNum>
  <w:abstractNum w:abstractNumId="79">
    <w:nsid w:val="74DE0EE3"/>
    <w:multiLevelType w:val="hybridMultilevel"/>
    <w:lvl w:ilvl="0">
      <w:lvlJc w:val="left"/>
      <w:lvlText w:val="%1."/>
      <w:numFmt w:val="decimal"/>
      <w:start w:val="17"/>
    </w:lvl>
  </w:abstractNum>
  <w:abstractNum w:abstractNumId="80">
    <w:nsid w:val="68EBC550"/>
    <w:multiLevelType w:val="hybridMultilevel"/>
    <w:lvl w:ilvl="0">
      <w:lvlJc w:val="left"/>
      <w:lvlText w:val="(%1)"/>
      <w:numFmt w:val="lowerLetter"/>
      <w:start w:val="1"/>
    </w:lvl>
  </w:abstractNum>
  <w:abstractNum w:abstractNumId="81">
    <w:nsid w:val="2DF6D648"/>
    <w:multiLevelType w:val="hybridMultilevel"/>
    <w:lvl w:ilvl="0">
      <w:lvlJc w:val="left"/>
      <w:lvlText w:val="(%1)"/>
      <w:numFmt w:val="lowerLetter"/>
      <w:start w:val="1"/>
    </w:lvl>
  </w:abstractNum>
  <w:abstractNum w:abstractNumId="82">
    <w:nsid w:val="46B7D447"/>
    <w:multiLevelType w:val="hybridMultilevel"/>
    <w:lvl w:ilvl="0">
      <w:lvlJc w:val="left"/>
      <w:lvlText w:val="(%1)"/>
      <w:numFmt w:val="lowerRoman"/>
      <w:start w:val="1"/>
    </w:lvl>
  </w:abstractNum>
  <w:abstractNum w:abstractNumId="83">
    <w:nsid w:val="4A2AC315"/>
    <w:multiLevelType w:val="hybridMultilevel"/>
    <w:lvl w:ilvl="0">
      <w:lvlJc w:val="left"/>
      <w:lvlText w:val="%1."/>
      <w:numFmt w:val="decimal"/>
      <w:start w:val="18"/>
    </w:lvl>
  </w:abstractNum>
  <w:abstractNum w:abstractNumId="84">
    <w:nsid w:val="39EE015C"/>
    <w:multiLevelType w:val="hybridMultilevel"/>
    <w:lvl w:ilvl="0">
      <w:lvlJc w:val="left"/>
      <w:lvlText w:val="%1."/>
      <w:numFmt w:val="decimal"/>
      <w:start w:val="19"/>
    </w:lvl>
  </w:abstractNum>
  <w:abstractNum w:abstractNumId="85">
    <w:nsid w:val="57FC4FBB"/>
    <w:multiLevelType w:val="hybridMultilevel"/>
    <w:lvl w:ilvl="0">
      <w:lvlJc w:val="left"/>
      <w:lvlText w:val="(%1)"/>
      <w:numFmt w:val="lowerRoman"/>
      <w:start w:val="1"/>
    </w:lvl>
  </w:abstractNum>
  <w:abstractNum w:abstractNumId="86">
    <w:nsid w:val="CC1016F"/>
    <w:multiLevelType w:val="hybridMultilevel"/>
    <w:lvl w:ilvl="0">
      <w:lvlJc w:val="left"/>
      <w:lvlText w:val="%1."/>
      <w:numFmt w:val="decimal"/>
      <w:start w:val="20"/>
    </w:lvl>
  </w:abstractNum>
  <w:abstractNum w:abstractNumId="87">
    <w:nsid w:val="43F18422"/>
    <w:multiLevelType w:val="hybridMultilevel"/>
    <w:lvl w:ilvl="0">
      <w:lvlJc w:val="left"/>
      <w:lvlText w:val="%1."/>
      <w:numFmt w:val="decimal"/>
      <w:start w:val="2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1)"/>
      <w:numFmt w:val="lowerLetter"/>
      <w:start w:val="1"/>
    </w:lvl>
  </w:abstractNum>
  <w:abstractNum w:abstractNumId="90">
    <w:nsid w:val="7F01579B"/>
    <w:multiLevelType w:val="hybridMultilevel"/>
    <w:lvl w:ilvl="0">
      <w:lvlJc w:val="left"/>
      <w:lvlText w:val="(%1)"/>
      <w:numFmt w:val="lowerLetter"/>
      <w:start w:val="2"/>
    </w:lvl>
  </w:abstractNum>
  <w:abstractNum w:abstractNumId="91">
    <w:nsid w:val="49DA307D"/>
    <w:multiLevelType w:val="hybridMultilevel"/>
    <w:lvl w:ilvl="0">
      <w:lvlJc w:val="left"/>
      <w:lvlText w:val="(%1)"/>
      <w:numFmt w:val="lowerLetter"/>
      <w:start w:val="1"/>
    </w:lvl>
  </w:abstractNum>
  <w:abstractNum w:abstractNumId="92">
    <w:nsid w:val="7055A5F5"/>
    <w:multiLevelType w:val="hybridMultilevel"/>
    <w:lvl w:ilvl="0">
      <w:lvlJc w:val="left"/>
      <w:lvlText w:val="(%1)"/>
      <w:numFmt w:val="decimal"/>
      <w:start w:val="1"/>
    </w:lvl>
  </w:abstractNum>
  <w:abstractNum w:abstractNumId="93">
    <w:nsid w:val="5FB8370B"/>
    <w:multiLevelType w:val="hybridMultilevel"/>
    <w:lvl w:ilvl="0">
      <w:lvlJc w:val="left"/>
      <w:lvlText w:val="(%1)"/>
      <w:numFmt w:val="decimal"/>
      <w:start w:val="2"/>
    </w:lvl>
  </w:abstractNum>
  <w:abstractNum w:abstractNumId="94">
    <w:nsid w:val="50801EE1"/>
    <w:multiLevelType w:val="hybridMultilevel"/>
    <w:lvl w:ilvl="0">
      <w:lvlJc w:val="left"/>
      <w:lvlText w:val="(%1)"/>
      <w:numFmt w:val="lowerLetter"/>
      <w:start w:val="1"/>
    </w:lvl>
    <w:lvl w:ilvl="1">
      <w:lvlJc w:val="left"/>
      <w:lvlText w:val="%2."/>
      <w:numFmt w:val="decimal"/>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1."/>
      <w:numFmt w:val="decimal"/>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183" Type="http://schemas.openxmlformats.org/officeDocument/2006/relationships/hyperlink" Target="http://www.sec.gov/Archives/edgar/data/1311370/000119312505056426/dex31.htm" TargetMode="External"/><Relationship Id="rId184" Type="http://schemas.openxmlformats.org/officeDocument/2006/relationships/hyperlink" Target="http://www.sec.gov/Archives/edgar/data/1311370/000119312505056426/dex32.htm" TargetMode="External"/><Relationship Id="rId185" Type="http://schemas.openxmlformats.org/officeDocument/2006/relationships/hyperlink" Target="http://www.sec.gov/Archives/edgar/data/1311370/000119312505126336/dex33.htm" TargetMode="External"/><Relationship Id="rId186" Type="http://schemas.openxmlformats.org/officeDocument/2006/relationships/hyperlink" Target="http://www.sec.gov/Archives/edgar/data/1311370/000119312508108332/dex34.htm" TargetMode="External"/><Relationship Id="rId187" Type="http://schemas.openxmlformats.org/officeDocument/2006/relationships/hyperlink" Target="http://www.sec.gov/Archives/edgar/data/1311370/000119312510102269/dex35.htm" TargetMode="External"/><Relationship Id="rId188" Type="http://schemas.openxmlformats.org/officeDocument/2006/relationships/hyperlink" Target="http://www.sec.gov/Archives/edgar/data/1311370/000119312505073325/dex41.htm" TargetMode="External"/><Relationship Id="rId189" Type="http://schemas.openxmlformats.org/officeDocument/2006/relationships/hyperlink" Target="http://www.sec.gov/Archives/edgar/data/1326141/000119312505145683/dex41.htm" TargetMode="External"/><Relationship Id="rId190" Type="http://schemas.openxmlformats.org/officeDocument/2006/relationships/hyperlink" Target="http://www.sec.gov/Archives/edgar/data/1311370/000119312513442315/d627962dex41.htm" TargetMode="External"/><Relationship Id="rId191" Type="http://schemas.openxmlformats.org/officeDocument/2006/relationships/hyperlink" Target="http://www.sec.gov/Archives/edgar/data/1311370/000119312515050385/d871111dex41.htm" TargetMode="External"/><Relationship Id="rId192" Type="http://schemas.openxmlformats.org/officeDocument/2006/relationships/hyperlink" Target="http://www.sec.gov/Archives/edgar/data/1311370/000119312516760477/d43064dex41.htm" TargetMode="External"/><Relationship Id="rId193" Type="http://schemas.openxmlformats.org/officeDocument/2006/relationships/hyperlink" Target="http://www.sec.gov/Archives/edgar/data/1311370/000119312518277695/d614135dex41.htm" TargetMode="External"/><Relationship Id="rId196" Type="http://schemas.openxmlformats.org/officeDocument/2006/relationships/hyperlink" Target="http://www.sec.gov/Archives/edgar/data/1311370/000119312519027570/d671906dex991.htm" TargetMode="External"/><Relationship Id="rId197" Type="http://schemas.openxmlformats.org/officeDocument/2006/relationships/hyperlink" Target="http://www.sec.gov/Archives/edgar/data/1311370/000119312515355042/d41332dex102.htm" TargetMode="External"/><Relationship Id="rId198" Type="http://schemas.openxmlformats.org/officeDocument/2006/relationships/hyperlink" Target="http://www.sec.gov/Archives/edgar/data/1311370/000119312505025486/dex1019.htm" TargetMode="External"/><Relationship Id="rId199" Type="http://schemas.openxmlformats.org/officeDocument/2006/relationships/hyperlink" Target="http://www.sec.gov/Archives/edgar/data/1311370/000119312511117012/dex1016.htm" TargetMode="External"/><Relationship Id="rId200" Type="http://schemas.openxmlformats.org/officeDocument/2006/relationships/hyperlink" Target="http://www.sec.gov/Archives/edgar/data/1311370/000119312505091140/dex1021.htm" TargetMode="External"/><Relationship Id="rId201" Type="http://schemas.openxmlformats.org/officeDocument/2006/relationships/hyperlink" Target="http://www.sec.gov/Archives/edgar/data/1311370/000119312508063107/ddef14a.htm" TargetMode="External"/><Relationship Id="rId202" Type="http://schemas.openxmlformats.org/officeDocument/2006/relationships/hyperlink" Target="http://www.sec.gov/Archives/edgar/data/1311370/000119312516500308/d128121ddef14a.htm" TargetMode="External"/><Relationship Id="rId203" Type="http://schemas.openxmlformats.org/officeDocument/2006/relationships/hyperlink" Target="http://www.sec.gov/Archives/edgar/data/1311370/000119312518082725/d525181ddef14a.htm" TargetMode="External"/><Relationship Id="rId204" Type="http://schemas.openxmlformats.org/officeDocument/2006/relationships/hyperlink" Target="http://www.sec.gov/Archives/edgar/data/1311370/000119312516556959/d150073dex109.htm" TargetMode="External"/><Relationship Id="rId205" Type="http://schemas.openxmlformats.org/officeDocument/2006/relationships/hyperlink" Target="http://www.sec.gov/Archives/edgar/data/1311370/000119312516556959/d150073dex1010.htm" TargetMode="External"/><Relationship Id="rId206" Type="http://schemas.openxmlformats.org/officeDocument/2006/relationships/hyperlink" Target="http://www.sec.gov/Archives/edgar/data/1311370/000119312516556959/d150073dex1012.htm" TargetMode="External"/><Relationship Id="rId207" Type="http://schemas.openxmlformats.org/officeDocument/2006/relationships/hyperlink" Target="http://www.sec.gov/Archives/edgar/data/1311370/000156459017020405/laz-ex1014_1108.htm" TargetMode="External"/><Relationship Id="rId208" Type="http://schemas.openxmlformats.org/officeDocument/2006/relationships/hyperlink" Target="http://www.sec.gov/Archives/edgar/data/1311370/000156459017020405/laz-ex1015_1109.htm" TargetMode="External"/><Relationship Id="rId211" Type="http://schemas.openxmlformats.org/officeDocument/2006/relationships/hyperlink" Target="http://www.sec.gov/Archives/edgar/data/1311370/000119312516556959/d150073dex1013.htm" TargetMode="External"/><Relationship Id="rId212" Type="http://schemas.openxmlformats.org/officeDocument/2006/relationships/hyperlink" Target="http://www.sec.gov/Archives/edgar/data/1311370/000089882205001180/sept9_exhibit.txt" TargetMode="External"/><Relationship Id="rId213" Type="http://schemas.openxmlformats.org/officeDocument/2006/relationships/hyperlink" Target="http://www.sec.gov/Archives/edgar/data/1311370/000119312509041325/dex1041.htm" TargetMode="External"/><Relationship Id="rId214" Type="http://schemas.openxmlformats.org/officeDocument/2006/relationships/hyperlink" Target="http://www.sec.gov/Archives/edgar/data/1311370/000119312509041325/dex1042.htm" TargetMode="External"/><Relationship Id="rId215" Type="http://schemas.openxmlformats.org/officeDocument/2006/relationships/hyperlink" Target="http://www.sec.gov/Archives/edgar/data/1311370/000119312506109044/dex1039.htm" TargetMode="External"/><Relationship Id="rId216" Type="http://schemas.openxmlformats.org/officeDocument/2006/relationships/hyperlink" Target="http://www.sec.gov/Archives/edgar/data/1311370/000119312515355042/d41332dex1027.htm" TargetMode="External"/><Relationship Id="rId217" Type="http://schemas.openxmlformats.org/officeDocument/2006/relationships/hyperlink" Target="http://www.sec.gov/Archives/edgar/data/1311370/000119312513188120/d498095dex1055.htm" TargetMode="External"/><Relationship Id="rId218" Type="http://schemas.openxmlformats.org/officeDocument/2006/relationships/hyperlink" Target="http://www.sec.gov/Archives/edgar/data/1311370/000119312514184963/d687179dex1055.htm" TargetMode="External"/><Relationship Id="rId219" Type="http://schemas.openxmlformats.org/officeDocument/2006/relationships/hyperlink" Target="http://www.sec.gov/Archives/edgar/data/1311370/000119312514184963/d687179dex1056.htm" TargetMode="External"/><Relationship Id="rId220" Type="http://schemas.openxmlformats.org/officeDocument/2006/relationships/hyperlink" Target="http://www.sec.gov/Archives/edgar/data/1311370/000119312510102269/dex1055.htm" TargetMode="External"/><Relationship Id="rId221" Type="http://schemas.openxmlformats.org/officeDocument/2006/relationships/hyperlink" Target="http://www.sec.gov/Archives/edgar/data/1311370/000119312511117012/dex105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2019-12-28T15:38:09Z</dcterms:created>
  <dcterms:modified xsi:type="dcterms:W3CDTF">2019-12-28T15:38:09Z</dcterms:modified>
</cp:coreProperties>
</file>