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highlight w:val="black"/>
        </w:rPr>
      </w:pPr>
    </w:p>
    <w:p>
      <w:pPr>
        <w:ind w:left="39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920" w:type="dxa"/>
            <w:vAlign w:val="bottom"/>
            <w:gridSpan w:val="4"/>
          </w:tcPr>
          <w:p>
            <w:pPr>
              <w:spacing w:after="0"/>
              <w:rPr>
                <w:sz w:val="20"/>
                <w:szCs w:val="20"/>
                <w:color w:val="auto"/>
              </w:rPr>
            </w:pPr>
            <w:r>
              <w:rPr>
                <w:rFonts w:ascii="Arial" w:cs="Arial" w:eastAsia="Arial" w:hAnsi="Arial"/>
                <w:sz w:val="18"/>
                <w:szCs w:val="18"/>
                <w:b w:val="1"/>
                <w:bCs w:val="1"/>
                <w:color w:val="auto"/>
              </w:rPr>
              <w:t>For the transition period from</w:t>
            </w:r>
          </w:p>
        </w:tc>
        <w:tc>
          <w:tcPr>
            <w:tcW w:w="2960" w:type="dxa"/>
            <w:vAlign w:val="bottom"/>
            <w:gridSpan w:val="5"/>
          </w:tcPr>
          <w:p>
            <w:pPr>
              <w:jc w:val="right"/>
              <w:ind w:right="2688"/>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gridSpan w:val="3"/>
          </w:tcPr>
          <w:p>
            <w:pPr>
              <w:jc w:val="center"/>
              <w:ind w:left="1208"/>
              <w:spacing w:after="0"/>
              <w:rPr>
                <w:sz w:val="20"/>
                <w:szCs w:val="20"/>
                <w:color w:val="auto"/>
              </w:rPr>
            </w:pPr>
            <w:r>
              <w:rPr>
                <w:rFonts w:ascii="Arial" w:cs="Arial" w:eastAsia="Arial" w:hAnsi="Arial"/>
                <w:sz w:val="18"/>
                <w:szCs w:val="18"/>
                <w:b w:val="1"/>
                <w:bCs w:val="1"/>
                <w:color w:val="auto"/>
                <w:w w:val="90"/>
              </w:rPr>
              <w:t>001-32492</w:t>
            </w: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9"/>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80" w:type="dxa"/>
            <w:vAlign w:val="bottom"/>
            <w:gridSpan w:val="9"/>
          </w:tcPr>
          <w:p>
            <w:pPr>
              <w:jc w:val="center"/>
              <w:ind w:right="2108"/>
              <w:spacing w:after="0"/>
              <w:rPr>
                <w:sz w:val="20"/>
                <w:szCs w:val="20"/>
                <w:color w:val="auto"/>
              </w:rPr>
            </w:pPr>
            <w:r>
              <w:rPr>
                <w:rFonts w:ascii="Arial" w:cs="Arial" w:eastAsia="Arial" w:hAnsi="Arial"/>
                <w:sz w:val="43"/>
                <w:szCs w:val="43"/>
                <w:b w:val="1"/>
                <w:bCs w:val="1"/>
                <w:color w:val="auto"/>
              </w:rPr>
              <w:t>LAZARD LTD</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80" w:type="dxa"/>
            <w:vAlign w:val="bottom"/>
            <w:gridSpan w:val="9"/>
          </w:tcPr>
          <w:p>
            <w:pPr>
              <w:jc w:val="center"/>
              <w:ind w:right="21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2140" w:type="dxa"/>
            <w:vAlign w:val="bottom"/>
          </w:tcPr>
          <w:p>
            <w:pPr>
              <w:jc w:val="center"/>
              <w:ind w:left="65"/>
              <w:spacing w:after="0"/>
              <w:rPr>
                <w:sz w:val="20"/>
                <w:szCs w:val="20"/>
                <w:color w:val="auto"/>
              </w:rPr>
            </w:pPr>
            <w:r>
              <w:rPr>
                <w:rFonts w:ascii="Arial" w:cs="Arial" w:eastAsia="Arial" w:hAnsi="Arial"/>
                <w:sz w:val="18"/>
                <w:szCs w:val="18"/>
                <w:b w:val="1"/>
                <w:bCs w:val="1"/>
                <w:color w:val="auto"/>
                <w:w w:val="92"/>
              </w:rPr>
              <w:t>Bermuda</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5"/>
          </w:tcPr>
          <w:p>
            <w:pPr>
              <w:jc w:val="right"/>
              <w:ind w:right="588"/>
              <w:spacing w:after="0"/>
              <w:rPr>
                <w:sz w:val="20"/>
                <w:szCs w:val="20"/>
                <w:color w:val="auto"/>
              </w:rPr>
            </w:pPr>
            <w:r>
              <w:rPr>
                <w:rFonts w:ascii="Arial" w:cs="Arial" w:eastAsia="Arial" w:hAnsi="Arial"/>
                <w:sz w:val="18"/>
                <w:szCs w:val="18"/>
                <w:b w:val="1"/>
                <w:bCs w:val="1"/>
                <w:color w:val="auto"/>
              </w:rPr>
              <w:t>98-0437848</w:t>
            </w:r>
          </w:p>
        </w:tc>
        <w:tc>
          <w:tcPr>
            <w:tcW w:w="0" w:type="dxa"/>
            <w:vAlign w:val="bottom"/>
          </w:tcPr>
          <w:p>
            <w:pPr>
              <w:spacing w:after="0"/>
              <w:rPr>
                <w:sz w:val="1"/>
                <w:szCs w:val="1"/>
                <w:color w:val="auto"/>
              </w:rPr>
            </w:pPr>
          </w:p>
        </w:tc>
      </w:tr>
      <w:tr>
        <w:trPr>
          <w:trHeight w:val="149"/>
        </w:trPr>
        <w:tc>
          <w:tcPr>
            <w:tcW w:w="6260" w:type="dxa"/>
            <w:vAlign w:val="bottom"/>
            <w:gridSpan w:val="6"/>
          </w:tcPr>
          <w:p>
            <w:pPr>
              <w:jc w:val="center"/>
              <w:ind w:right="15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140" w:type="dxa"/>
            <w:vAlign w:val="bottom"/>
          </w:tcPr>
          <w:p>
            <w:pPr>
              <w:jc w:val="center"/>
              <w:ind w:left="85"/>
              <w:spacing w:after="0"/>
              <w:rPr>
                <w:sz w:val="20"/>
                <w:szCs w:val="20"/>
                <w:color w:val="auto"/>
              </w:rPr>
            </w:pPr>
            <w:r>
              <w:rPr>
                <w:rFonts w:ascii="Arial" w:cs="Arial" w:eastAsia="Arial" w:hAnsi="Arial"/>
                <w:sz w:val="14"/>
                <w:szCs w:val="14"/>
                <w:b w:val="1"/>
                <w:bCs w:val="1"/>
                <w:color w:val="auto"/>
                <w:w w:val="90"/>
              </w:rPr>
              <w:t>or Organization)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Clarendon House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 Church Street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Hamilton HM11, Bermuda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80" w:type="dxa"/>
            <w:vAlign w:val="bottom"/>
            <w:gridSpan w:val="8"/>
          </w:tcPr>
          <w:p>
            <w:pPr>
              <w:jc w:val="center"/>
              <w:ind w:right="2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80" w:type="dxa"/>
            <w:vAlign w:val="bottom"/>
            <w:gridSpan w:val="9"/>
          </w:tcPr>
          <w:p>
            <w:pPr>
              <w:jc w:val="center"/>
              <w:ind w:right="2088"/>
              <w:spacing w:after="0"/>
              <w:rPr>
                <w:sz w:val="20"/>
                <w:szCs w:val="20"/>
                <w:color w:val="auto"/>
              </w:rPr>
            </w:pPr>
            <w:r>
              <w:rPr>
                <w:rFonts w:ascii="Arial" w:cs="Arial" w:eastAsia="Arial" w:hAnsi="Arial"/>
                <w:sz w:val="18"/>
                <w:szCs w:val="18"/>
                <w:b w:val="1"/>
                <w:bCs w:val="1"/>
                <w:color w:val="auto"/>
                <w:w w:val="90"/>
              </w:rPr>
              <w:t>Registrant’s telephone number: (441) 295-1422</w:t>
            </w: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3340" w:type="dxa"/>
            <w:vAlign w:val="bottom"/>
            <w:gridSpan w:val="2"/>
            <w:vMerge w:val="continue"/>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color w:val="auto"/>
                <w:w w:val="92"/>
              </w:rPr>
              <w:t>Title of each class</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w w:val="94"/>
              </w:rPr>
              <w:t>Trading Symbol(s)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color w:val="auto"/>
                <w:w w:val="94"/>
              </w:rPr>
              <w:t>Class A Common Stock</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rPr>
              <w:t>LAZ</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58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6"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020" w:val="left"/>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July 19, 2019, there were 129,766,091 shares of the Registrant’s Class A common stock outstanding (including 22,883,607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June 30, 2019 of all of the common membership interests in Lazard Group and its controlling interest in Lazard Group.</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280" w:type="dxa"/>
            <w:vAlign w:val="bottom"/>
            <w:gridSpan w:val="9"/>
            <w:vMerge w:val="restart"/>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77">
              <w:r>
                <w:rPr>
                  <w:rFonts w:ascii="Arial" w:cs="Arial" w:eastAsia="Arial" w:hAnsi="Arial"/>
                  <w:sz w:val="18"/>
                  <w:szCs w:val="18"/>
                  <w:b w:val="1"/>
                  <w:bCs w:val="1"/>
                  <w:color w:val="0000EE"/>
                  <w:w w:val="85"/>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2019 and December 31, 2018</w:t>
              </w:r>
            </w:hyperlink>
          </w:p>
        </w:tc>
        <w:tc>
          <w:tcPr>
            <w:tcW w:w="3220" w:type="dxa"/>
            <w:vAlign w:val="bottom"/>
            <w:gridSpan w:val="5"/>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2</w:t>
            </w: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six month periods ended June 30, 2019 and 2018</w:t>
              </w:r>
            </w:hyperlink>
          </w:p>
        </w:tc>
        <w:tc>
          <w:tcPr>
            <w:tcW w:w="1760" w:type="dxa"/>
            <w:vAlign w:val="bottom"/>
            <w:gridSpan w:val="3"/>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4</w:t>
            </w: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2019 and 2018</w:t>
              </w:r>
            </w:hyperlink>
          </w:p>
        </w:tc>
        <w:tc>
          <w:tcPr>
            <w:tcW w:w="840" w:type="dxa"/>
            <w:vAlign w:val="bottom"/>
            <w:gridSpan w:val="2"/>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2019 and 2018</w:t>
              </w:r>
            </w:hyperlink>
          </w:p>
        </w:tc>
        <w:tc>
          <w:tcPr>
            <w:tcW w:w="2920" w:type="dxa"/>
            <w:vAlign w:val="bottom"/>
            <w:gridSpan w:val="4"/>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6</w:t>
            </w:r>
          </w:p>
        </w:tc>
      </w:tr>
      <w:tr>
        <w:trPr>
          <w:trHeight w:val="318"/>
        </w:trPr>
        <w:tc>
          <w:tcPr>
            <w:tcW w:w="60" w:type="dxa"/>
            <w:vAlign w:val="bottom"/>
          </w:tcPr>
          <w:p>
            <w:pPr>
              <w:spacing w:after="0"/>
              <w:rPr>
                <w:sz w:val="24"/>
                <w:szCs w:val="24"/>
                <w:color w:val="auto"/>
              </w:rPr>
            </w:pPr>
          </w:p>
        </w:tc>
        <w:tc>
          <w:tcPr>
            <w:tcW w:w="105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Changes in Stockholders’ Equity for the three month and six month periods ended June 30, 2019 and 2018</w:t>
              </w:r>
            </w:hyperlink>
          </w:p>
        </w:tc>
        <w:tc>
          <w:tcPr>
            <w:tcW w:w="180" w:type="dxa"/>
            <w:vAlign w:val="bottom"/>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w:t>
              </w:r>
            </w:hyperlink>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11</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919,221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1,246,537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1,301,520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$33,535 and $40,164</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June 30, 2019 and December 31, 2018, respectively):</w:t>
            </w: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Fees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502,846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501,397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202,268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705,114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685,534</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$351,119 and $339,770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at June 30, 2019 and December 31, 2018, respectively)</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206,456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212,946</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$66,908 and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$65,949 at June 30, 2019 and December 31, 2018, respectively)</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374,436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375,318</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597,776</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258,634</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5,507,473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1,480,684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331,636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1,678,131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receivable agreement obligation</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270,640</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576,986</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4,789,595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4,027,148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129,766,091 shares issued at June 30, 2019 and December 31, 2018,</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750,692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1,179,901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1,195,563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(271,984)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(273,818)</w:t>
            </w:r>
          </w:p>
        </w:tc>
      </w:tr>
      <w:tr>
        <w:trPr>
          <w:trHeight w:val="223"/>
        </w:trPr>
        <w:tc>
          <w:tcPr>
            <w:tcW w:w="69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1,491,557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94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(21,761,253 and 17,574,805</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tcPr>
          <w:p>
            <w:pPr>
              <w:ind w:left="380"/>
              <w:spacing w:after="0"/>
              <w:rPr>
                <w:sz w:val="20"/>
                <w:szCs w:val="20"/>
                <w:color w:val="auto"/>
              </w:rPr>
            </w:pPr>
            <w:r>
              <w:rPr>
                <w:rFonts w:ascii="Arial" w:cs="Arial" w:eastAsia="Arial" w:hAnsi="Arial"/>
                <w:sz w:val="18"/>
                <w:szCs w:val="18"/>
                <w:color w:val="auto"/>
              </w:rPr>
              <w:t>shares at June 30, 2019 and December 31, 2018, respectively)</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(872,755)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(756,884)</w:t>
            </w:r>
          </w:p>
        </w:tc>
      </w:tr>
      <w:tr>
        <w:trPr>
          <w:trHeight w:val="223"/>
        </w:trPr>
        <w:tc>
          <w:tcPr>
            <w:tcW w:w="6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9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618,802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916,851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53,242</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717,878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970,093</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5,507,473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328,974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421,444</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664,778</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830,170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650,801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771,528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1,312,479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630,690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757,938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1,274,364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372,470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744,724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(8,483)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529,005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1,053,016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65,777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162,819</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111,981,204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120,306,257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111,962,729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120,118,182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116,175,349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130,249,054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118,497,717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131,195,725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73,513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169,989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120" w:type="dxa"/>
            <w:vAlign w:val="bottom"/>
            <w:shd w:val="clear" w:color="auto" w:fill="CFF0FC"/>
          </w:tcPr>
          <w:p>
            <w:pPr>
              <w:spacing w:after="0"/>
              <w:rPr>
                <w:sz w:val="19"/>
                <w:szCs w:val="19"/>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(7,053)</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(43,453)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(3,273)</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(26,107)</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(net of tax expense of $2,420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$1,746 for the three months ended June 30, 2019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2018, respectively, and $2,720 and $404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six months ended June 30, 2019 and 2018,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20" w:type="dxa"/>
            <w:vAlign w:val="bottom"/>
            <w:shd w:val="clear" w:color="auto" w:fill="CFF0FC"/>
          </w:tcPr>
          <w:p>
            <w:pPr>
              <w:spacing w:after="0"/>
              <w:rPr>
                <w:sz w:val="20"/>
                <w:szCs w:val="20"/>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tax expense of $174 and $468 for the three months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ended June 30, 2019 and 2018, respectively,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and $352 and $684 for the six months ended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June 30, 2019 and 2018, respectively)</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(20,982)</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114,003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289,058</w:t>
            </w: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7,734</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FF0FC"/>
          </w:tcPr>
          <w:p>
            <w:pPr>
              <w:spacing w:after="0"/>
              <w:rPr>
                <w:sz w:val="20"/>
                <w:szCs w:val="20"/>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62,651</w:t>
            </w:r>
          </w:p>
        </w:tc>
        <w:tc>
          <w:tcPr>
            <w:tcW w:w="2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112,588</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164,653</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285,674</w:t>
            </w:r>
          </w:p>
        </w:tc>
        <w:tc>
          <w:tcPr>
            <w:tcW w:w="12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169,989</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310,040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26,720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226,629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(7,617)</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Deferred tax provision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(19,520)</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(154,430)</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(79,998)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(107,740)</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(131,314)</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(259,428)</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(135,027)</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82,565</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(18,064)</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(32,043)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(17,979)</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(30,716)</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491,875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 net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Senior debt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(255,746)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(7,811)</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(5,060)</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(23,687)</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(31,897)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(351,712)</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(223,795)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(155,324)</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(255,228)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(96,089)</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(109,218)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(4,697)</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(87,268)</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(559,186)</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(8,701)</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(46,762)</w:t>
            </w: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(31,383)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(571,888)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2,291,885</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CASH—June 30</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2,260,502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1,882,918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CONDITION: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716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919,221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1,301,520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39,761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2,260,502</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2,291,885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Other</w:t>
            </w:r>
          </w:p>
        </w:tc>
        <w:tc>
          <w:tcPr>
            <w:tcW w:w="1860" w:type="dxa"/>
            <w:vAlign w:val="bottom"/>
            <w:gridSpan w:val="5"/>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5"/>
              </w:rPr>
              <w:t>Comprehensive</w:t>
            </w:r>
          </w:p>
        </w:tc>
        <w:tc>
          <w:tcPr>
            <w:tcW w:w="1860" w:type="dxa"/>
            <w:vAlign w:val="bottom"/>
            <w:gridSpan w:val="5"/>
          </w:tcPr>
          <w:p>
            <w:pPr>
              <w:jc w:val="center"/>
              <w:ind w:right="99"/>
              <w:spacing w:after="0"/>
              <w:rPr>
                <w:sz w:val="20"/>
                <w:szCs w:val="20"/>
                <w:color w:val="auto"/>
              </w:rPr>
            </w:pPr>
            <w:r>
              <w:rPr>
                <w:rFonts w:ascii="Arial" w:cs="Arial" w:eastAsia="Arial" w:hAnsi="Arial"/>
                <w:sz w:val="14"/>
                <w:szCs w:val="14"/>
                <w:b w:val="1"/>
                <w:bCs w:val="1"/>
                <w:color w:val="auto"/>
                <w:w w:val="85"/>
              </w:rPr>
              <w:t>Common Stock</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20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Paid-In-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6"/>
              </w:rPr>
              <w:t>Income (Loss),</w:t>
            </w:r>
          </w:p>
        </w:tc>
        <w:tc>
          <w:tcPr>
            <w:tcW w:w="1860" w:type="dxa"/>
            <w:vAlign w:val="bottom"/>
            <w:gridSpan w:val="5"/>
          </w:tcPr>
          <w:p>
            <w:pPr>
              <w:jc w:val="center"/>
              <w:ind w:right="99"/>
              <w:spacing w:after="0"/>
              <w:rPr>
                <w:sz w:val="20"/>
                <w:szCs w:val="20"/>
                <w:color w:val="auto"/>
              </w:rPr>
            </w:pPr>
            <w:r>
              <w:rPr>
                <w:rFonts w:ascii="Arial" w:cs="Arial" w:eastAsia="Arial" w:hAnsi="Arial"/>
                <w:sz w:val="14"/>
                <w:szCs w:val="14"/>
                <w:b w:val="1"/>
                <w:bCs w:val="1"/>
                <w:color w:val="auto"/>
                <w:w w:val="86"/>
              </w:rPr>
              <w:t>Held By Subsidiaries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Stockholders’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202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9"/>
              </w:rPr>
              <w:t>Capital</w:t>
            </w: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85"/>
              </w:rPr>
              <w:t>Net of Tax</w:t>
            </w:r>
          </w:p>
        </w:tc>
        <w:tc>
          <w:tcPr>
            <w:tcW w:w="9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Equity</w:t>
            </w:r>
          </w:p>
        </w:tc>
      </w:tr>
      <w:tr>
        <w:trPr>
          <w:trHeight w:val="210"/>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April 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1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$ 619,430</w:t>
            </w:r>
          </w:p>
        </w:tc>
        <w:tc>
          <w:tcPr>
            <w:tcW w:w="1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$ 1,005,548</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(219,124)</w:t>
            </w: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9,359,466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(410,591)</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996,561</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59,620</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$ 1,056,181</w:t>
            </w:r>
          </w:p>
        </w:tc>
        <w:tc>
          <w:tcPr>
            <w:tcW w:w="60" w:type="dxa"/>
            <w:vAlign w:val="bottom"/>
            <w:tcBorders>
              <w:top w:val="single" w:sz="8" w:color="CFF0FC"/>
            </w:tcBorders>
            <w:shd w:val="clear" w:color="auto" w:fill="CFF0FC"/>
          </w:tcPr>
          <w:p>
            <w:pPr>
              <w:spacing w:after="0"/>
              <w:rPr>
                <w:sz w:val="18"/>
                <w:szCs w:val="18"/>
                <w:color w:val="auto"/>
              </w:rPr>
            </w:pP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146,963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146,963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148,379</w:t>
            </w:r>
          </w:p>
        </w:tc>
        <w:tc>
          <w:tcPr>
            <w:tcW w:w="60" w:type="dxa"/>
            <w:vAlign w:val="bottom"/>
            <w:shd w:val="clear" w:color="auto" w:fill="CFF0FC"/>
          </w:tcPr>
          <w:p>
            <w:pPr>
              <w:spacing w:after="0"/>
              <w:rPr>
                <w:sz w:val="19"/>
                <w:szCs w:val="19"/>
                <w:color w:val="auto"/>
              </w:rPr>
            </w:pPr>
          </w:p>
        </w:tc>
      </w:tr>
      <w:tr>
        <w:trPr>
          <w:trHeight w:val="206"/>
        </w:trPr>
        <w:tc>
          <w:tcPr>
            <w:tcW w:w="202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20" w:type="dxa"/>
            <w:vAlign w:val="bottom"/>
          </w:tcPr>
          <w:p>
            <w:pPr>
              <w:ind w:left="260"/>
              <w:spacing w:after="0"/>
              <w:rPr>
                <w:sz w:val="20"/>
                <w:szCs w:val="20"/>
                <w:color w:val="auto"/>
              </w:rPr>
            </w:pPr>
            <w:r>
              <w:rPr>
                <w:rFonts w:ascii="Arial" w:cs="Arial" w:eastAsia="Arial" w:hAnsi="Arial"/>
                <w:sz w:val="16"/>
                <w:szCs w:val="16"/>
                <w:color w:val="auto"/>
              </w:rPr>
              <w:t>loss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(34,375)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(34,375)</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(34,376)</w:t>
            </w: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w w:val="99"/>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60" w:type="dxa"/>
            <w:vAlign w:val="bottom"/>
            <w:shd w:val="clear" w:color="auto" w:fill="CFF0FC"/>
          </w:tcPr>
          <w:p>
            <w:pPr>
              <w:spacing w:after="0"/>
              <w:rPr>
                <w:sz w:val="18"/>
                <w:szCs w:val="18"/>
                <w:color w:val="auto"/>
              </w:rPr>
            </w:pPr>
          </w:p>
        </w:tc>
      </w:tr>
      <w:tr>
        <w:trPr>
          <w:trHeight w:val="213"/>
        </w:trPr>
        <w:tc>
          <w:tcPr>
            <w:tcW w:w="202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5,221</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(6,135)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(914)</w:t>
            </w: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($0.44 per share)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(52,844)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(52,844)</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(52,844)</w:t>
            </w: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w w:val="94"/>
              </w:rPr>
              <w:t>Purchase of Class A common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20" w:type="dxa"/>
            <w:vAlign w:val="bottom"/>
          </w:tcPr>
          <w:p>
            <w:pPr>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1,485,240</w:t>
            </w:r>
          </w:p>
        </w:tc>
        <w:tc>
          <w:tcPr>
            <w:tcW w:w="120" w:type="dxa"/>
            <w:vAlign w:val="bottom"/>
          </w:tcPr>
          <w:p>
            <w:pPr>
              <w:spacing w:after="0"/>
              <w:rPr>
                <w:sz w:val="18"/>
                <w:szCs w:val="18"/>
                <w:color w:val="auto"/>
              </w:rPr>
            </w:pPr>
          </w:p>
        </w:tc>
        <w:tc>
          <w:tcPr>
            <w:tcW w:w="940" w:type="dxa"/>
            <w:vAlign w:val="bottom"/>
            <w:gridSpan w:val="3"/>
          </w:tcPr>
          <w:p>
            <w:pPr>
              <w:jc w:val="right"/>
              <w:ind w:right="39"/>
              <w:spacing w:after="0"/>
              <w:rPr>
                <w:sz w:val="20"/>
                <w:szCs w:val="20"/>
                <w:color w:val="auto"/>
              </w:rPr>
            </w:pPr>
            <w:r>
              <w:rPr>
                <w:rFonts w:ascii="Arial" w:cs="Arial" w:eastAsia="Arial" w:hAnsi="Arial"/>
                <w:sz w:val="16"/>
                <w:szCs w:val="16"/>
                <w:color w:val="auto"/>
              </w:rPr>
              <w:t>(77,846)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(77,846)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(77,846)</w:t>
            </w: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w w:val="99"/>
              </w:rPr>
              <w:t>Delivery of Class A common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$1,362</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(60,943)</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(1,124,811)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51,406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(9,537)</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(9,537)</w:t>
            </w: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FF0FC"/>
          </w:tcPr>
          <w:p>
            <w:pPr>
              <w:spacing w:after="0"/>
              <w:rPr>
                <w:sz w:val="18"/>
                <w:szCs w:val="18"/>
                <w:color w:val="auto"/>
              </w:rPr>
            </w:pPr>
          </w:p>
        </w:tc>
      </w:tr>
      <w:tr>
        <w:trPr>
          <w:trHeight w:val="213"/>
        </w:trPr>
        <w:tc>
          <w:tcPr>
            <w:tcW w:w="202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1,151</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 net</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(3,093)</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(3,093)</w:t>
            </w:r>
          </w:p>
        </w:tc>
      </w:tr>
      <w:tr>
        <w:trPr>
          <w:trHeight w:val="207"/>
        </w:trPr>
        <w:tc>
          <w:tcPr>
            <w:tcW w:w="2020" w:type="dxa"/>
            <w:vAlign w:val="bottom"/>
          </w:tcPr>
          <w:p>
            <w:pPr>
              <w:spacing w:after="0"/>
              <w:rPr>
                <w:sz w:val="20"/>
                <w:szCs w:val="20"/>
                <w:color w:val="auto"/>
              </w:rPr>
            </w:pPr>
            <w:r>
              <w:rPr>
                <w:rFonts w:ascii="Arial" w:cs="Arial" w:eastAsia="Arial" w:hAnsi="Arial"/>
                <w:sz w:val="16"/>
                <w:szCs w:val="16"/>
                <w:b w:val="1"/>
                <w:bCs w:val="1"/>
                <w:color w:val="auto"/>
              </w:rPr>
              <w:t>Balance - June 30,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1,298</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$ 652,013</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$ 1,092,381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(253,499</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9,719,895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 (437,031</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1,055,162</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57,942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$ 1,113,104</w:t>
            </w:r>
          </w:p>
        </w:tc>
        <w:tc>
          <w:tcPr>
            <w:tcW w:w="6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19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788,140</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$ 1,080,413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(232,518)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10,747,142</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(437,530)</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59,102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$ 1,258,905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306,655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310,040</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loss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6"/>
                <w:szCs w:val="16"/>
                <w:color w:val="auto"/>
              </w:rPr>
              <w:t>(20,981)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(20,981)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(20,982)</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33,627</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(38,308)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(4,681)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(4,681)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($2.15 per share)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(255,228)</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(255,228)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(255,228)</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w w:val="93"/>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4,147,526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(223,795)</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(223,795)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(223,795)</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$7,512</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(340,963)</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(5,172,915)</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224,233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(116,730)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(116,730)</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(1,858)</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equivalents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Distributions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(4,544)</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(4,544)</w:t>
            </w:r>
          </w:p>
        </w:tc>
      </w:tr>
      <w:tr>
        <w:trPr>
          <w:trHeight w:val="210"/>
        </w:trPr>
        <w:tc>
          <w:tcPr>
            <w:tcW w:w="2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June 30,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652,013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$ 1,092,381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(253,499</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9,719,895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(437,031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$ 1,055,162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57,942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$ 1,113,104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58"/>
        </w:trPr>
        <w:tc>
          <w:tcPr>
            <w:tcW w:w="2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39"/>
              <w:spacing w:after="0" w:line="159" w:lineRule="exact"/>
              <w:rPr>
                <w:sz w:val="20"/>
                <w:szCs w:val="20"/>
                <w:color w:val="auto"/>
              </w:rPr>
            </w:pPr>
            <w:r>
              <w:rPr>
                <w:rFonts w:ascii="Arial" w:cs="Arial" w:eastAsia="Arial" w:hAnsi="Arial"/>
                <w:sz w:val="14"/>
                <w:szCs w:val="14"/>
                <w:b w:val="1"/>
                <w:bCs w:val="1"/>
                <w:color w:val="auto"/>
                <w:w w:val="88"/>
              </w:rPr>
              <w:t>Accumulated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Other</w:t>
            </w:r>
          </w:p>
        </w:tc>
        <w:tc>
          <w:tcPr>
            <w:tcW w:w="1820" w:type="dxa"/>
            <w:vAlign w:val="bottom"/>
            <w:gridSpan w:val="4"/>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5"/>
              </w:rPr>
              <w:t>Comprehensive</w:t>
            </w:r>
          </w:p>
        </w:tc>
        <w:tc>
          <w:tcPr>
            <w:tcW w:w="182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2040" w:type="dxa"/>
            <w:vAlign w:val="bottom"/>
          </w:tcPr>
          <w:p>
            <w:pPr>
              <w:spacing w:after="0"/>
              <w:rPr>
                <w:sz w:val="14"/>
                <w:szCs w:val="14"/>
                <w:color w:val="auto"/>
              </w:rPr>
            </w:pPr>
          </w:p>
        </w:tc>
        <w:tc>
          <w:tcPr>
            <w:tcW w:w="1620" w:type="dxa"/>
            <w:vAlign w:val="bottom"/>
            <w:gridSpan w:val="4"/>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Paid-In-</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86"/>
              </w:rPr>
              <w:t>Income (Loss),</w:t>
            </w:r>
          </w:p>
        </w:tc>
        <w:tc>
          <w:tcPr>
            <w:tcW w:w="182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204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960" w:type="dxa"/>
            <w:vAlign w:val="bottom"/>
            <w:gridSpan w:val="2"/>
          </w:tcPr>
          <w:p>
            <w:pPr>
              <w:jc w:val="center"/>
              <w:ind w:right="259"/>
              <w:spacing w:after="0" w:line="155" w:lineRule="exact"/>
              <w:rPr>
                <w:sz w:val="20"/>
                <w:szCs w:val="20"/>
                <w:color w:val="auto"/>
              </w:rPr>
            </w:pPr>
            <w:r>
              <w:rPr>
                <w:rFonts w:ascii="Arial" w:cs="Arial" w:eastAsia="Arial" w:hAnsi="Arial"/>
                <w:sz w:val="14"/>
                <w:szCs w:val="14"/>
                <w:b w:val="1"/>
                <w:bCs w:val="1"/>
                <w:color w:val="auto"/>
                <w:w w:val="85"/>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210"/>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April 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$ 535,926</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$ 1,171,754</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(268,858)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17,846,122</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(738,899)</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701,221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70,151</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771,372</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65,777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73,513</w:t>
            </w:r>
          </w:p>
        </w:tc>
        <w:tc>
          <w:tcPr>
            <w:tcW w:w="100" w:type="dxa"/>
            <w:vAlign w:val="bottom"/>
            <w:shd w:val="clear" w:color="auto" w:fill="CFF0FC"/>
          </w:tcPr>
          <w:p>
            <w:pPr>
              <w:spacing w:after="0"/>
              <w:rPr>
                <w:sz w:val="19"/>
                <w:szCs w:val="19"/>
                <w:color w:val="auto"/>
              </w:rPr>
            </w:pPr>
          </w:p>
        </w:tc>
      </w:tr>
      <w:tr>
        <w:trPr>
          <w:trHeight w:val="206"/>
        </w:trPr>
        <w:tc>
          <w:tcPr>
            <w:tcW w:w="2040" w:type="dxa"/>
            <w:vAlign w:val="bottom"/>
          </w:tcPr>
          <w:p>
            <w:pPr>
              <w:ind w:left="260"/>
              <w:spacing w:after="0"/>
              <w:rPr>
                <w:sz w:val="20"/>
                <w:szCs w:val="20"/>
                <w:color w:val="auto"/>
              </w:rPr>
            </w:pPr>
            <w:r>
              <w:rPr>
                <w:rFonts w:ascii="Arial" w:cs="Arial" w:eastAsia="Arial" w:hAnsi="Arial"/>
                <w:sz w:val="16"/>
                <w:szCs w:val="16"/>
                <w:color w:val="auto"/>
                <w:w w:val="94"/>
              </w:rPr>
              <w:t>Other comprehensive loss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ind w:left="260"/>
              <w:spacing w:after="0"/>
              <w:rPr>
                <w:sz w:val="20"/>
                <w:szCs w:val="20"/>
                <w:color w:val="auto"/>
              </w:rPr>
            </w:pPr>
            <w:r>
              <w:rPr>
                <w:rFonts w:ascii="Arial" w:cs="Arial" w:eastAsia="Arial" w:hAnsi="Arial"/>
                <w:sz w:val="16"/>
                <w:szCs w:val="16"/>
                <w:color w:val="auto"/>
              </w:rPr>
              <w:t>- net of 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(3,126)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(3,126)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(3,128)</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58,989</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58,989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76,402</w:t>
            </w:r>
          </w:p>
        </w:tc>
        <w:tc>
          <w:tcPr>
            <w:tcW w:w="100" w:type="dxa"/>
            <w:vAlign w:val="bottom"/>
            <w:shd w:val="clear" w:color="auto" w:fill="CFF0FC"/>
          </w:tcPr>
          <w:p>
            <w:pPr>
              <w:spacing w:after="0"/>
              <w:rPr>
                <w:sz w:val="18"/>
                <w:szCs w:val="18"/>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auto"/>
              </w:rPr>
              <w:t>Dividend-equivalents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4,630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(1,631)</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($0.47 per 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(51,922)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(51,922)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(51,922)</w:t>
            </w: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w w:val="95"/>
              </w:rPr>
              <w:t>Purchase of Class A common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4,537,055</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(159,615)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(159,615)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(159,615)</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 common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$477</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(30,714)</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(621,924)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(4,955)</w:t>
            </w: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13,377</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13,377</w:t>
            </w:r>
          </w:p>
        </w:tc>
        <w:tc>
          <w:tcPr>
            <w:tcW w:w="100" w:type="dxa"/>
            <w:vAlign w:val="bottom"/>
            <w:shd w:val="clear" w:color="auto" w:fill="CFF0FC"/>
          </w:tcPr>
          <w:p>
            <w:pPr>
              <w:spacing w:after="0"/>
              <w:rPr>
                <w:sz w:val="18"/>
                <w:szCs w:val="18"/>
                <w:color w:val="auto"/>
              </w:rPr>
            </w:pPr>
          </w:p>
        </w:tc>
      </w:tr>
      <w:tr>
        <w:trPr>
          <w:trHeight w:val="213"/>
        </w:trPr>
        <w:tc>
          <w:tcPr>
            <w:tcW w:w="204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(6,999)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(6,999)</w:t>
            </w:r>
          </w:p>
        </w:tc>
      </w:tr>
      <w:tr>
        <w:trPr>
          <w:trHeight w:val="213"/>
        </w:trPr>
        <w:tc>
          <w:tcPr>
            <w:tcW w:w="2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Consolidation of VIEs</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Borders>
              <w:bottom w:val="single" w:sz="8" w:color="CFF0FC"/>
            </w:tcBorders>
          </w:tcPr>
          <w:p>
            <w:pPr>
              <w:spacing w:after="0"/>
              <w:rPr>
                <w:sz w:val="18"/>
                <w:szCs w:val="18"/>
                <w:color w:val="auto"/>
              </w:rPr>
            </w:pPr>
          </w:p>
        </w:tc>
      </w:tr>
      <w:tr>
        <w:trPr>
          <w:trHeight w:val="210"/>
        </w:trPr>
        <w:tc>
          <w:tcPr>
            <w:tcW w:w="2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June 30, 2019</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$ 582,342</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$ 1,179,901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(271,984</w:t>
            </w:r>
          </w:p>
        </w:tc>
        <w:tc>
          <w:tcPr>
            <w:tcW w:w="16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21,761,253</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(872,755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618,802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99,076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717,878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19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750,692</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$ 1,195,563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(273,818)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17,574,805</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(756,884)</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916,851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53,242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970,093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169,989</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w w:val="98"/>
              </w:rPr>
              <w:t>income (loss)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125,202</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125,202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161,083</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Dividend-equivalents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20,142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(22,761)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(2,062)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(4,681)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($1.41 per share)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(155,324)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(155,324)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(155,324)</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w w:val="93"/>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9,715,003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(351,712)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(351,712)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(351,712)</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$4,358</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(327,572)</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(5,528,555)</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235,841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(91,731)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(91,731)</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13,482</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13,482</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(6,618)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(6,618)</w:t>
            </w:r>
          </w:p>
        </w:tc>
      </w:tr>
      <w:tr>
        <w:trPr>
          <w:trHeight w:val="213"/>
        </w:trPr>
        <w:tc>
          <w:tcPr>
            <w:tcW w:w="2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Consolidation of VIEs</w:t>
            </w: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Borders>
              <w:bottom w:val="single" w:sz="8" w:color="CFF0FC"/>
            </w:tcBorders>
          </w:tcPr>
          <w:p>
            <w:pPr>
              <w:spacing w:after="0"/>
              <w:rPr>
                <w:sz w:val="18"/>
                <w:szCs w:val="18"/>
                <w:color w:val="auto"/>
              </w:rPr>
            </w:pPr>
          </w:p>
        </w:tc>
      </w:tr>
      <w:tr>
        <w:trPr>
          <w:trHeight w:val="210"/>
        </w:trPr>
        <w:tc>
          <w:tcPr>
            <w:tcW w:w="2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June 30, 2019</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582,342</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$ 1,179,901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(271,984</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21,761,253</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(872,755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618,802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99,076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717,878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2019 and December 31, 2018. Lazard Ltd, through its control of the managing members of Lazard Group, controls Lazard Group, which is governed by an Amended and Restated Operating Agreement dated as of February 4, 2019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2019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21).</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3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$502,000 of operating lease right-of-use assets (“ROU assets”) and $581,000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9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—In October 2018, the FASB issued updated guidance that requires consideration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7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329,612</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422,089</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667,982</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831,210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8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310,316</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340,160</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611,569</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315,591</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617,424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40" w:hanging="372"/>
        <w:spacing w:after="0" w:line="25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2019 and 2018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43,258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38,557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(9,380)</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(5,551)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(4,267)</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(5,408)</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33,535</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34,956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34,956</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2019 and December 31, 2018, the Company had receivables past due or deemed uncollectible of $45,516 and $42,309, respectively.</w:t>
      </w:r>
    </w:p>
    <w:p>
      <w:pPr>
        <w:spacing w:after="0" w:line="24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Of the Company’s fee receivables at June 30, 2019 and December 31, 2018, $79,426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$625,688 and $594,568 at June 30, 2019 and December 31, 2018, respectively, approximates fair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574,913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80" w:hanging="372"/>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$9,665, $75,364 and $172,711, respectively, at June 30,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three month and six month periods ended June 30,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June 30, 2019.</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following tables present, as of June 30,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577,093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235,504</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Three Months Ended June 30,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Transfers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13,048</w:t>
            </w:r>
          </w:p>
        </w:tc>
        <w:tc>
          <w:tcPr>
            <w:tcW w:w="18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(13,273)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 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10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Transfers (b)</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9"/>
                <w:szCs w:val="19"/>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
              <w:spacing w:after="0"/>
              <w:rPr>
                <w:sz w:val="20"/>
                <w:szCs w:val="20"/>
                <w:color w:val="auto"/>
              </w:rPr>
            </w:pPr>
            <w:r>
              <w:rPr>
                <w:rFonts w:ascii="Arial" w:cs="Arial" w:eastAsia="Arial" w:hAnsi="Arial"/>
                <w:sz w:val="18"/>
                <w:szCs w:val="18"/>
                <w:color w:val="auto"/>
              </w:rPr>
              <w:t>(14)</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 equity funds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2,131</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(13,273)</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4"/>
                <w:szCs w:val="14"/>
                <w:b w:val="1"/>
                <w:bCs w:val="1"/>
                <w:color w:val="auto"/>
                <w:w w:val="95"/>
              </w:rPr>
              <w:t>Three Months Ended June 30,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28,974</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(9,346)</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Settlements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1,592</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1,592</w:t>
            </w:r>
          </w:p>
        </w:tc>
        <w:tc>
          <w:tcPr>
            <w:tcW w:w="2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gridSpan w:val="2"/>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28,941</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28,941</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right="20" w:hanging="372"/>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six month periods ended June 30, 2019 and the three month and six month periods ended June 30, 2018 include net unrealized gains (losses) of $(12), $(14), $62 and $61, respectively. Earnings recorded in “amortization and other acquisition-related (benefits) costs” for the contingent consideration liability for the three month and six month periods ended June 30, 2019 and the three month and six month periods ended June 30, 2018 include unrealized (gains) losses of $4,611, $7,650, $(9,346) and $(9,313), respectively.</w:t>
      </w:r>
    </w:p>
    <w:p>
      <w:pPr>
        <w:spacing w:after="0" w:line="3" w:lineRule="exact"/>
        <w:rPr>
          <w:rFonts w:ascii="Arial" w:cs="Arial" w:eastAsia="Arial" w:hAnsi="Arial"/>
          <w:sz w:val="18"/>
          <w:szCs w:val="18"/>
          <w:color w:val="auto"/>
        </w:rPr>
      </w:pPr>
    </w:p>
    <w:p>
      <w:pPr>
        <w:ind w:left="380" w:right="140" w:hanging="372"/>
        <w:spacing w:after="0" w:line="27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three month and six month periods ended June 30, 2019 as these investments are valued based on a potential transaction value that differs from NAV.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2019 and 2018.</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2019 and December 31, 2018,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2019</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24,183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19%</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67%</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64,587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(23%), monthly (72%)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June 30, 2019 and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00" w:hanging="372"/>
        <w:spacing w:after="0" w:line="31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$139 and $4,765 as of June 30, 2019, respectively, and $10,792 and $369 as of December 31, 2018, respectively, for contracts with the same counterparty under legally enforceable master netting agreements. Such amounts are recorded “net” in “other assets”, with receivables for net cash collateral under such contracts of $5,950 as of June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2019 and 2018,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6,236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(6,484)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(20,354)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(1,976)</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(9,633)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7,525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2019 and December 31, 2018,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188,736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206,456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8"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21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condensed consolidated statements of operations for the three month and six month periods ended June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r>
      <w:tr>
        <w:trPr>
          <w:trHeight w:val="237"/>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18,910</w:t>
            </w:r>
          </w:p>
        </w:tc>
        <w:tc>
          <w:tcPr>
            <w:tcW w:w="3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38,900</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4,802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Pr>
          <w:p>
            <w:pPr>
              <w:spacing w:after="0"/>
              <w:rPr>
                <w:sz w:val="21"/>
                <w:szCs w:val="21"/>
                <w:color w:val="auto"/>
              </w:rPr>
            </w:pPr>
          </w:p>
        </w:tc>
      </w:tr>
      <w:tr>
        <w:trPr>
          <w:trHeight w:val="24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1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3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FF0FC"/>
          </w:tcPr>
          <w:p>
            <w:pPr>
              <w:spacing w:after="0"/>
              <w:rPr>
                <w:sz w:val="21"/>
                <w:szCs w:val="21"/>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44,489</w:t>
            </w:r>
          </w:p>
        </w:tc>
        <w:tc>
          <w:tcPr>
            <w:tcW w:w="12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summarizes the supplemental cash flow information and certain other information related to operating leases for the six month period ended June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39,759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504,706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Maturities of the operating lease liabilities outstanding at June 30, 2019 for each of the years in the period ending December 31, 2024 and thereafter are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5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(July 1 through December 31)</w:t>
            </w:r>
          </w:p>
        </w:tc>
        <w:tc>
          <w:tcPr>
            <w:tcW w:w="592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24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40" w:type="dxa"/>
            <w:vAlign w:val="bottom"/>
            <w:shd w:val="clear" w:color="auto" w:fill="CFF0FC"/>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4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40" w:type="dxa"/>
            <w:vAlign w:val="bottom"/>
            <w:shd w:val="clear" w:color="auto" w:fill="CFF0FC"/>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2024</w:t>
            </w:r>
          </w:p>
        </w:tc>
        <w:tc>
          <w:tcPr>
            <w:tcW w:w="24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5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5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Discount</w:t>
            </w:r>
          </w:p>
        </w:tc>
        <w:tc>
          <w:tcPr>
            <w:tcW w:w="5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514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40" w:type="dxa"/>
            <w:vAlign w:val="bottom"/>
            <w:vMerge w:val="restart"/>
          </w:tcPr>
          <w:p>
            <w:pPr>
              <w:jc w:val="right"/>
              <w:ind w:right="3350"/>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340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4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24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4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852,409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2018, the Company entered into a lease agreement for additional office facilities, which are currently under construction. The lease is expected to commence in the third quarter of 2019 when the facilities are delivered to the Company. The Company will recognize the related operating lease right-of-use assets and the operating lease liability on the lease commencement date. Operating lease commitments in the December 2018 table above include the impact of the new lease agreement.</w:t>
      </w:r>
    </w:p>
    <w:p>
      <w:pPr>
        <w:spacing w:after="0" w:line="37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2019 and December 31, 2018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371,536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w:t>
            </w:r>
          </w:p>
        </w:tc>
        <w:tc>
          <w:tcPr>
            <w:tcW w:w="15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374,436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At June 30, 2019 and December 31, 2018, goodwill of $306,995 and $307,020,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2019 and 2018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(8,028)</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2019 and 2018 are attributable to the Company’s Financial Advisory segment.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2019 and December 31, 2018,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six month periods ended June 30, 2019 was $431 and $862, respectively, and for the three month and six month periods ended June 30, 2018 was $863 and $1,696,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2"/>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2019 (July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397,348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296,982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491,677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492,124</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1,678,131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5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12" w:lineRule="exact"/>
        <w:rPr>
          <w:rFonts w:ascii="Arial" w:cs="Arial" w:eastAsia="Arial" w:hAnsi="Arial"/>
          <w:sz w:val="18"/>
          <w:szCs w:val="18"/>
          <w:color w:val="auto"/>
        </w:rPr>
      </w:pPr>
    </w:p>
    <w:p>
      <w:pPr>
        <w:ind w:left="380" w:right="22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2019 and December 31, 2018, no amounts were outstanding under the Amended and Restated Credit Agreement.</w:t>
      </w:r>
    </w:p>
    <w:p>
      <w:pPr>
        <w:spacing w:after="0" w:line="193"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2019, the Company was in compliance with such provisions. All of the Company’s senior debt obligations are unsecured.</w:t>
      </w:r>
    </w:p>
    <w:p>
      <w:pPr>
        <w:spacing w:after="0" w:line="14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June 30, 2019, the Company had approximately $168,000 in unused lines of credit available to it, including the credit facility provided under the Amended and Restated Credit Agreement and unused lines of credit available to LFB of approximately $17,000.</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Company’s senior debt at June 30, 2019 and December 31, 2018 is carried at historical amounts of $1,678,131 and $1,434,260, respectively. At those dates, the fair value of such senior debt was approximately $1,782,000 and $1,429,000,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2019, LFB had $3,469 of such indemnifications and held $3,469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b w:val="1"/>
          <w:bCs w:val="1"/>
          <w:i w:val="1"/>
          <w:iCs w:val="1"/>
          <w:color w:val="auto"/>
        </w:rPr>
        <w:t>Business Acquisitions</w:t>
      </w:r>
      <w:r>
        <w:rPr>
          <w:rFonts w:ascii="Arial" w:cs="Arial" w:eastAsia="Arial" w:hAnsi="Arial"/>
          <w:sz w:val="16"/>
          <w:szCs w:val="16"/>
          <w:color w:val="auto"/>
        </w:rPr>
        <w:t>—For businesses acquired in 2016, the remaining consideration consists of (i) 40,524 shares of Class A common stock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non-compete provisions and employment conditions, and non-contingent interests exchangeable into 202,984 shares of Class A common stock, and (ii) up to 499,793 additional shares of Class A common stock that are subject to certain performance thresholds, as well as applicable related dividend equivalent amounts. During the six month period ended June 30, 2019, 368,635 of the contingent shares were earned, including dividend equivalent amounts.</w:t>
      </w:r>
    </w:p>
    <w:p>
      <w:pPr>
        <w:spacing w:after="0" w:line="154"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2019, LFB and LFNY had no such underwriting commitments.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2019 and since 2017,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5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4,147,526</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2019</w:t>
            </w:r>
          </w:p>
        </w:tc>
        <w:tc>
          <w:tcPr>
            <w:tcW w:w="4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9,715,003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the six month periods ended June 30,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six month period ended June 30, 2018, the Company purchased shares of Class A common stock from certain of our executive officers. The aggregate value of all such purchases during the six month periods ended June 30, 2019 and 2018 was approximately $14,600 and $16,400, respectively. Such shares of Class A common stock are reported at cost.</w:t>
      </w:r>
    </w:p>
    <w:p>
      <w:pPr>
        <w:spacing w:after="0" w:line="16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June 30, 2019, a total of $243,800 of share repurchase authorization remained available under the Company’s share repurchase program, all of which will expire on December 31, 2020.</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2019,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June 30, 2019 and December 31, 2018, no shares of Series A or Series B preferred stock were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and activity during the three month and six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(142,502</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(268,859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(4,241)</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(133,410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(138,577</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(271,987</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(271,984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(130,137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(133,410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(138,577</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(271,987</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(271,984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(152,936</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(219,125</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(43,453)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(35,153)</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(109,642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(143,859</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(253,501</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3"/>
          </w:tcPr>
          <w:p>
            <w:pPr>
              <w:jc w:val="center"/>
              <w:ind w:right="680"/>
              <w:spacing w:after="0"/>
              <w:rPr>
                <w:sz w:val="20"/>
                <w:szCs w:val="20"/>
                <w:color w:val="auto"/>
              </w:rPr>
            </w:pPr>
            <w:r>
              <w:rPr>
                <w:rFonts w:ascii="Arial" w:cs="Arial" w:eastAsia="Arial" w:hAnsi="Arial"/>
                <w:sz w:val="14"/>
                <w:szCs w:val="14"/>
                <w:b w:val="1"/>
                <w:bCs w:val="1"/>
                <w:color w:val="auto"/>
                <w:w w:val="93"/>
              </w:rPr>
              <w:t>Six Months Ended June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(83,535)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(148,984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(232,519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(26,107)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3,286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(22,821)</w:t>
            </w: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1,839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(26,107)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5,125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(20,982)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(109,642</w:t>
            </w: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(143,859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(253,501</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6"/>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2019 and 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1,245</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1,113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(ii) profits interest participation rights (see Note 14) and (iii) consolidated VIE interests held by employees (see Note 21).</w:t>
      </w:r>
    </w:p>
    <w:p>
      <w:pPr>
        <w:spacing w:after="0" w:line="18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2019 and 2018 and noncontrolling interests as of June 30, 2019 and December 31, 2018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2"/>
              </w:rPr>
              <w:t>Net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4"/>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Interests</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80" w:type="dxa"/>
            <w:vAlign w:val="bottom"/>
            <w:gridSpan w:val="6"/>
          </w:tcPr>
          <w:p>
            <w:pPr>
              <w:ind w:left="600"/>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240" w:type="dxa"/>
            <w:vAlign w:val="bottom"/>
            <w:gridSpan w:val="4"/>
          </w:tcPr>
          <w:p>
            <w:pPr>
              <w:jc w:val="right"/>
              <w:ind w:right="634"/>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FF0FC"/>
            </w:tcBorders>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7,501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7,736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60" w:type="dxa"/>
            <w:vAlign w:val="bottom"/>
            <w:gridSpan w:val="6"/>
          </w:tcPr>
          <w:p>
            <w:pPr>
              <w:ind w:left="800"/>
              <w:spacing w:after="0"/>
              <w:rPr>
                <w:sz w:val="20"/>
                <w:szCs w:val="20"/>
                <w:color w:val="auto"/>
              </w:rPr>
            </w:pPr>
            <w:r>
              <w:rPr>
                <w:rFonts w:ascii="Arial" w:cs="Arial" w:eastAsia="Arial" w:hAnsi="Arial"/>
                <w:sz w:val="14"/>
                <w:szCs w:val="14"/>
                <w:b w:val="1"/>
                <w:bCs w:val="1"/>
                <w:color w:val="auto"/>
              </w:rPr>
              <w:t>Noncontrolling Interests as of</w:t>
            </w:r>
          </w:p>
        </w:tc>
      </w:tr>
      <w:tr>
        <w:trPr>
          <w:trHeight w:val="146"/>
        </w:trPr>
        <w:tc>
          <w:tcPr>
            <w:tcW w:w="5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5180" w:type="dxa"/>
            <w:vAlign w:val="bottom"/>
          </w:tcPr>
          <w:p>
            <w:pPr>
              <w:spacing w:after="0"/>
              <w:rPr>
                <w:sz w:val="14"/>
                <w:szCs w:val="14"/>
                <w:color w:val="auto"/>
              </w:rPr>
            </w:pPr>
          </w:p>
        </w:tc>
        <w:tc>
          <w:tcPr>
            <w:tcW w:w="37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26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52,111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Profits interest participation rights</w:t>
            </w:r>
          </w:p>
        </w:tc>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35,254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Consolidated VIEs</w:t>
            </w:r>
          </w:p>
        </w:tc>
        <w:tc>
          <w:tcPr>
            <w:tcW w:w="2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11,698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99,076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July 24, 2019</w:t>
      </w:r>
      <w:r>
        <w:rPr>
          <w:rFonts w:ascii="Arial" w:cs="Arial" w:eastAsia="Arial" w:hAnsi="Arial"/>
          <w:sz w:val="18"/>
          <w:szCs w:val="18"/>
          <w:color w:val="auto"/>
        </w:rPr>
        <w:t>—On July 24, 2019, the Board of Directors of Lazard declared a quarterly dividend of $0.47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The dividend is payable on August 16, 2019, to stockholders of record on August 5, 2019.</w:t>
      </w:r>
    </w:p>
    <w:p>
      <w:pPr>
        <w:spacing w:after="0" w:line="360"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six month periods ended June 30, 2019 and 2018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4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66"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and six month periods ended June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RSUs</w:t>
            </w:r>
          </w:p>
        </w:tc>
        <w:tc>
          <w:tcPr>
            <w:tcW w:w="2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103,391</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76,402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87,010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161,083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jc w:val="both"/>
        <w:ind w:right="260" w:firstLine="518"/>
        <w:spacing w:after="0" w:line="30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 ended June 30, 2019, dividend participation rights required the issuance of 566,194 RSUs and the associated charge to “retained earnings”, net of estimated forfeitures (with corresponding credits to “additional paid-in-capital”) was $20,142.</w:t>
      </w:r>
    </w:p>
    <w:p>
      <w:pPr>
        <w:spacing w:after="0" w:line="21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Non-executive members of the Board of Directors (“Non-Executive Directors”) receive approximately 55% of their annual compensation for service on the Board of Directors and its committees in the form of DSUs, which resulted in 51,192 DSUs granted during the six month period ended June 30,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7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 ended June 30, 2019, 10,257 DSUs had been granted pursuant to such Plan.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 ended June 30,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566,194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5,564,865</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(368,195)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(5,795,423)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10,763,553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384,995</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connection with RSUs that settled during the six month period ended June 30, 2019, the Company satisfied its minimum statutory tax withholding requirements in lieu of delivering 2,023,986 shares of Class A common stock during such six month period. Accordingly, 3,771,437 shares of Class A common stock held by the Company were delivered during the six month period ended June 30,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June 30, 2019, estimated unrecognized RSU compensation expense was $195,263, with such expense expected to be recognized over a weighted average period of approximately 0.9 years subsequent to June 30, 2019.</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 ended June 30,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(194,097)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(1,159,850)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1,226,847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In connection with shares of restricted Class A common stock that settled during the six month period ended June 30, 2019, the Company satisfied its minimum statutory tax withholding requirements in lieu of delivering 370,777 shares of Class A common stock during such six month period. Accordingly, 789,073 shares of Class A common stock held by the Company were delivered during the six month period ended June 30, 2019.</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2019, estimated unrecognized restricted stock expense was $28,337, with such expense to be recognized over a weighted average period of approximately 1.0 years subsequent to June 30, 2019.</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 ended June 30,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3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Settled</w:t>
            </w:r>
          </w:p>
        </w:tc>
        <w:tc>
          <w:tcPr>
            <w:tcW w:w="4500" w:type="dxa"/>
            <w:vAlign w:val="bottom"/>
            <w:gridSpan w:val="3"/>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31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20" w:type="dxa"/>
            <w:vAlign w:val="bottom"/>
            <w:vMerge w:val="restart"/>
          </w:tcPr>
          <w:p>
            <w:pPr>
              <w:jc w:val="right"/>
              <w:ind w:right="1530"/>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In connection with certain PRSUs that settled during the six month period ended June 30, 2019, the Company satisfied its minimum statutory tax withholding requirements in lieu of delivering 203,036 shares of Class A common stock during such six month period. Accordingly, 968,045 shares of Class A common stock held by the Company were delivered during the six month period ended June 30, 2019.</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2019, the total estimated unrecognized compensation expense was $4,249, and the Company expects to amortize such expense over a weighted-average period of approximately 0.7 years subsequent to June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Profits interest participation rights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Class A common stock, at which time there is a reclassification to additional paid-in-capital. The profits interest participation rights generally allow the recipient to realize value only to the extent that both (i) the service-based vesting conditions and, if applicable, the performance conditions, are satisfied, and (ii) an amount of economic appreciation in the assets of Lazard Group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82"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will be subject to continued employment and other conditions and restrictions and will be forfeited if those conditions and restrictions are not fulfilled. More specifically, vesting of profits interest participation rights will be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the Company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profits interest participation rights, including PRPUs, during the six month period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Table includes the target number of PRPUs assuming the achievement of applicable performance conditions at the target level.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June 30, 2019, the total estimated unrecognized compensation expense was $20,652, and the Company expects to amortize such expense over a weighted-average period of approximately 1.3 years subsequent to June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six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101,340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(82,990)</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(59,283)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2019</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years subsequent to June 30, 2019.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7" w:name="page38"/>
    <w:bookmarkEnd w:id="3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2019 and 2018:</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20,354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(1,935)</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six month periods ended June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3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406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return on plan assets</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(6,873)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500"/>
              <w:spacing w:after="0"/>
              <w:rPr>
                <w:sz w:val="20"/>
                <w:szCs w:val="20"/>
                <w:color w:val="auto"/>
              </w:rPr>
            </w:pPr>
            <w:r>
              <w:rPr>
                <w:rFonts w:ascii="Arial" w:cs="Arial" w:eastAsia="Arial" w:hAnsi="Arial"/>
                <w:sz w:val="18"/>
                <w:szCs w:val="18"/>
                <w:color w:val="auto"/>
              </w:rPr>
              <w:t>Net actuarial loss (gain)</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loss</w:t>
            </w:r>
          </w:p>
        </w:tc>
        <w:tc>
          <w:tcPr>
            <w:tcW w:w="3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310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2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60" w:type="dxa"/>
            <w:vAlign w:val="bottom"/>
          </w:tcPr>
          <w:p>
            <w:pPr>
              <w:spacing w:after="0"/>
              <w:rPr>
                <w:sz w:val="4"/>
                <w:szCs w:val="4"/>
                <w:color w:val="auto"/>
              </w:rPr>
            </w:pPr>
          </w:p>
        </w:tc>
        <w:tc>
          <w:tcPr>
            <w:tcW w:w="40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3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40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(13,899)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(15,366)</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3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3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100" w:type="dxa"/>
            <w:vAlign w:val="bottom"/>
            <w:vMerge w:val="restart"/>
          </w:tcPr>
          <w:p>
            <w:pPr>
              <w:jc w:val="right"/>
              <w:ind w:right="1970"/>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The Company recorded income tax provisions of $28,172 and $51,359 for the three month and six month periods ended June 30, 2019, respectively, and $51,561 and $75,728 for the three month and six month periods ended June 30, 2018, respectively, representing effective tax rates of 27.7%, 23.2%,</w:t>
      </w:r>
    </w:p>
    <w:p>
      <w:pPr>
        <w:ind w:right="120"/>
        <w:spacing w:after="0" w:line="253" w:lineRule="auto"/>
        <w:rPr>
          <w:sz w:val="20"/>
          <w:szCs w:val="20"/>
          <w:color w:val="auto"/>
        </w:rPr>
      </w:pPr>
      <w:r>
        <w:rPr>
          <w:rFonts w:ascii="Arial" w:cs="Arial" w:eastAsia="Arial" w:hAnsi="Arial"/>
          <w:sz w:val="18"/>
          <w:szCs w:val="18"/>
          <w:color w:val="auto"/>
        </w:rPr>
        <w:t>25.8% and 19.6%, respectively. The difference between the U.S. federal statutory rate of 21.0% and the effective tax rates reflected above principally relates to (i) excess net tax benefit for share-based incentive compensation, (ii) foreign source income (loss) not subject to U.S. income taxes (including interest on intercompany financings), (iii) taxes payable to foreign jurisdictions that are not offset against U.S. income taxes, (iv) change in the U.S. federal valuation allowance affecting the provision for income taxes, (v) U.S. state and local taxes, which are incremental to the U.S. federal statutory tax rate, and (vi) impact of U.S. tax reform, including base erosion and anti-abuse tax.</w:t>
      </w:r>
    </w:p>
    <w:p>
      <w:pPr>
        <w:spacing w:after="0" w:line="380"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Company issued certain profits interest participation rights, including certain PRPUs, that the Company is required under U.S. GAAP to treat as participating securities and therefore the Company is required to utilize the “two-class” method of computing basic and diluted net income per share.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basic and diluted net income per share calculations using the “two-class” method for the three month and six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using the “treasury stock” method for the three month and six month periods ended June 30, 2018 are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00" w:type="dxa"/>
            <w:vAlign w:val="bottom"/>
            <w:gridSpan w:val="6"/>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162,819</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64,173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161,215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securities</w:t>
            </w:r>
          </w:p>
        </w:tc>
        <w:tc>
          <w:tcPr>
            <w:tcW w:w="9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diluted</w:t>
            </w: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64,178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161,220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Class A common</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stock outstanding</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110,076,582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120,049,627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110,847,112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119,872,688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Add - adjustment for shares of 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issuable on a non-contingent basis</w:t>
            </w:r>
          </w:p>
        </w:tc>
        <w:tc>
          <w:tcPr>
            <w:tcW w:w="9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1,904,622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256,630</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1,115,617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Weighted average number of shares of Class A common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stock outstanding - basic</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111,981,204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120,306,257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111,962,729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120,118,182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Add - dilutive effect, as applicable, of:</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common stock issuable from share-based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incentive compensation</w:t>
            </w:r>
          </w:p>
        </w:tc>
        <w:tc>
          <w:tcPr>
            <w:tcW w:w="9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4,194,145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9,942,797</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6,534,988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11,077,543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9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116,175,349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130,249,054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118,497,717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131,195,725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per share of Class</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A common stock:</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0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$153,198 and $297,368 for the three month and six month periods ended June 30, 2019, respectively, and $170,680 and $351,990 for the three month and six month periods ended June 30, 2018, respectively, and are included in “asset management fees” on the condensed consolidated statements of operations. Of such amounts, $56,696 and $59,304 remained as receivables at June 30, 2019 and December 31, 2018, respectively, and are included in “fees receivable” on the condensed consolidated statements of financial condition.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6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40" w:firstLine="8"/>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as of June 30, 2019 and December 31, 2018 was $246,953 and $270,640, respectively, and is recorded in “tax receivable agreement obligation” on the condensed consolidated statements of financial condition. The balance at June 30, 2019 reflects a payment made under the Amended and Restated Tax Receivable Agreement in the six months ended June 30, 2019 of $23,687.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six month period ended June 30, 2019, the Company recognized approximately $3,000 of investment banking and other advisory fees pertaining to financial advisory services provided to a company of which a member of the Company’s Board of Directors served as Chairman and CEO. The engagement terms were negotiated in the ordinary course of business on an arms-length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2019, LFNY’s regulatory net capital was $90,760, which exceeded the minimum requirement by $87,343. LFNY’s aggregate indebtedness to net capital ratio was 0.56:1 as of June 30, 2019.</w:t>
      </w:r>
    </w:p>
    <w:p>
      <w:pPr>
        <w:spacing w:after="0" w:line="193"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2019, the aggregate regulatory net capital of the U.K. Subsidiaries was $167,610, which exceeded the minimum requirement by $151,085.</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June 30, 2019, the consolidated regulatory net capital of CFLF was $168,669, which exceeded the minimum requirement set for regulatory capital levels by $111,947.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2019, the regulatory net capital of the combined European regulated group was $157,090, which exceeded the minimum requirement set for regulatory capital levels by $53,516.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2019, for those subsidiaries with regulatory capital requirements, their aggregate net capital was $163,269, which exceeded the minimum required capital by $135,064.</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2019, each of these subsidiaries individually was in compliance with its regulatory capital requirements.</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2019 and 2018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422,089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667,982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276,238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318,177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556,499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642,873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53,374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103,912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111,483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315,591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352,588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617,424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229,561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426,369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123,027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191,055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10,260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70,148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(81,190)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630,690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757,938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1,274,364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1,512,636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529,005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557,998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1,053,016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221,348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981,571</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702,530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3,823,372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3,409,715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5,507,473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consolidated VIEs as of June 30,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June 30, 2019: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Customers and other receivables</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(a)</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89,762</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FF0FC"/>
            </w:tcBorders>
          </w:tcPr>
          <w:p>
            <w:pPr>
              <w:spacing w:after="0"/>
              <w:rPr>
                <w:sz w:val="21"/>
                <w:szCs w:val="21"/>
                <w:color w:val="auto"/>
              </w:rPr>
            </w:pPr>
          </w:p>
        </w:tc>
      </w:tr>
      <w:tr>
        <w:trPr>
          <w:trHeight w:val="237"/>
        </w:trPr>
        <w:tc>
          <w:tcPr>
            <w:tcW w:w="94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Deposits and other customer payables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7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$81,999 of LFI held by Lazard Group which is eliminated in the condensed consolidated statements of financial condition.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“second quarter,” “first half” or “the period” refer to, as the context requires, the three month and six month periods ended June 30, 2019 and June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4" w:name="page45"/>
    <w:bookmarkEnd w:id="44"/>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180" w:hanging="379"/>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The U.S. economic expansion continues. The European economy’s growth rate remains low. Emerging markets as a group have experienced growth but also significant volatility. Global borrowing costs remain 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60" w:right="80" w:hanging="374"/>
        <w:spacing w:after="0" w:line="273"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We believe our Financial Advisory business is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83" w:lineRule="exact"/>
        <w:rPr>
          <w:rFonts w:ascii="Arial" w:cs="Arial" w:eastAsia="Arial" w:hAnsi="Arial"/>
          <w:sz w:val="17"/>
          <w:szCs w:val="17"/>
          <w:color w:val="auto"/>
        </w:rPr>
      </w:pPr>
    </w:p>
    <w:p>
      <w:pPr>
        <w:ind w:left="760" w:hanging="374"/>
        <w:spacing w:after="0" w:line="253"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from defined benefit and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an International Value strategy, a Global Equity Franchise strategy, a U.S. Systematic Equity strategy, and a Market Neutral Quantitative Equity strategy.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half of 2019 as compared to 2018. With respect to announced M&amp;A transactions, the value and number of all transactions, including the subset of announced transactions involving values greater than $500 million, decreased in the first half of 2019 as compared to 2018.</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9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1"/>
                <w:szCs w:val="11"/>
                <w:color w:val="auto"/>
              </w:rPr>
            </w:pPr>
          </w:p>
        </w:tc>
        <w:tc>
          <w:tcPr>
            <w:tcW w:w="86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1,109</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2,054</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7,645</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9,170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15,735</w:t>
            </w:r>
          </w:p>
        </w:tc>
        <w:tc>
          <w:tcPr>
            <w:tcW w:w="30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18,757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891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1,617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640</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1,172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2,359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8,160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9,291</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16,449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18,881</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950</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1,918</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705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4, 2019.</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2019, as measured by the number of corporate defaults, remained unchanged as compared to the first half of 2018. The number of defaulting issuers was 46 in both the first half of 2019 and the first half of 2018 according to Moody’s Investors Service, Inc.</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Equity market indices for major markets at June 30, 2019 generally increased as compared to such indices at December 31, 2018 and June 30, 2018. The percentage change in major equity market indices at June 30, 2019, as compared to such indices at March 31, 2019, December 31, 2018, and at June 30, 2018, is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Percentage Changes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June 30, 2019 vs.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90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9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8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69% of Lazard’s consolidated total assets as of June 30,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2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60" w:hanging="386"/>
        <w:spacing w:after="0" w:line="312" w:lineRule="auto"/>
        <w:tabs>
          <w:tab w:leader="none" w:pos="14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left="1420" w:right="480" w:hanging="386"/>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non-compensation expense included expenses related to the redemption of the Company’s 4.25% senior notes due 2020 (the “2020 Notes”).</w:t>
      </w:r>
    </w:p>
    <w:p>
      <w:pPr>
        <w:spacing w:after="0" w:line="173"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740" w:firstLine="518"/>
        <w:spacing w:after="0" w:line="308" w:lineRule="auto"/>
        <w:rPr>
          <w:sz w:val="20"/>
          <w:szCs w:val="20"/>
          <w:color w:val="auto"/>
        </w:rPr>
      </w:pPr>
      <w:r>
        <w:rPr>
          <w:rFonts w:ascii="Arial" w:cs="Arial" w:eastAsia="Arial" w:hAnsi="Arial"/>
          <w:sz w:val="17"/>
          <w:szCs w:val="17"/>
          <w:color w:val="auto"/>
        </w:rPr>
        <w:t>See “Critical Accounting Policies and Estimates—Income Taxes” below and Notes 16 and 18 of Notes to Condensed Consolidated Financial Statements for additional information regarding income taxes, our deferred tax assets and the tax receivable agreement obligation.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profits interest participation rights and consolidated VIE interests held by employees. See Notes 13 and 21 of Notes to Condensed Consolidated Financial Statements for information regarding the Company’s noncontrolling interests and consolidated VIEs.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6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six month periods ended June 30,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630,690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757,938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1,274,364</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1,512,636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372,470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416,159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744,724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151,493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299,780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313,279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(8,483)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529,005</w:t>
            </w:r>
          </w:p>
        </w:tc>
        <w:tc>
          <w:tcPr>
            <w:tcW w:w="3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1,053,016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1,126,868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101,685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28,172</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169,989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65,777</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162,819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630,690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757,938</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1,274,364</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1,512,636</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25,137</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bad debt 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(13,357)</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(24,718)</w:t>
            </w: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(37,689)</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(64,232)</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(11,819)</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(5,622)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(10,839)</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(6,484)</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629,700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740,702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1,249,690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58"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22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372,470</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416,159</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744,724</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821,206</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(5,873)</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(20,354)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362,078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413,312</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718,572</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817,268</w:t>
            </w:r>
          </w:p>
        </w:tc>
        <w:tc>
          <w:tcPr>
            <w:tcW w:w="180" w:type="dxa"/>
            <w:vAlign w:val="bottom"/>
            <w:tcBorders>
              <w:bottom w:val="single" w:sz="8" w:color="CFF0FC"/>
            </w:tcBorders>
          </w:tcPr>
          <w:p>
            <w:pPr>
              <w:spacing w:after="0"/>
              <w:rPr>
                <w:sz w:val="22"/>
                <w:szCs w:val="22"/>
                <w:color w:val="auto"/>
              </w:rPr>
            </w:pPr>
          </w:p>
        </w:tc>
      </w:tr>
      <w:tr>
        <w:trPr>
          <w:trHeight w:val="196"/>
        </w:trPr>
        <w:tc>
          <w:tcPr>
            <w:tcW w:w="57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 a % of operating</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55.8%</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23"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151,493</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150,322</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299,780</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313,279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(7,626)</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(10,831)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bad debt 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(13,357)</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(24,718)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(37,689)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(64,232)</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(2,262)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128,014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22"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42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2019, represents charges pertaining to the redemption of the Company’s 2020 Notes due to the non-operating nature of such transaction. See “— Liquidity and Capital Resources—Financing Activities” below.</w:t>
      </w:r>
    </w:p>
    <w:p>
      <w:pPr>
        <w:ind w:left="380" w:hanging="372"/>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629,700</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740,702</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1,249,690</w:t>
            </w:r>
          </w:p>
        </w:tc>
        <w:tc>
          <w:tcPr>
            <w:tcW w:w="240" w:type="dxa"/>
            <w:vAlign w:val="bottom"/>
          </w:tcPr>
          <w:p>
            <w:pPr>
              <w:spacing w:after="0"/>
              <w:rPr>
                <w:sz w:val="19"/>
                <w:szCs w:val="19"/>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1,464,637</w:t>
            </w:r>
          </w:p>
        </w:tc>
        <w:tc>
          <w:tcPr>
            <w:tcW w:w="1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(362,078)</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(413,312)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(718,572)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(817,268)</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(128,014)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(118,481)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(243,751)</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(232,562)</w:t>
            </w: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139,608</w:t>
            </w:r>
          </w:p>
        </w:tc>
        <w:tc>
          <w:tcPr>
            <w:tcW w:w="3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208,909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287,367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414,807</w:t>
            </w:r>
          </w:p>
        </w:tc>
        <w:tc>
          <w:tcPr>
            <w:tcW w:w="18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w:t>
            </w: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Headcount information is set forth below:</w:t>
      </w:r>
    </w:p>
    <w:p>
      <w:pPr>
        <w:spacing w:after="0" w:line="29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780" w:type="dxa"/>
            <w:vAlign w:val="bottom"/>
          </w:tcPr>
          <w:p>
            <w:pPr>
              <w:spacing w:after="0"/>
              <w:rPr>
                <w:sz w:val="11"/>
                <w:szCs w:val="11"/>
                <w:color w:val="auto"/>
              </w:rPr>
            </w:pPr>
          </w:p>
        </w:tc>
        <w:tc>
          <w:tcPr>
            <w:tcW w:w="920" w:type="dxa"/>
            <w:vAlign w:val="bottom"/>
            <w:tcBorders>
              <w:top w:val="single" w:sz="8" w:color="auto"/>
            </w:tcBorders>
          </w:tcPr>
          <w:p>
            <w:pPr>
              <w:ind w:left="420"/>
              <w:spacing w:after="0" w:line="133"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ind w:left="240"/>
              <w:spacing w:after="0" w:line="133" w:lineRule="exact"/>
              <w:rPr>
                <w:sz w:val="20"/>
                <w:szCs w:val="20"/>
                <w:color w:val="auto"/>
              </w:rPr>
            </w:pPr>
            <w:r>
              <w:rPr>
                <w:rFonts w:ascii="Arial" w:cs="Arial" w:eastAsia="Arial" w:hAnsi="Arial"/>
                <w:sz w:val="14"/>
                <w:szCs w:val="14"/>
                <w:b w:val="1"/>
                <w:bCs w:val="1"/>
                <w:color w:val="auto"/>
              </w:rPr>
              <w:t>December 31,</w:t>
            </w:r>
          </w:p>
        </w:tc>
        <w:tc>
          <w:tcPr>
            <w:tcW w:w="1340" w:type="dxa"/>
            <w:vAlign w:val="bottom"/>
            <w:tcBorders>
              <w:top w:val="single" w:sz="8" w:color="auto"/>
            </w:tcBorders>
          </w:tcPr>
          <w:p>
            <w:pPr>
              <w:jc w:val="right"/>
              <w:ind w:right="334"/>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r>
      <w:tr>
        <w:trPr>
          <w:trHeight w:val="171"/>
        </w:trPr>
        <w:tc>
          <w:tcPr>
            <w:tcW w:w="7700" w:type="dxa"/>
            <w:vAlign w:val="bottom"/>
            <w:gridSpan w:val="2"/>
          </w:tcPr>
          <w:p>
            <w:pPr>
              <w:ind w:left="730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1,364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1,012</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reported net income attributable to Lazard Ltd of $66 million, as compared to net income attributable to Lazard Ltd of $147 million in the 2018 period.</w:t>
      </w:r>
    </w:p>
    <w:p>
      <w:pPr>
        <w:spacing w:after="0" w:line="170"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Net revenue decreased $127 million, or 17%, with operating revenue decreasing $111 million, or 15%, as compared to the 2018 period. Fee revenue from investment banking and other advisory activities decreased $93 million, or 22%, as compared to the 2018 period. Asset management fees, including incentive fees, decreased $39 million, or 12%, as compared to the 2018 period, primarily due to a decrease in average AUM. In the aggregate, interest income, other revenue and interest expense increased $5 million, as compared to the 2018 period.</w:t>
      </w:r>
    </w:p>
    <w:p>
      <w:pPr>
        <w:spacing w:after="0" w:line="17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Compensation and benefits expense decreased $44 million, or 10%, as compared to the 2018 period, primarily associated with decreased operating revenue.</w:t>
      </w:r>
    </w:p>
    <w:p>
      <w:pPr>
        <w:spacing w:after="0" w:line="170"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$362 million, a decrease of $51 million, or 12%, as compared to $413 million in the 2018 period. The ratio of adjusted compensation and benefits expense to operating revenue was 57.5% for the 2019 period, as compared to 55.8% for the 2018 period.</w:t>
      </w:r>
    </w:p>
    <w:p>
      <w:pPr>
        <w:spacing w:after="0" w:line="166"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Non-compensation expense increased $1 million, or 1%, as compared to the 2018 period. Adjusted non-compensation expense increased $10 million, or 8%, as compared to the 2018 period mainly reflecting investments in our technology infrastructure. The ratio of adjusted non-compensation expense to operating revenue was 20.3% for the 2019 period, as compared to 16.0% for the 2018 period.</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$5 million in the 2019 period as compared to a benefit of $8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$98 million, or 49%, as compared to the 2018 period.</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Earnings from operations decreased $69 million, or 33%, as compared to the 2018 period, and, as a percentage of operating revenue, was 22.2%, as compared to 28.2% in the 2018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3" w:name="page54"/>
    <w:bookmarkEnd w:id="53"/>
    <w:p>
      <w:pPr>
        <w:jc w:val="both"/>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27.7%, as compared to 25.8% for the 2018 period. The increase in the effective tax rate is primarily due to a reduction in excess net tax benefits related to share-based incentive compensation and the impact of U.S. tax reform primarily related to base erosion and anti-abuse tax, partially offset by a change in the geographic mix of earnings.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$6 million as compared to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jc w:val="both"/>
        <w:ind w:right="60" w:firstLine="518"/>
        <w:spacing w:after="0" w:line="277" w:lineRule="auto"/>
        <w:rPr>
          <w:sz w:val="20"/>
          <w:szCs w:val="20"/>
          <w:color w:val="auto"/>
        </w:rPr>
      </w:pPr>
      <w:r>
        <w:rPr>
          <w:rFonts w:ascii="Arial" w:cs="Arial" w:eastAsia="Arial" w:hAnsi="Arial"/>
          <w:sz w:val="18"/>
          <w:szCs w:val="18"/>
          <w:color w:val="auto"/>
        </w:rPr>
        <w:t>The Company reported net income attributable to Lazard Ltd of $163 million, as compared to net income attributable to Lazard Ltd of $307 million in the 2018 period.</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Net revenue decreased $238 million, or 16%, with operating revenue decreasing $215 million, or 15%, as compared to the 2018 period. Fee revenue from investment banking and other advisory activities decreased $165 million, or 20%, as compared to the 2018 period. Asset management fees, including incentive fees, decreased $85 million, or 13%, as compared to the 2018 period, primarily due to a decrease in average AUM. In the aggregate, interest income, other revenue and interest expense increased $12 million, as compared to the 2018 period, primarily due to higher income attributable to investments held in connection with LFI.</w:t>
      </w:r>
    </w:p>
    <w:p>
      <w:pPr>
        <w:spacing w:after="0" w:line="18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Compensation and benefits expense decreased $76 million, or 9%, as compared to the 2018 period, primarily associated with decreased operating revenue.</w:t>
      </w:r>
    </w:p>
    <w:p>
      <w:pPr>
        <w:spacing w:after="0" w:line="170"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$719 million, a decrease of $99 million, or 12%, as compared to $817 million in the 2018 period. The ratio of adjusted compensation and benefits expense to operating revenue was 57.5% for the 2019 period, as compared to 55.8% for the 2018 period.</w:t>
      </w:r>
    </w:p>
    <w:p>
      <w:pPr>
        <w:spacing w:after="0" w:line="166"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Non-compensation expense decreased $13 million, or 4%, as compared to the 2018 period, primarily due to higher bad debt expense in the 2018 period and lower fund administration fees in the 2019 period, partially offset by investments in our technology infrastructure in the 2019 period. Adjusted non-compensation expense increased $11 million, or 5%, as compared to the 2018 period. The ratio of adjusted non-compensation expense to operating revenue was 19.5% for the 2019 period, as compared to 15.9% in the 2018 period.</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$9 million in the 2019 period, as compared to a benefit of $8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$164 million, or 43%, as compared to the 2018 period.</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Earnings from operations decreased $127 million, or 31%, as compared to the 2018 period, and, as a percentage of operating revenue, was 23.0%, as compared to 28.3% in the 2018 period.</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23.2%, as compared to 19.6% for the 2018 period. The increase in the effective tax rate is primarily due to a reduction in excess net tax benefits related to share-based incentive compensation and the impact of U.S. tax reform primarily related to base erosion and anti-abuse tax.</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$4 million as compared to the 2018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0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firstLine="8"/>
        <w:spacing w:after="0" w:line="271" w:lineRule="auto"/>
        <w:tabs>
          <w:tab w:leader="none" w:pos="2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329,612</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422,089</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667,982</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831,210</w:t>
            </w:r>
          </w:p>
        </w:tc>
        <w:tc>
          <w:tcPr>
            <w:tcW w:w="180" w:type="dxa"/>
            <w:vAlign w:val="bottom"/>
            <w:shd w:val="clear" w:color="auto" w:fill="CFF0FC"/>
          </w:tcPr>
          <w:p>
            <w:pPr>
              <w:spacing w:after="0"/>
              <w:rPr>
                <w:sz w:val="21"/>
                <w:szCs w:val="2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276,238</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318,177</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556,499</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642,873</w:t>
            </w:r>
          </w:p>
        </w:tc>
        <w:tc>
          <w:tcPr>
            <w:tcW w:w="180" w:type="dxa"/>
            <w:vAlign w:val="bottom"/>
            <w:tcBorders>
              <w:bottom w:val="single" w:sz="8" w:color="CFF0FC"/>
            </w:tcBorders>
          </w:tcPr>
          <w:p>
            <w:pPr>
              <w:spacing w:after="0"/>
              <w:rPr>
                <w:sz w:val="19"/>
                <w:szCs w:val="19"/>
                <w:color w:val="auto"/>
              </w:rPr>
            </w:pPr>
          </w:p>
        </w:tc>
      </w:tr>
      <w:tr>
        <w:trPr>
          <w:trHeight w:val="237"/>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53,374</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103,912</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111,483</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188,337</w:t>
            </w:r>
          </w:p>
        </w:tc>
        <w:tc>
          <w:tcPr>
            <w:tcW w:w="180" w:type="dxa"/>
            <w:vAlign w:val="bottom"/>
            <w:shd w:val="clear" w:color="auto" w:fill="CFF0FC"/>
          </w:tcPr>
          <w:p>
            <w:pPr>
              <w:spacing w:after="0"/>
              <w:rPr>
                <w:sz w:val="20"/>
                <w:szCs w:val="20"/>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4"/>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16.2%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24.6%</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960" w:type="dxa"/>
            <w:vAlign w:val="bottom"/>
            <w:gridSpan w:val="9"/>
          </w:tcPr>
          <w:p>
            <w:pPr>
              <w:ind w:left="520"/>
              <w:spacing w:after="0"/>
              <w:rPr>
                <w:sz w:val="20"/>
                <w:szCs w:val="20"/>
                <w:color w:val="auto"/>
              </w:rPr>
            </w:pPr>
            <w:r>
              <w:rPr>
                <w:rFonts w:ascii="Arial" w:cs="Arial" w:eastAsia="Arial" w:hAnsi="Arial"/>
                <w:sz w:val="18"/>
                <w:szCs w:val="18"/>
                <w:color w:val="auto"/>
                <w:w w:val="93"/>
              </w:rPr>
              <w:t>Certain Lazard fee and transaction statistics for the Financial Advisory segment are set forth below:</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6"/>
        </w:trPr>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6"/>
          </w:tcPr>
          <w:p>
            <w:pPr>
              <w:jc w:val="center"/>
              <w:ind w:left="30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460" w:type="dxa"/>
            <w:vAlign w:val="bottom"/>
            <w:gridSpan w:val="5"/>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gridSpan w:val="4"/>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69</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88</w:t>
            </w:r>
          </w:p>
        </w:tc>
        <w:tc>
          <w:tcPr>
            <w:tcW w:w="2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r>
      <w:tr>
        <w:trPr>
          <w:trHeight w:val="215"/>
        </w:trPr>
        <w:tc>
          <w:tcPr>
            <w:tcW w:w="6500" w:type="dxa"/>
            <w:vAlign w:val="bottom"/>
            <w:gridSpan w:val="4"/>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00" w:type="dxa"/>
            <w:vAlign w:val="bottom"/>
            <w:gridSpan w:val="4"/>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3"/>
          </w:tcPr>
          <w:p>
            <w:pPr>
              <w:ind w:left="200"/>
              <w:spacing w:after="0"/>
              <w:rPr>
                <w:sz w:val="20"/>
                <w:szCs w:val="20"/>
                <w:color w:val="auto"/>
              </w:rPr>
            </w:pPr>
            <w:r>
              <w:rPr>
                <w:rFonts w:ascii="Arial" w:cs="Arial" w:eastAsia="Arial" w:hAnsi="Arial"/>
                <w:sz w:val="18"/>
                <w:szCs w:val="18"/>
                <w:color w:val="auto"/>
              </w:rPr>
              <w:t>33%</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5"/>
        </w:trPr>
        <w:tc>
          <w:tcPr>
            <w:tcW w:w="65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0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12</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20</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4, 2019.</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Advisory net revenue decreased $92 million, or 22%, as compared to the 2018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Operating expenses decreased $42 million, or 13%, as compared to the 2018 period, primarily due to a decrease in compensation and benefits expense associated with decreased operating revenue.</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Financial Advisory operating income was $53 million, a decrease of $51 million, or 49%, as compared to operating income of $104 million in the 2018 period and, as a percentage of net revenue, was 16.2%, as compared to 24.6%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Financial Advisory net revenue decreased $163 million, or 20%, as compared to the 2018 period. The decrease in Financial Advisory revenue was primarily a result of a decrease in the number of fees greater than $5 million, as compared to the 2018 period.</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Operating expenses decreased $86 million, or 13%, as compared to the 2018 period, primarily due to a decrease in compensation associated with decreased operating revenue.</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Financial Advisory operating income was $111 million, a decrease of $77 million, or 41%, as compared to operating income of $188 million in the 2018 period and, as a percentage of net revenue, was 16.7%, as compared to 22.7%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42,836</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237,466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Total AUM at June 30, 2019 was $237 billion, an increase of $22 billion, or 11%, as compared to total AUM of $215 billion at December 31, 2018, due to market appreciation, partially offset by net outflows and foreign exchange depreciation. Average AUM for the three month and six month periods ended June 30, 2019 decreased 3% and 7% as compared to the three month and six month periods ended June 30, 2018,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80" w:firstLine="518"/>
        <w:spacing w:after="0" w:line="279" w:lineRule="auto"/>
        <w:rPr>
          <w:sz w:val="20"/>
          <w:szCs w:val="20"/>
          <w:color w:val="auto"/>
        </w:rPr>
      </w:pPr>
      <w:r>
        <w:rPr>
          <w:rFonts w:ascii="Arial" w:cs="Arial" w:eastAsia="Arial" w:hAnsi="Arial"/>
          <w:sz w:val="17"/>
          <w:szCs w:val="17"/>
          <w:color w:val="auto"/>
        </w:rPr>
        <w:t>As of June 30,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June 30, 2019, approximately 14% of our AUM was managed on behalf of individual client relationships, which are principally with family offices and individuals, as compared to 12% as of December 31, 2018.</w:t>
      </w:r>
    </w:p>
    <w:p>
      <w:pPr>
        <w:spacing w:after="0" w:line="17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June 30, 2019, AUM with foreign currency exposure represented approximately 69% of our total AUM, as compared to approximately 70% as of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changes in AUM by asset class for the three month and six month periods ended June 30, 2019 and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(11,389)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(6,157)</w:t>
            </w: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6,393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6,902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80" w:hanging="374"/>
        <w:spacing w:after="0" w:line="259"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and Multi-Regional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(6,988)</w:t>
            </w: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25,957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27,990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60" w:right="20" w:hanging="374"/>
        <w:spacing w:after="0" w:line="25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Multi-Regional and Emerging Markets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2018</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(3,617)</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1"/>
              </w:rPr>
              <w:t>(1,102)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(20,453)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(3,302)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July 19, 2019, AUM was $237.4 billion, a $0.1 billion decrease since June 30, 2019. The decrease in AUM was due to foreign exchange depreciation of $0.9 billion and net outflows of $0.8 billion, partially offset by market appreciation of $1.6 billion.</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2019 and 2018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196,171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205,221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192,555</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209,777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232,740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315,591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617,424</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219,021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426,369</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96,570</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191,055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247,641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6560" w:type="dxa"/>
            <w:vAlign w:val="bottom"/>
            <w:gridSpan w:val="2"/>
          </w:tcPr>
          <w:p>
            <w:pPr>
              <w:ind w:left="562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Asset Management net revenue decreased $37 million, or 10%, as compared to the 2018 period. Management fees and other revenue was $311 million, a decrease of $30 million, or 9%, as compared to $341 million in the 2018 period, primarily due a decrease in average AUM. Incentive fees were $5 million, a decrease of $7 million as compared to $12 million in the 2018 period.</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decreased $11 million, or 5%, as compared to the 2018 period, primarily due to a decrease in compensation and benefits expense associated with decreased operating revenue, as well as lower fund administration fees.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Asset Management operating income was $97 million, a decrease of $26 million, or 22%, as compared to operating income of $123 million in the 2018 period and, as a percentage of net revenue, was 30.6%, as compared to 34.9%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Asset Management net revenue decreased $89 million, or 13%, as compared to the 2018 period. Management fees and other revenue was $612 million, a decrease of $77 million, or 11%, as compared to $689 million in the 2018 period, primarily due to a decrease in average AUM. Incentive fees were $6 million, a decrease of $12 million as compared to $18 million in the 2018 period.</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decreased $33 million, or 7%, as compared to the 2018 period, primarily due to a decrease in compensation and benefits expense associated with decreased operating revenue, as well as lower fund administration fees.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Asset Management operating income was $191 million, a decrease of $57 million, or 23%, as compared to operating income of $248 million in the 2018 period and, as a percentage of net revenue, was 30.9%, as compared to 35.0%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(18,997)</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(12,603)</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(25,615)</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(5,873)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(3,887)</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$5 million, or 45%, as compared to the 2018 period.</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Other revenue increased $7 million as compared to the 2018 period, primarily due to higher income in the 2019 period attributable to investments held in connection with LFI.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ind w:right="640" w:firstLine="518"/>
        <w:spacing w:after="0" w:line="277" w:lineRule="auto"/>
        <w:rPr>
          <w:sz w:val="20"/>
          <w:szCs w:val="20"/>
          <w:color w:val="auto"/>
        </w:rPr>
      </w:pPr>
      <w:r>
        <w:rPr>
          <w:rFonts w:ascii="Arial" w:cs="Arial" w:eastAsia="Arial" w:hAnsi="Arial"/>
          <w:sz w:val="18"/>
          <w:szCs w:val="18"/>
          <w:color w:val="auto"/>
        </w:rPr>
        <w:t>Operating expenses increased $23 million as compared to the 2018 period, primarily due to an increase in compensation and benefits expense, including an increase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$8 million, or 39%, as compared to the 2018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Other revenue increased $23 million as compared to the 2018 period, primarily due to higher income in the 2019 period attributable to investments held in connection with LFI.</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Operating expenses increased $45 million as compared to the 2018 period, primarily due to a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were also affected in 2019 by Lazard Group’s issuance of $500 million aggregate principal amount of its 4.375% senior notes maturing in 2029 (the “2029 Notes”) and the redemption of the 2020 Notes.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2019 and February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w:t>
            </w:r>
          </w:p>
        </w:tc>
      </w:tr>
      <w:tr>
        <w:trPr>
          <w:trHeight w:val="223"/>
        </w:trPr>
        <w:tc>
          <w:tcPr>
            <w:tcW w:w="79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10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426"/>
        </w:trPr>
        <w:tc>
          <w:tcPr>
            <w:tcW w:w="7900" w:type="dxa"/>
            <w:vAlign w:val="bottom"/>
            <w:gridSpan w:val="2"/>
          </w:tcPr>
          <w:p>
            <w:pPr>
              <w:ind w:left="5620"/>
              <w:spacing w:after="0"/>
              <w:rPr>
                <w:sz w:val="20"/>
                <w:szCs w:val="20"/>
                <w:color w:val="auto"/>
              </w:rPr>
            </w:pPr>
            <w:r>
              <w:rPr>
                <w:rFonts w:ascii="Arial" w:cs="Arial" w:eastAsia="Arial" w:hAnsi="Arial"/>
                <w:sz w:val="18"/>
                <w:szCs w:val="18"/>
                <w:color w:val="auto"/>
              </w:rPr>
              <w:t>58</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Consists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2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Noncash lease expense</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8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Deferred tax provision</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8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20" w:hanging="372"/>
        <w:spacing w:after="0" w:line="281"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vested restricted stock awards and vested PRSUs, Class A common stock dividends, changes in customer deposits, distributions to noncontrolling interest holders and activity relating to borrowings (including in 2019, the redemption of the 2020 Notes and the issuance of the 2029 Notes).</w:t>
      </w:r>
    </w:p>
    <w:p>
      <w:pPr>
        <w:spacing w:after="0" w:line="2" w:lineRule="exact"/>
        <w:rPr>
          <w:rFonts w:ascii="Arial" w:cs="Arial" w:eastAsia="Arial" w:hAnsi="Arial"/>
          <w:sz w:val="16"/>
          <w:szCs w:val="16"/>
          <w:color w:val="auto"/>
        </w:rPr>
      </w:pPr>
    </w:p>
    <w:p>
      <w:pPr>
        <w:ind w:left="380" w:right="60" w:hanging="372"/>
        <w:spacing w:after="0" w:line="261"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half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Class A common stock and matters relating to liquidity and to compliance with regulatory net capital requirements. At June 30, 2019, Lazard had approximately $919 million of cash, with such amount including approximately $517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61" w:name="page62"/>
    <w:bookmarkEnd w:id="61"/>
    <w:p>
      <w:pPr>
        <w:ind w:right="100" w:firstLine="518"/>
        <w:spacing w:after="0" w:line="312" w:lineRule="auto"/>
        <w:rPr>
          <w:sz w:val="20"/>
          <w:szCs w:val="20"/>
          <w:color w:val="auto"/>
        </w:rPr>
      </w:pPr>
      <w:r>
        <w:rPr>
          <w:rFonts w:ascii="Arial" w:cs="Arial" w:eastAsia="Arial" w:hAnsi="Arial"/>
          <w:sz w:val="16"/>
          <w:szCs w:val="16"/>
          <w:color w:val="auto"/>
        </w:rPr>
        <w:t>We maintain lines of credit in excess of anticipated liquidity requirements. As of June 30,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4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2019 and December 31, 2018. The agreements with respect to this indebtedness are discussed in more detail in our condensed consolidated financial statements and related notes included elsewhere in this Form 10-Q and in our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 See Note 11 of Notes to Condensed Consolidated Financial Statements.</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2019, Lazard Group was in compliance with such ratios, with its Consolidated Leverage Ratio being 1.78 to 1.00 and its Consolidated Interest Coverage Ratio being 15.24 to 1.00. In any event, no amounts were outstanding under the Amended and Restated Credit Agreement as of June 30, 2019.</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At June 30, 2019, total stockholders’ equity was $718 million, as compared to $970 million at December 31, 2018, including $619 million and $917 million attributable to Lazard Ltd on the respective dates. The net activity in stockholders’ equity during the six month period ended June 30, 2019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2019</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Stockholders’ Equity - June 30, 2019</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4,147,526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9,715,003</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June 30, 2019, a total of $244 million of share repurchase authorization remained available under the Company’s share repurchase program, all of which will expire on December 31, 2020.</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2019,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On July 24, 2019, the Board of Directors of Lazard declared a quarterly dividend of $0.47 per share on our Class A common stock. The dividend is payable on August 16, 2019, to stockholders of record on August 5, 2019.</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13 and 14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2,308,792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$22,905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710,633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149,726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3,027,689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290,226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249,607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14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24"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9" w:lineRule="exact"/>
        <w:rPr>
          <w:rFonts w:ascii="Arial" w:cs="Arial" w:eastAsia="Arial" w:hAnsi="Arial"/>
          <w:sz w:val="18"/>
          <w:szCs w:val="18"/>
          <w:color w:val="auto"/>
        </w:rPr>
      </w:pPr>
    </w:p>
    <w:p>
      <w:pPr>
        <w:ind w:left="380" w:right="40" w:hanging="372"/>
        <w:spacing w:after="0" w:line="255"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June 30, 2019, a tax receivable agreement obligation of $246,953 was recorded on the condensed consolidated statements of financial condition. See “Critical Accounting Policies and Estimates – Income Taxes” below. See also Notes 12, 14, 15, 16 and 18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$736 million, with such amount partially offset by a valuation allowance of approximately $73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$73 million of deferred tax assets held by these entities as of December 31, 2018.</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16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18 of Notes to Condensed Consolidated Financial Statements for additional information regarding the Amended and Restated Tax Receivable Agreement.</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June 30, 2019 and December 31, 2018 was $247 million and $271 million, respectively, and is recorded in “tax receivable agreement obligation” on the condensed consolidated statements of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86,251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73,410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31,293</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125,852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29,058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149,453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179,022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304,874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257,740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575,424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Arial" w:cs="Arial" w:eastAsia="Arial" w:hAnsi="Arial"/>
                <w:sz w:val="18"/>
                <w:szCs w:val="18"/>
                <w:color w:val="auto"/>
                <w:w w:val="94"/>
              </w:rPr>
              <w:t>(a)  At June 30, 2019 and December 31, 2018,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5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17"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$25 million and $27 million as of June 30, 2019 and December 31, 2018, respectively.</w:t>
      </w:r>
    </w:p>
    <w:p>
      <w:pPr>
        <w:ind w:left="380" w:right="920" w:hanging="372"/>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June 30, 2019 and December 31, 2018, includes investments in U.S. Treasury securities of approximately $125 million and $200 million, respectively, with original maturities of greater than three months and less than one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both"/>
        <w:ind w:left="380" w:right="120" w:hanging="372"/>
        <w:spacing w:after="0" w:line="264"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19"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$91 million in eight entities as of June 30, 2019, as compared to $69 million in three entities as of December 31, 2018.</w:t>
      </w:r>
    </w:p>
    <w:p>
      <w:pPr>
        <w:spacing w:after="0" w:line="17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At June 30, 2019 and December 31, 2018, total investments with a fair value of $575 million and $575 million, respectively, included $65 million and $57 million, respectively, or 11% and 10%,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As of June 30, 2019 and December 31, 2018, the Company held seed investments of approximately $126 million and $90 million, respectively. Seed investments held in entities in which the Company maintained a controlling interest were $66 million in nine entities as of June 30, 2019, as compared to $31 million in eight entities as of December 31, 2018.</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As of June 30, 2019 and December 31, 2018, the Company did not consolidate or deconsolidate any seed investment entities or LFI investment entities with the exception of the recent consolidation of certain LFI funds (see Note 21 of Notes to the Condensed Consolidated Financial Statements). As such, 100% of the recorded balance of seed investments and substantially all of LFI investments as of June 30, 2019 and December 31,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8" w:name="page69"/>
    <w:bookmarkEnd w:id="68"/>
    <w:p>
      <w:pPr>
        <w:ind w:left="900" w:right="80" w:hanging="379"/>
        <w:spacing w:after="0" w:line="30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 Investments” above for more information regarding our investments.</w:t>
      </w:r>
    </w:p>
    <w:p>
      <w:pPr>
        <w:spacing w:after="0" w:line="18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jc w:val="center"/>
        <w:ind w:right="998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99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Equity Market Price Risk—At June 30, 2019 and December 31, 2018, the Company’s exposure to equity market price risk in its investment portfolio, which primarily relates to investments in equity securities, equity funds and hedge funds, was approximately $111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$0.8 million in the carrying value of such investments as of June 30, 2019 and December 31, 2018, respectively, including the effect of the hedging transactions.</w:t>
      </w:r>
    </w:p>
    <w:p>
      <w:pPr>
        <w:spacing w:after="0" w:line="158" w:lineRule="exact"/>
        <w:rPr>
          <w:sz w:val="20"/>
          <w:szCs w:val="20"/>
          <w:color w:val="auto"/>
        </w:rPr>
      </w:pPr>
    </w:p>
    <w:p>
      <w:pPr>
        <w:ind w:right="380" w:firstLine="518"/>
        <w:spacing w:after="0" w:line="255" w:lineRule="auto"/>
        <w:rPr>
          <w:sz w:val="20"/>
          <w:szCs w:val="20"/>
          <w:color w:val="auto"/>
        </w:rPr>
      </w:pPr>
      <w:r>
        <w:rPr>
          <w:rFonts w:ascii="Arial" w:cs="Arial" w:eastAsia="Arial" w:hAnsi="Arial"/>
          <w:sz w:val="18"/>
          <w:szCs w:val="18"/>
          <w:color w:val="auto"/>
        </w:rPr>
        <w:t>Interest Rate/Credit Spread Risk—At June 30, 2019 and December 31, 2018, the Company’s exposure to interest rate and credit spread risk in its investment portfolio related to investments in debt securities or funds which invest primarily in debt securities was $167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$0.9 million in the carrying value of such investments as of June 30, 2019 and December 31, 2018, respectively, including the effect of the hedging transactions.</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June 30, 2019 and December 31, 2018, the Company’s exposure to foreign exchange rate risk in its investment portfolio, which primarily relates to investments in foreign currency denominated equity and debt securities, was $50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$0.1 million in the carrying value of such investments as of June 30, 2019 and December 31, 2018, respectively, including the effect of the hedging transactions.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ind w:right="8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2019 and December 31, 2018, the Company’s exposure to changes in fair value of such investments was approximately $29 million and $42 million, respectively. The Company estimates that a hypothetical 10% adverse change in fair value would result in a decrease of approximately $2.9 million and $4.2 million in the carrying value of such investments as of June 30, 2019 and December 31, 2018,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2019, total receivables amounted to $705 million, net of an allowance for doubtful accounts of $34 million. As of that date, Financial Advisory and Asset Management fees, and customers and other receivables comprised 71% and 29% of total receivables, respectively. At December 31, 2018, total receivables amounted to $686 million, net of an allowance for doubtful accounts of $40 million. As of that date, Financial Advisory and Asset Management fees, and customers and other receivables comprised 73% and 27% of total receivables, respectively. At June 30, 2019 and December 31, 2018, the Company had receivables past due or deemed uncollectible of approximately $46 million and $42 million, respectively. See also “Critical Accounting Policies and Estimates—Revenue Recognition” above and Note 4 of Notes to Condensed Consolidated Financial Statements for additional information regarding receivables.</w:t>
      </w:r>
    </w:p>
    <w:p>
      <w:pPr>
        <w:spacing w:after="0" w:line="182"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2019 and December 31, 2018, customer receivables included $70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$12 million at</w:t>
      </w:r>
    </w:p>
    <w:p>
      <w:pPr>
        <w:ind w:right="560"/>
        <w:spacing w:after="0" w:line="323" w:lineRule="auto"/>
        <w:rPr>
          <w:sz w:val="20"/>
          <w:szCs w:val="20"/>
          <w:color w:val="auto"/>
        </w:rPr>
      </w:pPr>
      <w:r>
        <w:rPr>
          <w:rFonts w:ascii="Arial" w:cs="Arial" w:eastAsia="Arial" w:hAnsi="Arial"/>
          <w:sz w:val="16"/>
          <w:szCs w:val="16"/>
          <w:color w:val="auto"/>
        </w:rPr>
        <w:t>June 30, 2019 and December 31, 2018, respectively, and derivative liabilities, excluding the derivative liability arising from the Company’s obligation pertaining to LFI and other similar deferred compensation arrangements, amounted to $6 million and $1 million at such respective dates.</w:t>
      </w:r>
    </w:p>
    <w:p>
      <w:pPr>
        <w:spacing w:after="0" w:line="13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$229 million and $188 million at June 30, 2019 and December 31,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2019,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of June 30, 2019, the Company’s cash and cash equivalents totaled approximately $919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second quarter of 2019.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April 1 – April 30, 2019</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1,517,370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1,517,370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346.2</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May 1 – May 31, 2019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949,685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314.5</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114,832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1 – June 30, 2019</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2,070,000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2,070,000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4,537,055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4,537,055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243.8</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154,443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100" w:hanging="372"/>
        <w:spacing w:after="0" w:line="261"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the six months ended June 30, 2019 and since 2017, the Board of Directors of Lazard authorized the repurchase of Class A common stock as set forth in the table below.</w:t>
      </w:r>
    </w:p>
    <w:tbl>
      <w:tblPr>
        <w:tblLayout w:type="fixed"/>
        <w:tblInd w:w="0" w:type="dxa"/>
        <w:tblCellMar>
          <w:top w:w="0" w:type="dxa"/>
          <w:left w:w="0" w:type="dxa"/>
          <w:bottom w:w="0" w:type="dxa"/>
          <w:right w:w="0" w:type="dxa"/>
        </w:tblCellMar>
      </w:tblPr>
      <w:tr>
        <w:trPr>
          <w:trHeight w:val="149"/>
        </w:trPr>
        <w:tc>
          <w:tcPr>
            <w:tcW w:w="580" w:type="dxa"/>
            <w:vAlign w:val="bottom"/>
            <w:vMerge w:val="restart"/>
          </w:tcPr>
          <w:p>
            <w:pPr>
              <w:spacing w:after="0"/>
              <w:rPr>
                <w:sz w:val="12"/>
                <w:szCs w:val="12"/>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Repurchase</w:t>
            </w: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Expiration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b w:val="1"/>
                <w:bCs w:val="1"/>
                <w:color w:val="auto"/>
              </w:rPr>
              <w:t>Authorization</w:t>
            </w:r>
          </w:p>
        </w:tc>
        <w:tc>
          <w:tcPr>
            <w:tcW w:w="28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w w:val="84"/>
              </w:rPr>
              <w:t>in thousands)</w:t>
            </w:r>
          </w:p>
        </w:tc>
        <w:tc>
          <w:tcPr>
            <w:tcW w:w="2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580"/>
              <w:spacing w:after="0"/>
              <w:rPr>
                <w:sz w:val="20"/>
                <w:szCs w:val="20"/>
                <w:color w:val="auto"/>
              </w:rPr>
            </w:pPr>
            <w:r>
              <w:rPr>
                <w:rFonts w:ascii="Arial" w:cs="Arial" w:eastAsia="Arial" w:hAnsi="Arial"/>
                <w:sz w:val="18"/>
                <w:szCs w:val="18"/>
                <w:color w:val="auto"/>
              </w:rPr>
              <w:t>October 2017</w:t>
            </w:r>
          </w:p>
        </w:tc>
        <w:tc>
          <w:tcPr>
            <w:tcW w:w="340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20"/>
                <w:szCs w:val="20"/>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April 2018</w:t>
            </w:r>
          </w:p>
        </w:tc>
        <w:tc>
          <w:tcPr>
            <w:tcW w:w="3400" w:type="dxa"/>
            <w:vAlign w:val="bottom"/>
            <w:gridSpan w:val="3"/>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October 2018</w:t>
            </w:r>
          </w:p>
        </w:tc>
        <w:tc>
          <w:tcPr>
            <w:tcW w:w="340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February 2019</w:t>
            </w:r>
          </w:p>
        </w:tc>
        <w:tc>
          <w:tcPr>
            <w:tcW w:w="3400" w:type="dxa"/>
            <w:vAlign w:val="bottom"/>
            <w:gridSpan w:val="3"/>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00" w:type="dxa"/>
            <w:vAlign w:val="bottom"/>
          </w:tcPr>
          <w:p>
            <w:pPr>
              <w:jc w:val="right"/>
              <w:ind w:right="454"/>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ind w:left="380"/>
        <w:spacing w:after="0" w:line="295"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4" w:lineRule="exact"/>
        <w:rPr>
          <w:sz w:val="20"/>
          <w:szCs w:val="20"/>
          <w:color w:val="auto"/>
        </w:rPr>
      </w:pPr>
    </w:p>
    <w:p>
      <w:pPr>
        <w:ind w:left="380" w:right="60" w:hanging="372"/>
        <w:spacing w:after="0" w:line="257"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June 30, 2019, the Company satisfied such obligations in lieu of issuing (i) 105,174 shares of Class A common stock upon the vesting or settlement of 492,579 RSUs and PRSUs and (ii) 49,269 shares of Class A common stock upon the vesting of 283,788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20" w:type="dxa"/>
            <w:vAlign w:val="bottom"/>
            <w:gridSpan w:val="29"/>
          </w:tcPr>
          <w:p>
            <w:pPr>
              <w:ind w:left="36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380" w:type="dxa"/>
            <w:vAlign w:val="bottom"/>
            <w:gridSpan w:val="37"/>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380" w:type="dxa"/>
            <w:vAlign w:val="bottom"/>
            <w:gridSpan w:val="37"/>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9"/>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380" w:type="dxa"/>
            <w:vAlign w:val="bottom"/>
            <w:gridSpan w:val="37"/>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Statement (File No. 333-121407) on Form S-1/A filed on March 21, 2005).</w:t>
              </w:r>
            </w:hyperlink>
          </w:p>
        </w:tc>
        <w:tc>
          <w:tcPr>
            <w:tcW w:w="40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3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380" w:type="dxa"/>
            <w:vAlign w:val="bottom"/>
            <w:gridSpan w:val="37"/>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4"/>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Quarterly Report (File No. 001-32492) on Form 10-Q filed on April 30, 2010).</w:t>
              </w:r>
            </w:hyperlink>
          </w:p>
        </w:tc>
        <w:tc>
          <w:tcPr>
            <w:tcW w:w="4680" w:type="dxa"/>
            <w:vAlign w:val="bottom"/>
            <w:gridSpan w:val="2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160" w:type="dxa"/>
            <w:vAlign w:val="bottom"/>
            <w:tcBorders>
              <w:bottom w:val="single" w:sz="8" w:color="0000EE"/>
            </w:tcBorders>
            <w:gridSpan w:val="3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(File No. 333-121407) on Form S-1/A filed on April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33"/>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80" w:type="dxa"/>
            <w:vAlign w:val="bottom"/>
            <w:gridSpan w:val="37"/>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140" w:type="dxa"/>
            <w:vAlign w:val="bottom"/>
            <w:tcBorders>
              <w:bottom w:val="single" w:sz="8" w:color="0000EE"/>
            </w:tcBorders>
            <w:gridSpan w:val="29"/>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4.1 of the Registrant’s Current Report on Form 8-K (File No. 001-32492) filed on November 7, 2016).</w:t>
              </w:r>
            </w:hyperlink>
          </w:p>
        </w:tc>
        <w:tc>
          <w:tcPr>
            <w:tcW w:w="260" w:type="dxa"/>
            <w:vAlign w:val="bottom"/>
            <w:gridSpan w:val="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380" w:type="dxa"/>
            <w:vAlign w:val="bottom"/>
            <w:gridSpan w:val="37"/>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(incorporated by reference to Exhibit 4.1 to the Registrant’s Current Report on Form 8-K (File No. 001-32492) filed on September 19, 2018</w:t>
              </w:r>
            </w:hyperlink>
            <w:r>
              <w:rPr>
                <w:rFonts w:ascii="Arial" w:cs="Arial" w:eastAsia="Arial" w:hAnsi="Arial"/>
                <w:sz w:val="18"/>
                <w:szCs w:val="18"/>
                <w:color w:val="000000"/>
                <w:w w:val="93"/>
              </w:rPr>
              <w:t>.</w:t>
            </w: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080" w:type="dxa"/>
            <w:vAlign w:val="bottom"/>
            <w:tcBorders>
              <w:top w:val="single" w:sz="8" w:color="0000EE"/>
            </w:tcBorders>
            <w:gridSpan w:val="26"/>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Ninth Supplemental Indenture, dated as of March 11, 2019, between Lazard Group LLC and The Bank of New York Mellon, as trustee</w:t>
              </w:r>
            </w:hyperlink>
          </w:p>
        </w:tc>
        <w:tc>
          <w:tcPr>
            <w:tcW w:w="30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(incorporated by reference to Exhibit 4.1 to the Registrant’s Current Report on Form 8-K (File No. 001-32492) filed on March 11, 2019)</w:t>
              </w:r>
            </w:hyperlink>
          </w:p>
        </w:tc>
        <w:tc>
          <w:tcPr>
            <w:tcW w:w="50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38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2">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13">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14">
              <w:r>
                <w:rPr>
                  <w:rFonts w:ascii="Arial" w:cs="Arial" w:eastAsia="Arial" w:hAnsi="Arial"/>
                  <w:sz w:val="18"/>
                  <w:szCs w:val="18"/>
                  <w:color w:val="0000EE"/>
                </w:rPr>
                <w:t>4.5</w:t>
              </w:r>
            </w:hyperlink>
            <w:r>
              <w:rPr>
                <w:rFonts w:ascii="Arial" w:cs="Arial" w:eastAsia="Arial" w:hAnsi="Arial"/>
                <w:sz w:val="18"/>
                <w:szCs w:val="18"/>
                <w:color w:val="auto"/>
              </w:rPr>
              <w:t xml:space="preserve">, and </w:t>
            </w:r>
            <w:hyperlink r:id="rId115">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40" w:type="dxa"/>
            <w:vAlign w:val="bottom"/>
            <w:tcBorders>
              <w:bottom w:val="single" w:sz="8" w:color="0000EE"/>
            </w:tcBorders>
            <w:gridSpan w:val="3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Operating Agreement of Lazard Group LLC, dated as of February 4, 2019 (incorporated by reference to Exhibit 99.1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Registrant’s Current Report (File No. 001-32492) on Form 8-K filed on February 5, 2019).</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60" w:type="dxa"/>
            <w:vAlign w:val="bottom"/>
            <w:tcBorders>
              <w:bottom w:val="single" w:sz="8" w:color="0000EE"/>
            </w:tcBorders>
            <w:gridSpan w:val="36"/>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(incorporated by reference to Exhibit 10.2 to the Registrant’s Quarterly Report (File No. 001-32492) on Form 10-Q filed on October 28, 2015).</w:t>
              </w:r>
            </w:hyperlink>
          </w:p>
        </w:tc>
        <w:tc>
          <w:tcPr>
            <w:tcW w:w="40" w:type="dxa"/>
            <w:vAlign w:val="bottom"/>
            <w:gridSpan w:val="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40" w:type="dxa"/>
            <w:vAlign w:val="bottom"/>
            <w:tcBorders>
              <w:bottom w:val="single" w:sz="8" w:color="0000EE"/>
            </w:tcBorders>
            <w:gridSpan w:val="35"/>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80" w:type="dxa"/>
            <w:vAlign w:val="bottom"/>
            <w:tcBorders>
              <w:bottom w:val="single" w:sz="8" w:color="0000EE"/>
            </w:tcBorders>
            <w:gridSpan w:val="37"/>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18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27"/>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Lazard Ltd 2005 Equity Incentive Plan (incorporated by reference to Exhibit 10.21 to the Registrant’s Registration Statement (File No. 333-</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9800" w:type="dxa"/>
            <w:vAlign w:val="bottom"/>
            <w:tcBorders>
              <w:bottom w:val="single" w:sz="8" w:color="0000EE"/>
            </w:tcBorders>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Schedule 14A (File No. 001-32492) filed on March 24, 2008).</w:t>
              </w:r>
            </w:hyperlink>
          </w:p>
        </w:tc>
        <w:tc>
          <w:tcPr>
            <w:tcW w:w="5820" w:type="dxa"/>
            <w:vAlign w:val="bottom"/>
            <w:gridSpan w:val="27"/>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320" w:type="dxa"/>
            <w:vAlign w:val="bottom"/>
            <w:tcBorders>
              <w:bottom w:val="single" w:sz="8" w:color="0000EE"/>
            </w:tcBorders>
            <w:gridSpan w:val="34"/>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Lazard Ltd 2016 French Sub-plan (incorporated by reference to Annex B to the Registrant’s Definitive Proxy Statement on Schedule 14A (File</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No. 001-32492) filed on March 10, 2016).</w:t>
              </w:r>
            </w:hyperlink>
          </w:p>
        </w:tc>
        <w:tc>
          <w:tcPr>
            <w:tcW w:w="7320" w:type="dxa"/>
            <w:vAlign w:val="bottom"/>
            <w:gridSpan w:val="36"/>
          </w:tcPr>
          <w:p>
            <w:pPr>
              <w:spacing w:after="0"/>
              <w:rPr>
                <w:sz w:val="17"/>
                <w:szCs w:val="17"/>
                <w:color w:val="auto"/>
              </w:rPr>
            </w:pPr>
          </w:p>
        </w:tc>
      </w:tr>
      <w:tr>
        <w:trPr>
          <w:trHeight w:val="534"/>
        </w:trPr>
        <w:tc>
          <w:tcPr>
            <w:tcW w:w="1040" w:type="dxa"/>
            <w:vAlign w:val="bottom"/>
          </w:tcPr>
          <w:p>
            <w:pPr>
              <w:spacing w:after="0"/>
              <w:rPr>
                <w:sz w:val="24"/>
                <w:szCs w:val="24"/>
                <w:color w:val="auto"/>
              </w:rPr>
            </w:pPr>
          </w:p>
        </w:tc>
        <w:tc>
          <w:tcPr>
            <w:tcW w:w="4820" w:type="dxa"/>
            <w:vAlign w:val="bottom"/>
            <w:gridSpan w:val="11"/>
          </w:tcPr>
          <w:p>
            <w:pPr>
              <w:ind w:left="4580"/>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5">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6">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Registrant, Lazard Group LLC and Kenneth M. Jacobs (incorporated by reference to Exhibit 10.1 to the Registrant’s Current Report 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Form 8-K (File No. 001-32492) filed on April 3, 2019).</w:t>
        </w:r>
      </w:hyperlink>
    </w:p>
    <w:p>
      <w:pPr>
        <w:spacing w:after="0" w:line="46" w:lineRule="exact"/>
        <w:rPr>
          <w:rFonts w:ascii="Arial" w:cs="Arial" w:eastAsia="Arial" w:hAnsi="Arial"/>
          <w:sz w:val="18"/>
          <w:szCs w:val="18"/>
          <w:u w:val="single" w:color="auto"/>
          <w:color w:val="0000EE"/>
        </w:rPr>
      </w:pPr>
    </w:p>
    <w:p>
      <w:pPr>
        <w:jc w:val="both"/>
        <w:ind w:left="9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7">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Registrant, Lazard Group LLC and Ashish Bhutani (incorporated by reference to Exhibit 10.3 to the Registrant’s Current Report on Form 8-</w:t>
        </w:r>
      </w:hyperlink>
      <w:hyperlink r:id="rId127">
        <w:r>
          <w:rPr>
            <w:rFonts w:ascii="Arial" w:cs="Arial" w:eastAsia="Arial" w:hAnsi="Arial"/>
            <w:sz w:val="18"/>
            <w:szCs w:val="18"/>
            <w:u w:val="single" w:color="auto"/>
            <w:color w:val="0000EE"/>
          </w:rPr>
          <w:t>K (File No. 001-32492) filed on April 3, 2019).</w:t>
        </w:r>
      </w:hyperlink>
    </w:p>
    <w:p>
      <w:pPr>
        <w:spacing w:after="0" w:line="46" w:lineRule="exact"/>
        <w:rPr>
          <w:rFonts w:ascii="Arial" w:cs="Arial" w:eastAsia="Arial" w:hAnsi="Arial"/>
          <w:sz w:val="18"/>
          <w:szCs w:val="18"/>
          <w:u w:val="single" w:color="auto"/>
          <w:color w:val="0000EE"/>
        </w:rPr>
      </w:pPr>
    </w:p>
    <w:p>
      <w:pPr>
        <w:jc w:val="both"/>
        <w:ind w:left="940" w:right="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8">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 Registrant, Lazard Group LLC and Scott D. Hoffman (incorporated by reference to Exhibit 10.4 to the Registrant’s Current Report on Form</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8-K (File No. 001-32492) filed on April 3, 2019).</w:t>
        </w:r>
      </w:hyperlink>
    </w:p>
    <w:p>
      <w:pPr>
        <w:spacing w:after="0" w:line="46" w:lineRule="exact"/>
        <w:rPr>
          <w:rFonts w:ascii="Arial" w:cs="Arial" w:eastAsia="Arial" w:hAnsi="Arial"/>
          <w:sz w:val="18"/>
          <w:szCs w:val="18"/>
          <w:u w:val="single" w:color="auto"/>
          <w:color w:val="0000EE"/>
        </w:rPr>
      </w:pPr>
    </w:p>
    <w:p>
      <w:pPr>
        <w:ind w:left="940" w:right="1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9">
        <w:r>
          <w:rPr>
            <w:rFonts w:ascii="Arial" w:cs="Arial" w:eastAsia="Arial" w:hAnsi="Arial"/>
            <w:sz w:val="18"/>
            <w:szCs w:val="18"/>
            <w:u w:val="single" w:color="auto"/>
            <w:color w:val="0000EE"/>
          </w:rPr>
          <w:t>Agreement relating to Retention and Noncompetition and Other Covenants, dated as of March 29, 2019, by and among the Registrant, Lazard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Group LLC and Evan L. Russo (incorporated by reference to Exhibit 10.2 to the Registrant’s Current Report on Form 8-K (File No. 001-</w:t>
        </w:r>
      </w:hyperlink>
      <w:hyperlink r:id="rId129">
        <w:r>
          <w:rPr>
            <w:rFonts w:ascii="Arial" w:cs="Arial" w:eastAsia="Arial" w:hAnsi="Arial"/>
            <w:sz w:val="18"/>
            <w:szCs w:val="18"/>
            <w:u w:val="single" w:color="auto"/>
            <w:color w:val="0000EE"/>
          </w:rPr>
          <w:t>324927) filed April 3, 2019).</w:t>
        </w:r>
      </w:hyperlink>
    </w:p>
    <w:p>
      <w:pPr>
        <w:spacing w:after="0" w:line="46" w:lineRule="exact"/>
        <w:rPr>
          <w:rFonts w:ascii="Arial" w:cs="Arial" w:eastAsia="Arial" w:hAnsi="Arial"/>
          <w:sz w:val="18"/>
          <w:szCs w:val="18"/>
          <w:u w:val="single" w:color="auto"/>
          <w:color w:val="0000EE"/>
        </w:rPr>
      </w:pPr>
    </w:p>
    <w:p>
      <w:pPr>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0">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the Registrant, Lazard Group LLC and Alexander F. Stern (incorporated by reference to Exhibit 10.5 to the Registrant’s Current Report 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Form 8-K (File No. 001-32492) filed on April 3, 2019).</w:t>
        </w:r>
      </w:hyperlink>
    </w:p>
    <w:p>
      <w:pPr>
        <w:spacing w:after="0" w:line="46" w:lineRule="exact"/>
        <w:rPr>
          <w:rFonts w:ascii="Arial" w:cs="Arial" w:eastAsia="Arial" w:hAnsi="Arial"/>
          <w:sz w:val="18"/>
          <w:szCs w:val="18"/>
          <w:u w:val="single" w:color="auto"/>
          <w:color w:val="0000EE"/>
        </w:rPr>
      </w:pPr>
    </w:p>
    <w:p>
      <w:pPr>
        <w:ind w:left="940" w:right="1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1">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40" w:right="32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2">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3">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40" w:right="3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4">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40" w:right="3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5">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No. 001-32492) on Form 10-Q filed on October 28, 2015).</w:t>
        </w:r>
      </w:hyperlink>
    </w:p>
    <w:p>
      <w:pPr>
        <w:spacing w:after="0" w:line="46" w:lineRule="exact"/>
        <w:rPr>
          <w:rFonts w:ascii="Arial" w:cs="Arial" w:eastAsia="Arial" w:hAnsi="Arial"/>
          <w:sz w:val="18"/>
          <w:szCs w:val="18"/>
          <w:u w:val="single" w:color="auto"/>
          <w:color w:val="0000EE"/>
        </w:rPr>
      </w:pPr>
    </w:p>
    <w:p>
      <w:pPr>
        <w:ind w:left="940" w:right="2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6">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40" w:right="36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37">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40" w:right="4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8">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(File No. 001-32492) on Form 10-Q filed on May 6, 2014).</w:t>
        </w:r>
      </w:hyperlink>
    </w:p>
    <w:p>
      <w:pPr>
        <w:spacing w:after="0" w:line="46"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39">
        <w:r>
          <w:rPr>
            <w:rFonts w:ascii="Arial" w:cs="Arial" w:eastAsia="Arial" w:hAnsi="Arial"/>
            <w:sz w:val="16"/>
            <w:szCs w:val="16"/>
            <w:u w:val="single" w:color="auto"/>
            <w:color w:val="0000EE"/>
          </w:rPr>
          <w:t>Form of Agreement evidencing a grant of Restricted Stock under the 2008 Incentive Compensation Plan (incorporated by reference to Exhibit</w:t>
        </w:r>
      </w:hyperlink>
    </w:p>
    <w:p>
      <w:pPr>
        <w:spacing w:after="0" w:line="23" w:lineRule="exact"/>
        <w:rPr>
          <w:rFonts w:ascii="Arial" w:cs="Arial" w:eastAsia="Arial" w:hAnsi="Arial"/>
          <w:sz w:val="18"/>
          <w:szCs w:val="18"/>
          <w:u w:val="single" w:color="auto"/>
          <w:color w:val="0000EE"/>
        </w:rPr>
      </w:pPr>
    </w:p>
    <w:p>
      <w:pPr>
        <w:ind w:left="94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10.55 to the Registrant’s Quarterly Report (File No. 001-32492) on Form 10-Q filed on April 30, 2010).</w:t>
        </w:r>
      </w:hyperlink>
    </w:p>
    <w:p>
      <w:pPr>
        <w:spacing w:after="0" w:line="76" w:lineRule="exact"/>
        <w:rPr>
          <w:rFonts w:ascii="Arial" w:cs="Arial" w:eastAsia="Arial" w:hAnsi="Arial"/>
          <w:sz w:val="18"/>
          <w:szCs w:val="18"/>
          <w:u w:val="single" w:color="auto"/>
          <w:color w:val="0000EE"/>
        </w:rPr>
      </w:pPr>
    </w:p>
    <w:p>
      <w:pPr>
        <w:ind w:left="940" w:right="50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40">
        <w:r>
          <w:rPr>
            <w:rFonts w:ascii="Arial" w:cs="Arial" w:eastAsia="Arial" w:hAnsi="Arial"/>
            <w:sz w:val="18"/>
            <w:szCs w:val="18"/>
            <w:u w:val="single" w:color="auto"/>
            <w:color w:val="0000EE"/>
          </w:rPr>
          <w:t>Form of Agreement evidencing a grant of Lazard Fund Interests (incorporated by reference to Exhibit 10.55 to the Registrant’s Quarterly</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Report (File No. 001-32492) on Form 10-Q filed on April 29, 2011).</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10.24*</w:t>
            </w:r>
          </w:p>
        </w:tc>
        <w:tc>
          <w:tcPr>
            <w:tcW w:w="10220" w:type="dxa"/>
            <w:vAlign w:val="bottom"/>
            <w:gridSpan w:val="6"/>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Form of Agreement for Performance-Based Profits Interest Participation Right Units under the 2018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(incorporated by reference to Exhibit 10.24 to the Registrant’s Quarterly Report (File No. 001-32492) on Form 10-Q filed on April 30, 2019).</w:t>
              </w:r>
            </w:hyperlink>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Rule 13a-14(a) Certification of Kenneth M. Jacobs.</w:t>
              </w:r>
            </w:hyperlink>
          </w:p>
        </w:tc>
        <w:tc>
          <w:tcPr>
            <w:tcW w:w="6500" w:type="dxa"/>
            <w:vAlign w:val="bottom"/>
            <w:gridSpan w:val="2"/>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Section 1350 Certification for Kenneth M. Jacobs.</w:t>
              </w:r>
            </w:hyperlink>
          </w:p>
        </w:tc>
        <w:tc>
          <w:tcPr>
            <w:tcW w:w="6580" w:type="dxa"/>
            <w:vAlign w:val="bottom"/>
            <w:gridSpan w:val="3"/>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iXBRL tags are embedded within the</w:t>
            </w:r>
          </w:p>
        </w:tc>
      </w:tr>
      <w:tr>
        <w:trPr>
          <w:trHeight w:val="230"/>
        </w:trPr>
        <w:tc>
          <w:tcPr>
            <w:tcW w:w="1040" w:type="dxa"/>
            <w:vAlign w:val="bottom"/>
          </w:tcPr>
          <w:p>
            <w:pPr>
              <w:spacing w:after="0"/>
              <w:rPr>
                <w:sz w:val="20"/>
                <w:szCs w:val="20"/>
                <w:color w:val="auto"/>
              </w:rPr>
            </w:pPr>
          </w:p>
        </w:tc>
        <w:tc>
          <w:tcPr>
            <w:tcW w:w="10220" w:type="dxa"/>
            <w:vAlign w:val="bottom"/>
            <w:gridSpan w:val="6"/>
          </w:tcPr>
          <w:p>
            <w:pPr>
              <w:spacing w:after="0"/>
              <w:rPr>
                <w:sz w:val="20"/>
                <w:szCs w:val="20"/>
                <w:color w:val="auto"/>
              </w:rPr>
            </w:pPr>
            <w:r>
              <w:rPr>
                <w:rFonts w:ascii="Arial" w:cs="Arial" w:eastAsia="Arial" w:hAnsi="Arial"/>
                <w:sz w:val="18"/>
                <w:szCs w:val="18"/>
                <w:color w:val="auto"/>
              </w:rPr>
              <w:t>Inline XBRL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24" w:right="39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undersigned thereunto duly authorized.</w:t>
            </w: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July 29, 2019</w:t>
            </w: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32"/>
        </w:trPr>
        <w:tc>
          <w:tcPr>
            <w:tcW w:w="6840" w:type="dxa"/>
            <w:vAlign w:val="bottom"/>
            <w:gridSpan w:val="2"/>
          </w:tcPr>
          <w:p>
            <w:pPr>
              <w:ind w:left="5720"/>
              <w:spacing w:after="0"/>
              <w:rPr>
                <w:sz w:val="20"/>
                <w:szCs w:val="20"/>
                <w:color w:val="auto"/>
              </w:rPr>
            </w:pPr>
            <w:r>
              <w:rPr>
                <w:rFonts w:ascii="Arial" w:cs="Arial" w:eastAsia="Arial" w:hAnsi="Arial"/>
                <w:sz w:val="18"/>
                <w:szCs w:val="18"/>
                <w:color w:val="auto"/>
                <w:w w:val="99"/>
              </w:rPr>
              <w:t>LAZARD LTD</w:t>
            </w:r>
          </w:p>
        </w:tc>
        <w:tc>
          <w:tcPr>
            <w:tcW w:w="4580" w:type="dxa"/>
            <w:vAlign w:val="bottom"/>
          </w:tcPr>
          <w:p>
            <w:pPr>
              <w:spacing w:after="0"/>
              <w:rPr>
                <w:sz w:val="24"/>
                <w:szCs w:val="24"/>
                <w:color w:val="auto"/>
              </w:rPr>
            </w:pP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Evan L. Russo</w:t>
            </w: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Dominick Ragone</w:t>
            </w: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2"/>
    </w:lvl>
  </w:abstractNum>
  <w:abstractNum w:abstractNumId="6">
    <w:nsid w:val="440BADFC"/>
    <w:multiLevelType w:val="hybridMultilevel"/>
    <w:lvl w:ilvl="0">
      <w:lvlJc w:val="left"/>
      <w:lvlText w:val="%1."/>
      <w:numFmt w:val="decimal"/>
      <w:start w:val="3"/>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2"/>
    </w:lvl>
  </w:abstractNum>
  <w:abstractNum w:abstractNumId="9">
    <w:nsid w:val="77465F01"/>
    <w:multiLevelType w:val="hybridMultilevel"/>
    <w:lvl w:ilvl="0">
      <w:lvlJc w:val="left"/>
      <w:lvlText w:val="%1."/>
      <w:numFmt w:val="decimal"/>
      <w:start w:val="4"/>
    </w:lvl>
  </w:abstractNum>
  <w:abstractNum w:abstractNumId="10">
    <w:nsid w:val="7724C67E"/>
    <w:multiLevelType w:val="hybridMultilevel"/>
    <w:lvl w:ilvl="0">
      <w:lvlJc w:val="left"/>
      <w:lvlText w:val="%1."/>
      <w:numFmt w:val="decimal"/>
      <w:start w:val="5"/>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decimal"/>
      <w:start w:val="6"/>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decimal"/>
      <w:start w:val="7"/>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decimal"/>
      <w:start w:val="8"/>
    </w:lvl>
  </w:abstractNum>
  <w:abstractNum w:abstractNumId="19">
    <w:nsid w:val="70A64E2A"/>
    <w:multiLevelType w:val="hybridMultilevel"/>
    <w:lvl w:ilvl="0">
      <w:lvlJc w:val="left"/>
      <w:lvlText w:val="%1."/>
      <w:numFmt w:val="decimal"/>
      <w:start w:val="9"/>
    </w:lvl>
  </w:abstractNum>
  <w:abstractNum w:abstractNumId="20">
    <w:nsid w:val="6A2342EC"/>
    <w:multiLevelType w:val="hybridMultilevel"/>
    <w:lvl w:ilvl="0">
      <w:lvlJc w:val="left"/>
      <w:lvlText w:val="%1."/>
      <w:numFmt w:val="decimal"/>
      <w:start w:val="10"/>
    </w:lvl>
  </w:abstractNum>
  <w:abstractNum w:abstractNumId="21">
    <w:nsid w:val="2A487CB0"/>
    <w:multiLevelType w:val="hybridMultilevel"/>
    <w:lvl w:ilvl="0">
      <w:lvlJc w:val="left"/>
      <w:lvlText w:val="%1."/>
      <w:numFmt w:val="decimal"/>
      <w:start w:val="1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decimal"/>
      <w:start w:val="12"/>
    </w:lvl>
  </w:abstractNum>
  <w:abstractNum w:abstractNumId="24">
    <w:nsid w:val="2CD89A32"/>
    <w:multiLevelType w:val="hybridMultilevel"/>
    <w:lvl w:ilvl="0">
      <w:lvlJc w:val="left"/>
      <w:lvlText w:val="%1."/>
      <w:numFmt w:val="decimal"/>
      <w:start w:val="13"/>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decimal"/>
      <w:start w:val="14"/>
    </w:lvl>
  </w:abstractNum>
  <w:abstractNum w:abstractNumId="27">
    <w:nsid w:val="4B588F54"/>
    <w:multiLevelType w:val="hybridMultilevel"/>
    <w:lvl w:ilvl="0">
      <w:lvlJc w:val="left"/>
      <w:lvlText w:val="%1."/>
      <w:numFmt w:val="decimal"/>
      <w:start w:val="15"/>
    </w:lvl>
  </w:abstractNum>
  <w:abstractNum w:abstractNumId="28">
    <w:nsid w:val="542289EC"/>
    <w:multiLevelType w:val="hybridMultilevel"/>
    <w:lvl w:ilvl="0">
      <w:lvlJc w:val="left"/>
      <w:lvlText w:val="%1."/>
      <w:numFmt w:val="decimal"/>
      <w:start w:val="16"/>
    </w:lvl>
  </w:abstractNum>
  <w:abstractNum w:abstractNumId="29">
    <w:nsid w:val="6DE91B18"/>
    <w:multiLevelType w:val="hybridMultilevel"/>
    <w:lvl w:ilvl="0">
      <w:lvlJc w:val="left"/>
      <w:lvlText w:val="%1."/>
      <w:numFmt w:val="decimal"/>
      <w:start w:val="17"/>
    </w:lvl>
  </w:abstractNum>
  <w:abstractNum w:abstractNumId="30">
    <w:nsid w:val="38437FDB"/>
    <w:multiLevelType w:val="hybridMultilevel"/>
    <w:lvl w:ilvl="0">
      <w:lvlJc w:val="left"/>
      <w:lvlText w:val="%1."/>
      <w:numFmt w:val="decimal"/>
      <w:start w:val="18"/>
    </w:lvl>
  </w:abstractNum>
  <w:abstractNum w:abstractNumId="31">
    <w:nsid w:val="7644A45C"/>
    <w:multiLevelType w:val="hybridMultilevel"/>
    <w:lvl w:ilvl="0">
      <w:lvlJc w:val="left"/>
      <w:lvlText w:val="(%1)"/>
      <w:numFmt w:val="lowerRoman"/>
      <w:start w:val="1"/>
    </w:lvl>
  </w:abstractNum>
  <w:abstractNum w:abstractNumId="32">
    <w:nsid w:val="32FFF902"/>
    <w:multiLevelType w:val="hybridMultilevel"/>
    <w:lvl w:ilvl="0">
      <w:lvlJc w:val="left"/>
      <w:lvlText w:val="%1."/>
      <w:numFmt w:val="decimal"/>
      <w:start w:val="19"/>
    </w:lvl>
  </w:abstractNum>
  <w:abstractNum w:abstractNumId="33">
    <w:nsid w:val="684A481A"/>
    <w:multiLevelType w:val="hybridMultilevel"/>
    <w:lvl w:ilvl="0">
      <w:lvlJc w:val="left"/>
      <w:lvlText w:val="%1."/>
      <w:numFmt w:val="decimal"/>
      <w:start w:val="20"/>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2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lvl w:ilvl="1">
      <w:lvlJc w:val="left"/>
      <w:lvlText w:val="(%2)"/>
      <w:numFmt w:val="lowerRoman"/>
      <w:start w:val="1"/>
    </w:lvl>
  </w:abstractNum>
  <w:abstractNum w:abstractNumId="43">
    <w:nsid w:val="374A3FE6"/>
    <w:multiLevelType w:val="hybridMultilevel"/>
    <w:lvl w:ilvl="0">
      <w:lvlJc w:val="left"/>
      <w:lvlText w:val="•"/>
      <w:numFmt w:val="bullet"/>
      <w:start w:val="1"/>
    </w:lvl>
    <w:lvl w:ilvl="1">
      <w:lvlJc w:val="left"/>
      <w:lvlText w:val="(%2)"/>
      <w:numFmt w:val="lowerRoman"/>
      <w:start w:val="2"/>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Roman"/>
      <w:start w:val="2"/>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lowerLetter"/>
      <w:start w:val="2"/>
    </w:lvl>
  </w:abstractNum>
  <w:abstractNum w:abstractNumId="56">
    <w:nsid w:val="D34B6A8"/>
    <w:multiLevelType w:val="hybridMultilevel"/>
    <w:lvl w:ilvl="0">
      <w:lvlJc w:val="left"/>
      <w:lvlText w:val="(%1)"/>
      <w:numFmt w:val="lowerLetter"/>
      <w:start w:val="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41"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05" Type="http://schemas.openxmlformats.org/officeDocument/2006/relationships/hyperlink" Target="http://www.sec.gov/Archives/edgar/data/1311370/000119312505056426/dex31.htm" TargetMode="External"/><Relationship Id="rId106" Type="http://schemas.openxmlformats.org/officeDocument/2006/relationships/hyperlink" Target="http://www.sec.gov/Archives/edgar/data/1311370/000119312505056426/dex32.htm" TargetMode="External"/><Relationship Id="rId107" Type="http://schemas.openxmlformats.org/officeDocument/2006/relationships/hyperlink" Target="http://www.sec.gov/Archives/edgar/data/1311370/000119312505126336/dex33.htm" TargetMode="External"/><Relationship Id="rId108" Type="http://schemas.openxmlformats.org/officeDocument/2006/relationships/hyperlink" Target="http://www.sec.gov/Archives/edgar/data/1311370/000119312508108332/dex34.htm" TargetMode="External"/><Relationship Id="rId109" Type="http://schemas.openxmlformats.org/officeDocument/2006/relationships/hyperlink" Target="http://www.sec.gov/Archives/edgar/data/1311370/000119312510102269/dex35.htm" TargetMode="External"/><Relationship Id="rId110" Type="http://schemas.openxmlformats.org/officeDocument/2006/relationships/hyperlink" Target="http://www.sec.gov/Archives/edgar/data/1311370/000119312505073325/dex41.htm" TargetMode="External"/><Relationship Id="rId111" Type="http://schemas.openxmlformats.org/officeDocument/2006/relationships/hyperlink" Target="http://www.sec.gov/Archives/edgar/data/1326141/000119312505145683/dex41.htm" TargetMode="External"/><Relationship Id="rId112" Type="http://schemas.openxmlformats.org/officeDocument/2006/relationships/hyperlink" Target="http://www.sec.gov/Archives/edgar/data/1311370/000119312515050385/d871111dex41.htm" TargetMode="External"/><Relationship Id="rId113" Type="http://schemas.openxmlformats.org/officeDocument/2006/relationships/hyperlink" Target="http://www.sec.gov/Archives/edgar/data/1311370/000119312516760477/d43064dex41.htm" TargetMode="External"/><Relationship Id="rId114" Type="http://schemas.openxmlformats.org/officeDocument/2006/relationships/hyperlink" Target="http://www.sec.gov/Archives/edgar/data/1311370/000119312518277695/d614135dex41.htm" TargetMode="External"/><Relationship Id="rId115" Type="http://schemas.openxmlformats.org/officeDocument/2006/relationships/hyperlink" Target="http://www.sec.gov/Archives/edgar/data/1311370/000095015719000259/ex4-1.htm" TargetMode="External"/><Relationship Id="rId116" Type="http://schemas.openxmlformats.org/officeDocument/2006/relationships/hyperlink" Target="http://www.sec.gov/Archives/edgar/data/1311370/000119312519027570/d671906dex991.htm" TargetMode="External"/><Relationship Id="rId117" Type="http://schemas.openxmlformats.org/officeDocument/2006/relationships/hyperlink" Target="http://www.sec.gov/Archives/edgar/data/1311370/000119312515355042/d41332dex102.htm" TargetMode="External"/><Relationship Id="rId118" Type="http://schemas.openxmlformats.org/officeDocument/2006/relationships/hyperlink" Target="http://www.sec.gov/Archives/edgar/data/1311370/000119312505025486/dex1019.htm" TargetMode="External"/><Relationship Id="rId119" Type="http://schemas.openxmlformats.org/officeDocument/2006/relationships/hyperlink" Target="http://www.sec.gov/Archives/edgar/data/1311370/000119312511117012/dex1016.htm" TargetMode="External"/><Relationship Id="rId120" Type="http://schemas.openxmlformats.org/officeDocument/2006/relationships/hyperlink" Target="http://www.sec.gov/Archives/edgar/data/1311370/000119312505091140/dex1021.htm" TargetMode="External"/><Relationship Id="rId121" Type="http://schemas.openxmlformats.org/officeDocument/2006/relationships/hyperlink" Target="http://www.sec.gov/Archives/edgar/data/1311370/000119312508063107/ddef14a.htm" TargetMode="External"/><Relationship Id="rId122" Type="http://schemas.openxmlformats.org/officeDocument/2006/relationships/hyperlink" Target="http://www.sec.gov/Archives/edgar/data/1311370/000119312516500308/d128121ddef14a.htm" TargetMode="External"/><Relationship Id="rId125" Type="http://schemas.openxmlformats.org/officeDocument/2006/relationships/hyperlink" Target="http://www.sec.gov/Archives/edgar/data/1311370/000119312518082725/d525181ddef14a.htm" TargetMode="External"/><Relationship Id="rId126" Type="http://schemas.openxmlformats.org/officeDocument/2006/relationships/hyperlink" Target="http://www.sec.gov/Archives/edgar/data/1311370/000119312519096097/d642761dex101.htm" TargetMode="External"/><Relationship Id="rId127" Type="http://schemas.openxmlformats.org/officeDocument/2006/relationships/hyperlink" Target="http://www.sec.gov/Archives/edgar/data/1311370/000119312519096097/d642761dex103.htm" TargetMode="External"/><Relationship Id="rId128" Type="http://schemas.openxmlformats.org/officeDocument/2006/relationships/hyperlink" Target="http://www.sec.gov/Archives/edgar/data/1311370/000119312519096097/d642761dex104.htm" TargetMode="External"/><Relationship Id="rId129" Type="http://schemas.openxmlformats.org/officeDocument/2006/relationships/hyperlink" Target="http://www.sec.gov/Archives/edgar/data/1311370/000119312519096097/d642761dex102.htm" TargetMode="External"/><Relationship Id="rId130" Type="http://schemas.openxmlformats.org/officeDocument/2006/relationships/hyperlink" Target="http://www.sec.gov/Archives/edgar/data/1311370/000119312519096097/d642761dex105.htm" TargetMode="External"/><Relationship Id="rId131" Type="http://schemas.openxmlformats.org/officeDocument/2006/relationships/hyperlink" Target="http://www.sec.gov/Archives/edgar/data/1311370/000089882205001180/sept9_exhibit.txt" TargetMode="External"/><Relationship Id="rId132" Type="http://schemas.openxmlformats.org/officeDocument/2006/relationships/hyperlink" Target="http://www.sec.gov/Archives/edgar/data/1311370/000119312509041325/dex1041.htm" TargetMode="External"/><Relationship Id="rId133" Type="http://schemas.openxmlformats.org/officeDocument/2006/relationships/hyperlink" Target="http://www.sec.gov/Archives/edgar/data/1311370/000119312509041325/dex1042.htm" TargetMode="External"/><Relationship Id="rId134" Type="http://schemas.openxmlformats.org/officeDocument/2006/relationships/hyperlink" Target="http://www.sec.gov/Archives/edgar/data/1311370/000119312506109044/dex1039.htm" TargetMode="External"/><Relationship Id="rId135" Type="http://schemas.openxmlformats.org/officeDocument/2006/relationships/hyperlink" Target="http://www.sec.gov/Archives/edgar/data/1311370/000119312515355042/d41332dex1027.htm" TargetMode="External"/><Relationship Id="rId136" Type="http://schemas.openxmlformats.org/officeDocument/2006/relationships/hyperlink" Target="http://www.sec.gov/Archives/edgar/data/1311370/000119312513188120/d498095dex1055.htm" TargetMode="External"/><Relationship Id="rId137" Type="http://schemas.openxmlformats.org/officeDocument/2006/relationships/hyperlink" Target="http://www.sec.gov/Archives/edgar/data/1311370/000119312514184963/d687179dex1055.htm" TargetMode="External"/><Relationship Id="rId138" Type="http://schemas.openxmlformats.org/officeDocument/2006/relationships/hyperlink" Target="http://www.sec.gov/Archives/edgar/data/1311370/000119312514184963/d687179dex1056.htm" TargetMode="External"/><Relationship Id="rId139" Type="http://schemas.openxmlformats.org/officeDocument/2006/relationships/hyperlink" Target="http://www.sec.gov/Archives/edgar/data/1311370/000119312510102269/dex1055.htm" TargetMode="External"/><Relationship Id="rId140" Type="http://schemas.openxmlformats.org/officeDocument/2006/relationships/hyperlink" Target="http://www.sec.gov/Archives/edgar/data/1311370/000119312511117012/dex1055.htm" TargetMode="External"/><Relationship Id="rId142" Type="http://schemas.openxmlformats.org/officeDocument/2006/relationships/hyperlink" Target="http://www.sec.gov/Archives/edgar/data/1311370/000156459019013924/laz-ex1024_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2019-12-28T10:19:51Z</dcterms:created>
  <dcterms:modified xsi:type="dcterms:W3CDTF">2019-12-28T10:19:51Z</dcterms:modified>
</cp:coreProperties>
</file>