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8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580" w:type="dxa"/>
        <w:tblCellMar>
          <w:top w:w="0" w:type="dxa"/>
          <w:left w:w="0" w:type="dxa"/>
          <w:bottom w:w="0" w:type="dxa"/>
          <w:right w:w="0" w:type="dxa"/>
        </w:tblCellMar>
      </w:tblPr>
      <w:tr>
        <w:trPr>
          <w:trHeight w:val="204"/>
        </w:trPr>
        <w:tc>
          <w:tcPr>
            <w:tcW w:w="2320" w:type="dxa"/>
            <w:vAlign w:val="bottom"/>
          </w:tcPr>
          <w:p>
            <w:pPr>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4" w:lineRule="exact"/>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76"/>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tbl>
      <w:tblPr>
        <w:tblLayout w:type="fixed"/>
        <w:tblInd w:w="360" w:type="dxa"/>
        <w:tblCellMar>
          <w:top w:w="0" w:type="dxa"/>
          <w:left w:w="0" w:type="dxa"/>
          <w:bottom w:w="0" w:type="dxa"/>
          <w:right w:w="0" w:type="dxa"/>
        </w:tblCellMar>
      </w:tblPr>
      <w:tr>
        <w:trPr>
          <w:trHeight w:val="530"/>
        </w:trPr>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80" w:type="dxa"/>
            <w:vAlign w:val="bottom"/>
            <w:gridSpan w:val="3"/>
          </w:tcPr>
          <w:p>
            <w:pPr>
              <w:jc w:val="center"/>
              <w:ind w:left="554"/>
              <w:spacing w:after="0"/>
              <w:rPr>
                <w:sz w:val="20"/>
                <w:szCs w:val="20"/>
                <w:color w:val="auto"/>
              </w:rPr>
            </w:pPr>
            <w:r>
              <w:rPr>
                <w:rFonts w:ascii="Arial" w:cs="Arial" w:eastAsia="Arial" w:hAnsi="Arial"/>
                <w:sz w:val="43"/>
                <w:szCs w:val="43"/>
                <w:b w:val="1"/>
                <w:bCs w:val="1"/>
                <w:color w:val="auto"/>
              </w:rPr>
              <w:t>LAZARD LTD</w:t>
            </w: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8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2"/>
                <w:szCs w:val="22"/>
                <w:color w:val="auto"/>
              </w:rPr>
            </w:pPr>
          </w:p>
        </w:tc>
        <w:tc>
          <w:tcPr>
            <w:tcW w:w="4960" w:type="dxa"/>
            <w:vAlign w:val="bottom"/>
            <w:gridSpan w:val="4"/>
          </w:tcPr>
          <w:p>
            <w:pPr>
              <w:jc w:val="center"/>
              <w:ind w:right="3860"/>
              <w:spacing w:after="0"/>
              <w:rPr>
                <w:sz w:val="20"/>
                <w:szCs w:val="20"/>
                <w:color w:val="auto"/>
              </w:rPr>
            </w:pPr>
            <w:r>
              <w:rPr>
                <w:rFonts w:ascii="Arial" w:cs="Arial" w:eastAsia="Arial" w:hAnsi="Arial"/>
                <w:sz w:val="18"/>
                <w:szCs w:val="18"/>
                <w:b w:val="1"/>
                <w:bCs w:val="1"/>
                <w:color w:val="auto"/>
                <w:w w:val="89"/>
              </w:rPr>
              <w:t>Bermuda</w:t>
            </w:r>
          </w:p>
        </w:tc>
        <w:tc>
          <w:tcPr>
            <w:tcW w:w="204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rPr>
              <w:t>98-0437848</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960" w:type="dxa"/>
            <w:vAlign w:val="bottom"/>
            <w:gridSpan w:val="5"/>
          </w:tcPr>
          <w:p>
            <w:pPr>
              <w:jc w:val="center"/>
              <w:ind w:right="184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660" w:type="dxa"/>
            <w:vAlign w:val="bottom"/>
            <w:gridSpan w:val="4"/>
          </w:tcPr>
          <w:p>
            <w:pPr>
              <w:jc w:val="center"/>
              <w:ind w:left="10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4960" w:type="dxa"/>
            <w:vAlign w:val="bottom"/>
            <w:gridSpan w:val="4"/>
          </w:tcPr>
          <w:p>
            <w:pPr>
              <w:jc w:val="center"/>
              <w:ind w:right="3840"/>
              <w:spacing w:after="0"/>
              <w:rPr>
                <w:sz w:val="20"/>
                <w:szCs w:val="20"/>
                <w:color w:val="auto"/>
              </w:rPr>
            </w:pPr>
            <w:r>
              <w:rPr>
                <w:rFonts w:ascii="Arial" w:cs="Arial" w:eastAsia="Arial" w:hAnsi="Arial"/>
                <w:sz w:val="14"/>
                <w:szCs w:val="14"/>
                <w:b w:val="1"/>
                <w:bCs w:val="1"/>
                <w:color w:val="auto"/>
                <w:w w:val="88"/>
              </w:rPr>
              <w:t>or Organization)</w:t>
            </w: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Clarendon House</w:t>
            </w: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2 Church Street</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Hamilton HM11, Bermuda</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80" w:type="dxa"/>
            <w:vAlign w:val="bottom"/>
            <w:gridSpan w:val="3"/>
          </w:tcPr>
          <w:p>
            <w:pPr>
              <w:jc w:val="center"/>
              <w:ind w:left="554"/>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60" w:type="dxa"/>
            <w:vAlign w:val="bottom"/>
            <w:gridSpan w:val="4"/>
          </w:tcPr>
          <w:p>
            <w:pPr>
              <w:jc w:val="center"/>
              <w:ind w:right="622"/>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2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80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60" w:type="dxa"/>
            <w:vAlign w:val="bottom"/>
            <w:gridSpan w:val="4"/>
          </w:tcPr>
          <w:p>
            <w:pPr>
              <w:jc w:val="center"/>
              <w:ind w:right="622"/>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00" w:type="dxa"/>
            <w:vAlign w:val="bottom"/>
            <w:vMerge w:val="restart"/>
          </w:tcPr>
          <w:p>
            <w:pPr>
              <w:ind w:left="660"/>
              <w:spacing w:after="0"/>
              <w:rPr>
                <w:sz w:val="20"/>
                <w:szCs w:val="20"/>
                <w:color w:val="auto"/>
              </w:rPr>
            </w:pPr>
            <w:r>
              <w:rPr>
                <w:rFonts w:ascii="Arial" w:cs="Arial" w:eastAsia="Arial" w:hAnsi="Arial"/>
                <w:sz w:val="18"/>
                <w:szCs w:val="18"/>
                <w:b w:val="1"/>
                <w:bCs w:val="1"/>
                <w:color w:val="auto"/>
                <w:w w:val="88"/>
              </w:rPr>
              <w:t>Class A Common</w:t>
            </w: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Title of each class</w:t>
            </w:r>
          </w:p>
        </w:tc>
        <w:tc>
          <w:tcPr>
            <w:tcW w:w="3880" w:type="dxa"/>
            <w:vAlign w:val="bottom"/>
            <w:gridSpan w:val="3"/>
          </w:tcPr>
          <w:p>
            <w:pPr>
              <w:spacing w:after="0"/>
              <w:rPr>
                <w:sz w:val="22"/>
                <w:szCs w:val="22"/>
                <w:color w:val="auto"/>
              </w:rPr>
            </w:pPr>
          </w:p>
        </w:tc>
        <w:tc>
          <w:tcPr>
            <w:tcW w:w="2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22"/>
        </w:trPr>
        <w:tc>
          <w:tcPr>
            <w:tcW w:w="2000" w:type="dxa"/>
            <w:vAlign w:val="bottom"/>
            <w:vMerge w:val="continue"/>
          </w:tcPr>
          <w:p>
            <w:pPr>
              <w:spacing w:after="0"/>
              <w:rPr>
                <w:sz w:val="19"/>
                <w:szCs w:val="19"/>
                <w:color w:val="auto"/>
              </w:rPr>
            </w:pPr>
          </w:p>
        </w:tc>
        <w:tc>
          <w:tcPr>
            <w:tcW w:w="4960" w:type="dxa"/>
            <w:vAlign w:val="bottom"/>
            <w:gridSpan w:val="4"/>
          </w:tcPr>
          <w:p>
            <w:pPr>
              <w:spacing w:after="0"/>
              <w:rPr>
                <w:sz w:val="20"/>
                <w:szCs w:val="20"/>
                <w:color w:val="auto"/>
              </w:rPr>
            </w:pPr>
            <w:r>
              <w:rPr>
                <w:rFonts w:ascii="Arial" w:cs="Arial" w:eastAsia="Arial" w:hAnsi="Arial"/>
                <w:sz w:val="18"/>
                <w:szCs w:val="18"/>
                <w:b w:val="1"/>
                <w:bCs w:val="1"/>
                <w:color w:val="auto"/>
              </w:rPr>
              <w:t>Stock, par value $0.01 per share</w:t>
            </w:r>
          </w:p>
        </w:tc>
        <w:tc>
          <w:tcPr>
            <w:tcW w:w="26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c>
          <w:tcPr>
            <w:tcW w:w="0" w:type="dxa"/>
            <w:vAlign w:val="bottom"/>
          </w:tcPr>
          <w:p>
            <w:pPr>
              <w:spacing w:after="0"/>
              <w:rPr>
                <w:sz w:val="1"/>
                <w:szCs w:val="1"/>
                <w:color w:val="auto"/>
              </w:rPr>
            </w:pPr>
          </w:p>
        </w:tc>
      </w:tr>
      <w:tr>
        <w:trPr>
          <w:trHeight w:val="310"/>
        </w:trPr>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60" w:type="dxa"/>
            <w:vAlign w:val="bottom"/>
            <w:gridSpan w:val="4"/>
          </w:tcPr>
          <w:p>
            <w:pPr>
              <w:jc w:val="center"/>
              <w:ind w:right="642"/>
              <w:spacing w:after="0"/>
              <w:rPr>
                <w:sz w:val="20"/>
                <w:szCs w:val="20"/>
                <w:color w:val="auto"/>
              </w:rPr>
            </w:pPr>
            <w:r>
              <w:rPr>
                <w:rFonts w:ascii="Arial" w:cs="Arial" w:eastAsia="Arial" w:hAnsi="Arial"/>
                <w:sz w:val="18"/>
                <w:szCs w:val="18"/>
                <w:color w:val="auto"/>
                <w:w w:val="88"/>
              </w:rPr>
              <w:t>Securities Registered Pursuant to Section 12(g) of the Act: None</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340" w:type="dxa"/>
            <w:vAlign w:val="bottom"/>
            <w:gridSpan w:val="6"/>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20" w:type="dxa"/>
            <w:vAlign w:val="bottom"/>
          </w:tcPr>
          <w:p>
            <w:pPr>
              <w:ind w:left="14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75"/>
        </w:trPr>
        <w:tc>
          <w:tcPr>
            <w:tcW w:w="834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1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aggregate market value of the common stock held by non-affiliates of the Registrant as of June 30, 2015 was approximately $7,014,008,156.</w:t>
      </w:r>
    </w:p>
    <w:p>
      <w:pPr>
        <w:spacing w:after="0" w:line="86" w:lineRule="exact"/>
        <w:rPr>
          <w:sz w:val="24"/>
          <w:szCs w:val="24"/>
          <w:color w:val="auto"/>
        </w:rPr>
      </w:pPr>
    </w:p>
    <w:p>
      <w:pPr>
        <w:ind w:right="760" w:firstLine="342"/>
        <w:spacing w:after="0" w:line="268" w:lineRule="auto"/>
        <w:rPr>
          <w:sz w:val="20"/>
          <w:szCs w:val="20"/>
          <w:color w:val="auto"/>
        </w:rPr>
      </w:pPr>
      <w:r>
        <w:rPr>
          <w:rFonts w:ascii="Arial" w:cs="Arial" w:eastAsia="Arial" w:hAnsi="Arial"/>
          <w:sz w:val="18"/>
          <w:szCs w:val="18"/>
          <w:color w:val="auto"/>
        </w:rPr>
        <w:t>As of January 29, 2016, there were 129,766,091 shares of the Registrant’s Class A common stock outstanding (including 4,449,396 shares held by subsidiaries).</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right="60" w:firstLine="342"/>
        <w:spacing w:after="0" w:line="268" w:lineRule="auto"/>
        <w:rPr>
          <w:sz w:val="20"/>
          <w:szCs w:val="20"/>
          <w:color w:val="auto"/>
        </w:rPr>
      </w:pPr>
      <w:r>
        <w:rPr>
          <w:rFonts w:ascii="Arial" w:cs="Arial" w:eastAsia="Arial" w:hAnsi="Arial"/>
          <w:sz w:val="18"/>
          <w:szCs w:val="18"/>
          <w:color w:val="auto"/>
        </w:rPr>
        <w:t>Portions of the Registrant’s proxy statement for its 2016 annual general meeting of shareholders are incorporated by reference in this Form 10-K in response to Part III Items 10, 11, 12, 13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ANNUAL REPORT ON FORM 10-K</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7"/>
              </w:rPr>
              <w:t>Form 10-K Item Number</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57"/>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1020" w:type="dxa"/>
            <w:vAlign w:val="bottom"/>
            <w:gridSpan w:val="5"/>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800" w:type="dxa"/>
            <w:vAlign w:val="bottom"/>
            <w:gridSpan w:val="2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Executive Officers of the Registrant</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1A.</w:t>
            </w:r>
          </w:p>
        </w:tc>
        <w:tc>
          <w:tcPr>
            <w:tcW w:w="2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6">
              <w:r>
                <w:rPr>
                  <w:rFonts w:ascii="Arial" w:cs="Arial" w:eastAsia="Arial" w:hAnsi="Arial"/>
                  <w:sz w:val="18"/>
                  <w:szCs w:val="18"/>
                  <w:color w:val="0000EE"/>
                  <w:w w:val="85"/>
                </w:rPr>
                <w:t>Risk Factors</w:t>
              </w:r>
            </w:hyperlink>
          </w:p>
        </w:tc>
        <w:tc>
          <w:tcPr>
            <w:tcW w:w="1640" w:type="dxa"/>
            <w:vAlign w:val="bottom"/>
            <w:tcBorders>
              <w:top w:val="single" w:sz="8" w:color="0000EE"/>
            </w:tcBorders>
            <w:gridSpan w:val="7"/>
          </w:tcPr>
          <w:p>
            <w:pPr>
              <w:spacing w:after="0"/>
              <w:rPr>
                <w:sz w:val="24"/>
                <w:szCs w:val="24"/>
                <w:color w:val="auto"/>
              </w:rPr>
            </w:pPr>
          </w:p>
        </w:tc>
        <w:tc>
          <w:tcPr>
            <w:tcW w:w="690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1B.</w:t>
            </w:r>
          </w:p>
        </w:tc>
        <w:tc>
          <w:tcPr>
            <w:tcW w:w="20" w:type="dxa"/>
            <w:vAlign w:val="bottom"/>
          </w:tcPr>
          <w:p>
            <w:pPr>
              <w:spacing w:after="0"/>
              <w:rPr>
                <w:sz w:val="24"/>
                <w:szCs w:val="24"/>
                <w:color w:val="auto"/>
              </w:rPr>
            </w:pPr>
          </w:p>
        </w:tc>
        <w:tc>
          <w:tcPr>
            <w:tcW w:w="20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Unresolved Staff Comments</w:t>
              </w:r>
            </w:hyperlink>
          </w:p>
        </w:tc>
        <w:tc>
          <w:tcPr>
            <w:tcW w:w="742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Legal Proceedings</w:t>
              </w:r>
            </w:hyperlink>
          </w:p>
        </w:tc>
        <w:tc>
          <w:tcPr>
            <w:tcW w:w="812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PART II</w:t>
              </w:r>
            </w:hyperlink>
          </w:p>
        </w:tc>
        <w:tc>
          <w:tcPr>
            <w:tcW w:w="9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24"/>
                <w:szCs w:val="24"/>
                <w:color w:val="auto"/>
              </w:rPr>
            </w:pPr>
          </w:p>
        </w:tc>
        <w:tc>
          <w:tcPr>
            <w:tcW w:w="788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Market for Registrant’s Common Equity, Related Stockholder Matters and Issuer Purchases of Equity Securities</w:t>
              </w:r>
            </w:hyperlink>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Selected Financial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w:t>
            </w:r>
          </w:p>
        </w:tc>
        <w:tc>
          <w:tcPr>
            <w:tcW w:w="20" w:type="dxa"/>
            <w:vAlign w:val="bottom"/>
          </w:tcPr>
          <w:p>
            <w:pPr>
              <w:spacing w:after="0"/>
              <w:rPr>
                <w:sz w:val="24"/>
                <w:szCs w:val="24"/>
                <w:color w:val="auto"/>
              </w:rPr>
            </w:pP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Management’s Discussion and Analysis of Financial Condition and Results of Operations</w:t>
              </w:r>
            </w:hyperlink>
          </w:p>
        </w:tc>
        <w:tc>
          <w:tcPr>
            <w:tcW w:w="312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7A.</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8.</w:t>
            </w:r>
          </w:p>
        </w:tc>
        <w:tc>
          <w:tcPr>
            <w:tcW w:w="20" w:type="dxa"/>
            <w:vAlign w:val="bottom"/>
          </w:tcPr>
          <w:p>
            <w:pPr>
              <w:spacing w:after="0"/>
              <w:rPr>
                <w:sz w:val="24"/>
                <w:szCs w:val="24"/>
                <w:color w:val="auto"/>
              </w:rPr>
            </w:pPr>
          </w:p>
        </w:tc>
        <w:tc>
          <w:tcPr>
            <w:tcW w:w="4240" w:type="dxa"/>
            <w:vAlign w:val="bottom"/>
            <w:tcBorders>
              <w:top w:val="single" w:sz="8" w:color="0000EE"/>
            </w:tcBorders>
            <w:gridSpan w:val="15"/>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Financial Statements and Supplementary Data</w:t>
              </w:r>
            </w:hyperlink>
          </w:p>
        </w:tc>
        <w:tc>
          <w:tcPr>
            <w:tcW w:w="518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w:t>
            </w:r>
          </w:p>
        </w:tc>
        <w:tc>
          <w:tcPr>
            <w:tcW w:w="20" w:type="dxa"/>
            <w:vAlign w:val="bottom"/>
          </w:tcPr>
          <w:p>
            <w:pPr>
              <w:spacing w:after="0"/>
              <w:rPr>
                <w:sz w:val="24"/>
                <w:szCs w:val="24"/>
                <w:color w:val="auto"/>
              </w:rPr>
            </w:pPr>
          </w:p>
        </w:tc>
        <w:tc>
          <w:tcPr>
            <w:tcW w:w="63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135">
              <w:r>
                <w:rPr>
                  <w:rFonts w:ascii="Arial" w:cs="Arial" w:eastAsia="Arial" w:hAnsi="Arial"/>
                  <w:sz w:val="18"/>
                  <w:szCs w:val="18"/>
                  <w:color w:val="0000EE"/>
                  <w:w w:val="88"/>
                </w:rPr>
                <w:t>Changes in and Disagreements with Accountants on Accounting and Financial Disclosure</w:t>
              </w:r>
            </w:hyperlink>
          </w:p>
        </w:tc>
        <w:tc>
          <w:tcPr>
            <w:tcW w:w="310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9A.</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9B.</w:t>
            </w:r>
          </w:p>
        </w:tc>
        <w:tc>
          <w:tcPr>
            <w:tcW w:w="20" w:type="dxa"/>
            <w:vAlign w:val="bottom"/>
          </w:tcPr>
          <w:p>
            <w:pPr>
              <w:spacing w:after="0"/>
              <w:rPr>
                <w:sz w:val="24"/>
                <w:szCs w:val="24"/>
                <w:color w:val="auto"/>
              </w:rPr>
            </w:pP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Other Information</w:t>
              </w:r>
            </w:hyperlink>
          </w:p>
        </w:tc>
        <w:tc>
          <w:tcPr>
            <w:tcW w:w="770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PART III</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10.</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11.</w:t>
            </w:r>
          </w:p>
        </w:tc>
        <w:tc>
          <w:tcPr>
            <w:tcW w:w="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136">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6"/>
          </w:tcPr>
          <w:p>
            <w:pPr>
              <w:spacing w:after="0"/>
              <w:rPr>
                <w:sz w:val="24"/>
                <w:szCs w:val="24"/>
                <w:color w:val="auto"/>
              </w:rPr>
            </w:pPr>
          </w:p>
        </w:tc>
        <w:tc>
          <w:tcPr>
            <w:tcW w:w="544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12.</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13.</w:t>
            </w:r>
          </w:p>
        </w:tc>
        <w:tc>
          <w:tcPr>
            <w:tcW w:w="20" w:type="dxa"/>
            <w:vAlign w:val="bottom"/>
          </w:tcPr>
          <w:p>
            <w:pPr>
              <w:spacing w:after="0"/>
              <w:rPr>
                <w:sz w:val="24"/>
                <w:szCs w:val="24"/>
                <w:color w:val="auto"/>
              </w:rPr>
            </w:pPr>
          </w:p>
        </w:tc>
        <w:tc>
          <w:tcPr>
            <w:tcW w:w="53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7"/>
              </w:rPr>
            </w:pPr>
            <w:hyperlink w:anchor="page137">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4"/>
          </w:tcPr>
          <w:p>
            <w:pPr>
              <w:spacing w:after="0"/>
              <w:rPr>
                <w:sz w:val="24"/>
                <w:szCs w:val="24"/>
                <w:color w:val="auto"/>
              </w:rPr>
            </w:pPr>
          </w:p>
        </w:tc>
        <w:tc>
          <w:tcPr>
            <w:tcW w:w="232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14.</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Principal Accounting Fees and Services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30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38">
              <w:r>
                <w:rPr>
                  <w:rFonts w:ascii="Arial" w:cs="Arial" w:eastAsia="Arial" w:hAnsi="Arial"/>
                  <w:sz w:val="18"/>
                  <w:szCs w:val="18"/>
                  <w:color w:val="0000EE"/>
                  <w:w w:val="91"/>
                </w:rPr>
                <w:t>PART IV</w:t>
              </w:r>
            </w:hyperlink>
          </w:p>
        </w:tc>
        <w:tc>
          <w:tcPr>
            <w:tcW w:w="9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15.</w:t>
            </w:r>
          </w:p>
        </w:tc>
        <w:tc>
          <w:tcPr>
            <w:tcW w:w="20" w:type="dxa"/>
            <w:vAlign w:val="bottom"/>
          </w:tcPr>
          <w:p>
            <w:pPr>
              <w:spacing w:after="0"/>
              <w:rPr>
                <w:sz w:val="24"/>
                <w:szCs w:val="24"/>
                <w:color w:val="auto"/>
              </w:rPr>
            </w:pPr>
          </w:p>
        </w:tc>
        <w:tc>
          <w:tcPr>
            <w:tcW w:w="30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38">
              <w:r>
                <w:rPr>
                  <w:rFonts w:ascii="Arial" w:cs="Arial" w:eastAsia="Arial" w:hAnsi="Arial"/>
                  <w:sz w:val="18"/>
                  <w:szCs w:val="18"/>
                  <w:color w:val="0000EE"/>
                  <w:w w:val="87"/>
                </w:rPr>
                <w:t>Exhibits and Financial Statement Schedules</w:t>
              </w:r>
            </w:hyperlink>
          </w:p>
        </w:tc>
        <w:tc>
          <w:tcPr>
            <w:tcW w:w="634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Index to Financial Statements and Financial Statement Schedule Items 15(a)(1) and 15(a)(2)</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38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40" w:type="dxa"/>
            <w:vAlign w:val="bottom"/>
            <w:gridSpan w:val="8"/>
          </w:tcPr>
          <w:p>
            <w:pPr>
              <w:ind w:left="120"/>
              <w:spacing w:after="0"/>
              <w:rPr>
                <w:sz w:val="20"/>
                <w:szCs w:val="20"/>
                <w:color w:val="auto"/>
              </w:rPr>
            </w:pPr>
            <w:r>
              <w:rPr>
                <w:rFonts w:ascii="Arial" w:cs="Arial" w:eastAsia="Arial" w:hAnsi="Arial"/>
                <w:sz w:val="18"/>
                <w:szCs w:val="18"/>
                <w:color w:val="auto"/>
              </w:rPr>
              <w:t>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December 31, 2015 of all of the common membership interests in Lazard Group and its controlling interest in Lazard Group.</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Lines</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We focus primarily on two business segments: Financial Advisory and Asset Management. We believe that the mix of our activities across business segments, geographic regions, industries and investment strategies helps to diversify and stabilize our revenue stream.</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Financial Advisory business offers corporate, partnership, institutional, government, sovereign and individual clients across the globe a wide array of financial advisory services regarding mergers and acquisitions (“</w:t>
      </w:r>
      <w:r>
        <w:rPr>
          <w:rFonts w:ascii="Arial" w:cs="Arial" w:eastAsia="Arial" w:hAnsi="Arial"/>
          <w:sz w:val="18"/>
          <w:szCs w:val="18"/>
          <w:i w:val="1"/>
          <w:iCs w:val="1"/>
          <w:color w:val="auto"/>
        </w:rPr>
        <w:t>M&amp;A</w:t>
      </w:r>
      <w:r>
        <w:rPr>
          <w:rFonts w:ascii="Arial" w:cs="Arial" w:eastAsia="Arial" w:hAnsi="Arial"/>
          <w:sz w:val="18"/>
          <w:szCs w:val="18"/>
          <w:color w:val="auto"/>
        </w:rPr>
        <w:t>”) and other strategic matters, restructurings, capital structure, capital raising, corporate preparedness and various other financial matters. We focus on solving our clients’ most complex issues, providing advice to key decision-makers, senior management, boards of directors and business owners, as well as governments and governmental agencies, in transactions that typically are of significant strategic and financial importance to them.</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continue to build our Financial Advisory business by fostering long-term, senior level relationships with existing and new clients as their independent advisor on strategic transactions and other matters. We seek to build and sustain long-term relationships with our clients rather than focusing simply on individual transactions, a practice that we believe enhances our access to senior management of major corporations and institutions around the world. We emphasize providing clients with senior level focus during all phases of transaction analysis and execution.</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For the years ended December 31, 2015, 2014 and 2013, our Financial Advisory segment net revenue totaled $1.280 billion, $1.207 billion and $981 million, respectively, accounting for approximately 54%, 53% and 49%, respectively, of our consolidated net revenue for such years. We earned $1 million or more from 268 clients, 281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clients and 235 clients for the years ended December 31, 2015, 2014 and 2013, respectively. For the years ended December 31, 2015, 2014 and 2013, the ten largest fee paying clients constituted approximately 17%, 15% and 19%, respectively, of our Financial Advisory segment net revenue, with no client individually contributing more than 10% of segment net revenue during any of these years. For the years ended December 31, 2015, 2014 and 2013, our Financial Advisory segment reported operating income of $274 million, $229 million and $21 million, respectively. Operating income in 2013 included charges of $47 million associated with the cost saving initiatives (as described in Note 16 of Notes to Consolidated Financial Statements) announced by the Company in October 2012. Excluding the impact of such charges, our Financial Advisory segment had operating income of $68 million in the year ended December 31, 2013. At December 31, 2015, 2014 and 2013, our Financial Advisory segment had total assets of $763 million, $786 million and $715 million, respectively.</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believe that we have been pioneers in offering financial advisory services on an international basis, with the establishment of our New York, Paris and London offices dating back to the nineteenth century. We maintain a major local presence in the United States (“U.S.”), the United Kingdom (the “U.K.”) and France, including a network of regional branch offices in the U.S., as well as a presence in Argentina, Australia, Belgium, Brazil, Chile, China, Colombia, Germany, Hong Kong, India, Italy, Japan, Korea, the Netherlands, Panama, Peru, Singapore, Spain, Sweden, Switzerland and the Middle East Region.</w:t>
      </w:r>
    </w:p>
    <w:p>
      <w:pPr>
        <w:spacing w:after="0" w:line="11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addition to seeking business centered in the regions described above, we historically have focused in particular on advising clients with respect to cross-border transactions. We believe that we are particularly well known for our legacy of offering broad teams of professionals who are indigenous to their respective regions, who have long-term client relationships, capabilities and know-how in their respective regions, and who will coordinate with our professionals who have global sector expertise. We also believe that this positioning affords us insight around the globe into key industry, economic, governmental and regulatory issues and developments, which we can bring to bear on behalf of our clients.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Financial Advisory business has made certain business acquisitions and entered into other strategic business relationships. For example, in 2012, we integrated our Brazilian operations based in São Paulo, and established a Lazard Africa initiative to leverage our sovereign and corporate expertise in this rapidly growing region, for our clients in both developed and developing countries. In addition, in 2014, we acquired certain securities sales and trading assets that facilitate the execution of exchange offers and other transactions related to financial advice provided by our Capital Advisory and Convertible Securities practice groups, and we took other steps that have enabled us to act as an underwriter in public offerings and other distributions of securities in order to buttress our Financial Advisory business. In 2015, we established a Lazard Central and Eastern Europe initiative to provide financial advisory services to businesses and governments in the region, as well as to our clients outside the region that are active in the region.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Services Offered</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advise clients on a wide range of strategic and financial issues. When we advise clients on the potential acquisition of another company, business or certain assets, our services include evaluating potential acquisition targets, providing valuation analyses, evaluating and proposing financial and structural alternatives, and rendering, if appropriate, fairness opinions. We also may advise as to the timing,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When we advise clients that are contemplating the sale of certain businesses, assets or an entire company, our services include advising on the sale process for the situation, providing valuation analyses, assisting in preparing an offering circular or other appropriate sale materials and rendering, if appropriate, fairness opinions. We also identify and contact selected qualified acquirors and assist in negotiating and closing the proposed sale. As appropriate, we also advise our clients regarding potential financial and strategic alternatives to a sale, including recapitalizations, spin-offs, carve-outs and split-offs. We frequently provide advice with respect to the structure, timing and pricing of these alternatives.</w:t>
      </w:r>
    </w:p>
    <w:p>
      <w:pPr>
        <w:spacing w:after="0" w:line="116"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For companies in financial distress, our services may include reviewing and analyzing the business, operations, properties, financial condition and prospects of the company, evaluating debt capacity, assisting in the determination of an appropriate capital structure and evaluating financial and strategic alternatives. If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certain aspects of the implementation of such a plan, including advising and assisting in structuring and effecting the financial aspects of a sale or recapitalization, structuring new securities, exchange offers, other consideration or other inducements to be offered or issued, as well as assisting and participating in negotiations with affected entities or groups.</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When we assist clients in connection with their capital structure, we typically review and analyze structural alternatives, assist in long-term capital planning and advise and assist with respect to rating agency discussions and relationships, among other things.</w:t>
      </w:r>
    </w:p>
    <w:p>
      <w:pPr>
        <w:spacing w:after="0" w:line="13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When we assist clients in connection with corporate preparedness matters, our services may include reviewing and analyzing the business and financial condition of the company and assisting in the evaluation of defense measures and strategic alternatives potentially available to the company.</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When we assist clients in raising private or public market financing, our services include assisting clients in connection with securing, refinancing or restructuring bank loans or other debt, including convertible securities, originating and executing, or participating in, public underwritings and private placements of equity, debt and convertible securities and originating and executing private placements of partnership and similar interests in alternative investment funds such as leveraged buyout, mezzanine or real estate focused funds.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at the forefront of providing independent advice to governments and governmental agencies challenged by the current economic environment.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Lazard’s Sovereign Advisory Group has advised a number of countries and institutions with respect to sovereign debt and other financial matters.</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Staffing</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staff each of our assignments with a team of quality professionals who have appropriate product and industry expertise. We pride ourselves on, and we believe we differentiate ourselves from our competitors by, being able to offer a high level of attention from senior personnel to our clients and organizing ourselves in such a way that managing directors who are responsible for securing and maintaining client relationships also actively participate in providing related advice and services. Our managing directors have significant experience, and many of them are able to use this experience to advise on M&amp;A, financings, restructurings, capital structure, corporate preparedness and other transactions or financial matters, depending on our clients’ needs. Many of our managing directors and senior employees come from diverse backgrounds, such as senior executive positions at corporations and in government, law and strategic consulting, which we believe enhances our ability to offer sophisticated advice and customized solutions to our clients. As of December 31, 2015, our Financial Advisory segment had 139 managing directors and 768 other professionals (which includes directors, vice presidents, associates and analysts).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Industries Served</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seek to offer our services across most major industry groups, including, in many cases, sub-industry specialties. Managing directors and professionals in our Mergers and Acquisitions practice are organized to provide advice in the following major industry practice areas:</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 care and life sciences;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and energy/infrastructure;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 estate;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71"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scope and the quality of the advice that we can offer, which improves our ability to market our capabilities to clients.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our Mergers and Acquisitions and Restructuring practices, we also maintain specialties in the following distinct practice areas within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Financial Advisory business:</w:t>
      </w:r>
    </w:p>
    <w:p>
      <w:pPr>
        <w:spacing w:after="0" w:line="84"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 and sovereign advisory;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structure and debt advisory;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preparedness and defense advisory;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fund raising for alternative investment funds;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finance and other services, including private placements, underwritten offerings related to our Financial Advisory business and transactions involving the exchange or issuance of convertible securities.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focus in our Financial Advisory business is on:</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investing in our intellectual capital through senior professionals who we believe have strong client relationships and industry expertise;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increasing our contacts with existing clients to further enhance our long-term relationships and our efforts in developing new client relationships;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new client relationships;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the breadth and depth of our industry expertise and selectively adding or reinforcing practice areas, such as our Capital Structure Advisory, Corporate Preparedness and Sovereign Advisory groups;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coordinating our industry specialty activities on a global basis and increasing the integration of our industry experts in Mergers and Acquisitions with our other professionals;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selectively bolstering our existing presence in certain local markets;</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broadening our geographic presence by adding new offices, including, since the beginning of 2009, offices in Australia (Perth) and the Middle East Region, as well as integrating our Brazilian operations based in São Paulo and establishing the Lazard Africa and Lazard Central and Eastern Europe initiatives; and</w:t>
      </w:r>
    </w:p>
    <w:p>
      <w:pPr>
        <w:spacing w:after="0" w:line="59"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deploying our intellectual capital, strong client relationships and other assets to generate new revenue streams, including, for example, revenue that may be generated by acting as an underwriter in public offerings and other distributions of securities related to the activities of our Financial Advisory business.</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to the investments made as part of this strategy, we believe that our Financial Advisory business may benefit from external market factors, including:</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independent, unbiased financial advice;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reduction, recapitalization and related activities that are occurring in developed and emerging markets;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relatively low interest rates and high corporate cash balances in the current macroeconomic environment;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favorable levels of cross-border M&amp;A and large capitalization M&amp;A, two of our areas of historical specialization.</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Going forward, our strategic emphasis in our Financial Advisory business is to leverage the investments we have made to grow our business and drive our productivity. We continue to seek to opportunistically attract outstanding individuals to our business. We routinely reassess our strategic position and may in the future seek opportunities to further enhance our competitive position.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Asset Management business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 Our goal in our Asset Management business is to produce superior risk-adjusted investment returns and provide customized investment solutions for our clients. Many of our equity investment strategies share an investment philosophy that centers on fundamental security selection with a focus on analyzing, among other things, a company’s financial position, outlook, opportunities and risks, together with its valuation.</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December 31, 2015, total assets under management (“AUM”) were $186 billion, of which approximately 81% was invested in equities, 16% in fixed income, 2% in alternative investments and 1% in private equity funds. As of the same date, within the equity asset class, approximately 35% of our AUM was invested in multi-regional (</w:t>
      </w:r>
      <w:r>
        <w:rPr>
          <w:rFonts w:ascii="Arial" w:cs="Arial" w:eastAsia="Arial" w:hAnsi="Arial"/>
          <w:sz w:val="16"/>
          <w:szCs w:val="16"/>
          <w:i w:val="1"/>
          <w:iCs w:val="1"/>
          <w:color w:val="auto"/>
        </w:rPr>
        <w:t>i.e.,</w:t>
      </w:r>
      <w:r>
        <w:rPr>
          <w:rFonts w:ascii="Arial" w:cs="Arial" w:eastAsia="Arial" w:hAnsi="Arial"/>
          <w:sz w:val="16"/>
          <w:szCs w:val="16"/>
          <w:color w:val="auto"/>
        </w:rPr>
        <w:t xml:space="preserve"> non-U.S. and regional non-U.S.) investment strategies, 24% in emerging markets strategies, 21% in global investment strategies and 20% in local investment strategies. Within the fixed income asset class, approximately 47% of our AUM was invested in emerging markets strategies, 26% in multi-regional (</w:t>
      </w:r>
      <w:r>
        <w:rPr>
          <w:rFonts w:ascii="Arial" w:cs="Arial" w:eastAsia="Arial" w:hAnsi="Arial"/>
          <w:sz w:val="16"/>
          <w:szCs w:val="16"/>
          <w:i w:val="1"/>
          <w:iCs w:val="1"/>
          <w:color w:val="auto"/>
        </w:rPr>
        <w:t>i.e.,</w:t>
      </w:r>
      <w:r>
        <w:rPr>
          <w:rFonts w:ascii="Arial" w:cs="Arial" w:eastAsia="Arial" w:hAnsi="Arial"/>
          <w:sz w:val="16"/>
          <w:szCs w:val="16"/>
          <w:color w:val="auto"/>
        </w:rPr>
        <w:t xml:space="preserve"> non-U.S. and regional non-U.S.) investment strategies, 14% in global investment strategies and 13% in local investment strategies. Our top ten clients accounted for 21%, 24% and 24% of our total AUM at December 31, 2015, 2014 and 2013, respectively, with no client individually contributing more than 10% of our Asset Management segment net revenue during any of the respective years. Approximately 89% of our AUM as of December 31, 2015 was managed on behalf of institutional clients, including corporations, labor unions, public pension funds, insurance companies and banks, and through sub-advisory relationships, mutual fund sponsors, broker-dealers and registered advisors, and approximately 11% of our AUM was managed on behalf of individual client relationships, which are principally with family offices and high-net worth individuals.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charts below illustrate the mix of our AUM as of December 31, 2015, measured by broad product strategy and by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139700</wp:posOffset>
            </wp:positionV>
            <wp:extent cx="4613910" cy="1337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13910"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For the years ended December 31, 2015, 2014 and 2013, our Asset Management segment net revenue totaled $1.111 billion, $1.135 billion and $1.039 billion, respectively, accounting for approximately 47%, 49% and 52%, respectively, of our consolidated net revenue for such years. For the years ended December 31, 2015, 2014 and 2013, our Asset Management segment reported operating income of $374 million, $385 million and $335 million, respectively. Operating income in 2013 included charges of $0.2 million associated with the cost saving initiatives announced by the Company in October 2012, and a charge of $12 million relating to private equity incentive compensation (as described in “Management’s Discussion and Analysis of Financial Condition and Results of Operations”). Excluding the impact of such charges, our Asset Management segment had operating income of $347 million for the year ended December 31, 2013. At December 31, 2015, 2014 and 2013, our Asset Management segment had total assets of $640 million, $588 million and $612 million, respectively.</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LAM and LFG</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largest Asset Management businesses are Lazard Asset Management LLC and its subsidiaries (“LAM”), with offices in New York, Boston, Chicago, Dubai, Dublin, Frankfurt, Hamburg, Hong Kong, London, Manama, Milan, Montreal, San Francisco, Seoul, Singapore, Sydney, Tokyo, Toronto and Zurich (aggregating approximately $168 billion in total AUM as of December 31, 2015), and Lazard Frères Gestion SAS (“LFG”), with offices in Paris, Bordeaux, Brussels, Lyon and Nantes (aggregating approximately $17 billion in total AUM as of December 31, 2015). These operations, with 90 managing directors and 392 professionals as of December 31, 2015, provide our Asset Management business with both a global presence and a local identity.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Primary distinguishing features of these operations include:</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global footprint with global research, global mandates and global clients;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broad-based team of investment professionals, including focused, in-house investment analysts across all products and platforms, many of whom have substantial industry or sector specific expertise;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brand recognition and multi-channel distribution capabilities.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Our Investment Philosophy, Process and Research</w:t>
      </w:r>
      <w:r>
        <w:rPr>
          <w:rFonts w:ascii="Arial" w:cs="Arial" w:eastAsia="Arial" w:hAnsi="Arial"/>
          <w:sz w:val="18"/>
          <w:szCs w:val="18"/>
          <w:color w:val="auto"/>
        </w:rPr>
        <w:t>. Our investment philosophy is generally based upon a fundamental security selection approach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Across many of our products, we apply three key principles to investment portfolios:</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 securities, not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 a company’s financial position, outlook, opportunities and risks, together with its valuation;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risk.</w:t>
      </w:r>
    </w:p>
    <w:p>
      <w:pPr>
        <w:spacing w:after="0" w:line="171"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In searching for equity investment opportunities, many of our investment professionals follow an investment process that incorporates several interconnected components that may include:</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analytical analysis and screening;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accounting analysis;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fundamental analysis;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selection and portfolio construction;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management.</w:t>
      </w:r>
    </w:p>
    <w:p>
      <w:pPr>
        <w:spacing w:after="0" w:line="17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In our Asset Management business, we conduct investment research on a global basis to develop market, industry and company specific insights and evaluate investment opportunities. Our global equity analysts, located in our worldwide offices, are organized around six global industry sectors:</w:t>
      </w:r>
    </w:p>
    <w:p>
      <w:pPr>
        <w:spacing w:after="0" w:line="4"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goods;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240" w:top="459" w:right="3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health care;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power and energy;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7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Investment Strategies</w:t>
      </w:r>
      <w:r>
        <w:rPr>
          <w:rFonts w:ascii="Arial" w:cs="Arial" w:eastAsia="Arial" w:hAnsi="Arial"/>
          <w:sz w:val="16"/>
          <w:szCs w:val="16"/>
          <w:color w:val="auto"/>
        </w:rPr>
        <w:t>. Our Asset Management business provides equity, fixed income, cash management and alternative investment strategies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paying close attention to our clients’ varying and expanding investment needs. We offer the following product platform of investment strategies:</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Equity</w:t>
            </w:r>
          </w:p>
        </w:tc>
        <w:tc>
          <w:tcPr>
            <w:tcW w:w="188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Global</w:t>
            </w:r>
          </w:p>
        </w:tc>
        <w:tc>
          <w:tcPr>
            <w:tcW w:w="0" w:type="dxa"/>
            <w:vAlign w:val="bottom"/>
          </w:tcPr>
          <w:p>
            <w:pPr>
              <w:spacing w:after="0"/>
              <w:rPr>
                <w:sz w:val="1"/>
                <w:szCs w:val="1"/>
                <w:color w:val="auto"/>
              </w:rPr>
            </w:pPr>
          </w:p>
        </w:tc>
      </w:tr>
      <w:tr>
        <w:trPr>
          <w:trHeight w:val="131"/>
        </w:trPr>
        <w:tc>
          <w:tcPr>
            <w:tcW w:w="1280" w:type="dxa"/>
            <w:vAlign w:val="bottom"/>
            <w:vMerge w:val="continue"/>
          </w:tcPr>
          <w:p>
            <w:pPr>
              <w:spacing w:after="0"/>
              <w:rPr>
                <w:sz w:val="11"/>
                <w:szCs w:val="11"/>
                <w:color w:val="auto"/>
              </w:rPr>
            </w:pPr>
          </w:p>
        </w:tc>
        <w:tc>
          <w:tcPr>
            <w:tcW w:w="1880" w:type="dxa"/>
            <w:vAlign w:val="bottom"/>
          </w:tcPr>
          <w:p>
            <w:pPr>
              <w:ind w:left="880"/>
              <w:spacing w:after="0" w:line="131" w:lineRule="exact"/>
              <w:rPr>
                <w:sz w:val="20"/>
                <w:szCs w:val="20"/>
                <w:color w:val="auto"/>
              </w:rPr>
            </w:pPr>
            <w:r>
              <w:rPr>
                <w:rFonts w:ascii="Arial" w:cs="Arial" w:eastAsia="Arial" w:hAnsi="Arial"/>
                <w:sz w:val="14"/>
                <w:szCs w:val="14"/>
                <w:b w:val="1"/>
                <w:bCs w:val="1"/>
                <w:i w:val="1"/>
                <w:iCs w:val="1"/>
                <w:color w:val="auto"/>
              </w:rPr>
              <w:t>Global</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Large Capitalization</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Small Capitalization</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Thematic</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Convertibles</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Listed Infrastructure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Quantitative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Trend</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Real Estate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Multi Strategies</w:t>
            </w:r>
          </w:p>
        </w:tc>
        <w:tc>
          <w:tcPr>
            <w:tcW w:w="0" w:type="dxa"/>
            <w:vAlign w:val="bottom"/>
          </w:tcPr>
          <w:p>
            <w:pPr>
              <w:spacing w:after="0"/>
              <w:rPr>
                <w:sz w:val="1"/>
                <w:szCs w:val="1"/>
                <w:color w:val="auto"/>
              </w:rPr>
            </w:pPr>
          </w:p>
        </w:tc>
      </w:tr>
      <w:tr>
        <w:trPr>
          <w:trHeight w:val="172"/>
        </w:trPr>
        <w:tc>
          <w:tcPr>
            <w:tcW w:w="1280" w:type="dxa"/>
            <w:vAlign w:val="bottom"/>
          </w:tcPr>
          <w:p>
            <w:pPr>
              <w:spacing w:after="0"/>
              <w:rPr>
                <w:sz w:val="14"/>
                <w:szCs w:val="14"/>
                <w:color w:val="auto"/>
              </w:rPr>
            </w:pPr>
          </w:p>
        </w:tc>
        <w:tc>
          <w:tcPr>
            <w:tcW w:w="2300" w:type="dxa"/>
            <w:vAlign w:val="bottom"/>
            <w:gridSpan w:val="2"/>
          </w:tcPr>
          <w:p>
            <w:pPr>
              <w:ind w:left="880"/>
              <w:spacing w:after="0"/>
              <w:rPr>
                <w:sz w:val="20"/>
                <w:szCs w:val="20"/>
                <w:color w:val="auto"/>
              </w:rPr>
            </w:pPr>
            <w:r>
              <w:rPr>
                <w:rFonts w:ascii="Arial" w:cs="Arial" w:eastAsia="Arial" w:hAnsi="Arial"/>
                <w:sz w:val="14"/>
                <w:szCs w:val="14"/>
                <w:color w:val="auto"/>
              </w:rPr>
              <w:t>Managed Volatility</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160"/>
        <w:spacing w:after="0"/>
        <w:rPr>
          <w:sz w:val="20"/>
          <w:szCs w:val="20"/>
          <w:color w:val="auto"/>
        </w:rPr>
      </w:pPr>
      <w:r>
        <w:rPr>
          <w:rFonts w:ascii="Arial" w:cs="Arial" w:eastAsia="Arial" w:hAnsi="Arial"/>
          <w:sz w:val="14"/>
          <w:szCs w:val="14"/>
          <w:b w:val="1"/>
          <w:bCs w:val="1"/>
          <w:i w:val="1"/>
          <w:iCs w:val="1"/>
          <w:color w:val="auto"/>
        </w:rPr>
        <w:t>Global Ex</w:t>
      </w:r>
    </w:p>
    <w:p>
      <w:pPr>
        <w:ind w:left="2160"/>
        <w:spacing w:after="0" w:line="221" w:lineRule="auto"/>
        <w:rPr>
          <w:sz w:val="20"/>
          <w:szCs w:val="20"/>
          <w:color w:val="auto"/>
        </w:rPr>
      </w:pPr>
      <w:r>
        <w:rPr>
          <w:rFonts w:ascii="Arial" w:cs="Arial" w:eastAsia="Arial" w:hAnsi="Arial"/>
          <w:sz w:val="14"/>
          <w:szCs w:val="14"/>
          <w:color w:val="auto"/>
        </w:rPr>
        <w:t>Global Ex-U.K.</w:t>
      </w:r>
    </w:p>
    <w:p>
      <w:pPr>
        <w:ind w:left="2160"/>
        <w:spacing w:after="0" w:line="221" w:lineRule="auto"/>
        <w:rPr>
          <w:sz w:val="20"/>
          <w:szCs w:val="20"/>
          <w:color w:val="auto"/>
        </w:rPr>
      </w:pPr>
      <w:r>
        <w:rPr>
          <w:rFonts w:ascii="Arial" w:cs="Arial" w:eastAsia="Arial" w:hAnsi="Arial"/>
          <w:sz w:val="14"/>
          <w:szCs w:val="14"/>
          <w:color w:val="auto"/>
        </w:rPr>
        <w:t>Global Ex-Japan</w:t>
      </w:r>
    </w:p>
    <w:p>
      <w:pPr>
        <w:ind w:left="2160"/>
        <w:spacing w:after="0"/>
        <w:rPr>
          <w:sz w:val="20"/>
          <w:szCs w:val="20"/>
          <w:color w:val="auto"/>
        </w:rPr>
      </w:pPr>
      <w:r>
        <w:rPr>
          <w:rFonts w:ascii="Arial" w:cs="Arial" w:eastAsia="Arial" w:hAnsi="Arial"/>
          <w:sz w:val="14"/>
          <w:szCs w:val="14"/>
          <w:color w:val="auto"/>
        </w:rPr>
        <w:t>Global Ex-Australia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b w:val="1"/>
          <w:bCs w:val="1"/>
          <w:color w:val="auto"/>
        </w:rPr>
        <w:t>Fixed Income and Cash</w:t>
      </w:r>
      <w:r>
        <w:rPr>
          <w:sz w:val="20"/>
          <w:szCs w:val="20"/>
          <w:color w:val="auto"/>
        </w:rPr>
        <w:tab/>
      </w:r>
      <w:r>
        <w:rPr>
          <w:rFonts w:ascii="Arial" w:cs="Arial" w:eastAsia="Arial" w:hAnsi="Arial"/>
          <w:sz w:val="12"/>
          <w:szCs w:val="12"/>
          <w:b w:val="1"/>
          <w:bCs w:val="1"/>
          <w:i w:val="1"/>
          <w:iCs w:val="1"/>
          <w:color w:val="auto"/>
        </w:rPr>
        <w:t>Global</w:t>
      </w:r>
    </w:p>
    <w:p>
      <w:pPr>
        <w:spacing w:after="0" w:line="223" w:lineRule="auto"/>
        <w:tabs>
          <w:tab w:leader="none" w:pos="2140" w:val="left"/>
        </w:tabs>
        <w:rPr>
          <w:sz w:val="20"/>
          <w:szCs w:val="20"/>
          <w:color w:val="auto"/>
        </w:rPr>
      </w:pPr>
      <w:r>
        <w:rPr>
          <w:rFonts w:ascii="Arial" w:cs="Arial" w:eastAsia="Arial" w:hAnsi="Arial"/>
          <w:sz w:val="14"/>
          <w:szCs w:val="14"/>
          <w:b w:val="1"/>
          <w:bCs w:val="1"/>
          <w:color w:val="auto"/>
        </w:rPr>
        <w:t>Management</w:t>
      </w:r>
      <w:r>
        <w:rPr>
          <w:sz w:val="20"/>
          <w:szCs w:val="20"/>
          <w:color w:val="auto"/>
        </w:rPr>
        <w:tab/>
      </w:r>
      <w:r>
        <w:rPr>
          <w:rFonts w:ascii="Arial" w:cs="Arial" w:eastAsia="Arial" w:hAnsi="Arial"/>
          <w:sz w:val="14"/>
          <w:szCs w:val="14"/>
          <w:color w:val="auto"/>
        </w:rPr>
        <w:t>Core Fixed Income</w:t>
      </w:r>
    </w:p>
    <w:p>
      <w:pPr>
        <w:ind w:left="2160"/>
        <w:spacing w:after="0" w:line="222" w:lineRule="auto"/>
        <w:rPr>
          <w:sz w:val="20"/>
          <w:szCs w:val="20"/>
          <w:color w:val="auto"/>
        </w:rPr>
      </w:pPr>
      <w:r>
        <w:rPr>
          <w:rFonts w:ascii="Arial" w:cs="Arial" w:eastAsia="Arial" w:hAnsi="Arial"/>
          <w:sz w:val="14"/>
          <w:szCs w:val="14"/>
          <w:color w:val="auto"/>
        </w:rPr>
        <w:t>High Yield</w:t>
      </w:r>
    </w:p>
    <w:p>
      <w:pPr>
        <w:ind w:left="2160"/>
        <w:spacing w:after="0"/>
        <w:rPr>
          <w:sz w:val="20"/>
          <w:szCs w:val="20"/>
          <w:color w:val="auto"/>
        </w:rPr>
      </w:pPr>
      <w:r>
        <w:rPr>
          <w:rFonts w:ascii="Arial" w:cs="Arial" w:eastAsia="Arial" w:hAnsi="Arial"/>
          <w:sz w:val="14"/>
          <w:szCs w:val="14"/>
          <w:color w:val="auto"/>
        </w:rPr>
        <w:t>Short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b w:val="1"/>
          <w:bCs w:val="1"/>
          <w:color w:val="auto"/>
        </w:rPr>
        <w:t>Alternative</w:t>
      </w:r>
      <w:r>
        <w:rPr>
          <w:sz w:val="20"/>
          <w:szCs w:val="20"/>
          <w:color w:val="auto"/>
        </w:rPr>
        <w:tab/>
      </w:r>
      <w:r>
        <w:rPr>
          <w:rFonts w:ascii="Arial" w:cs="Arial" w:eastAsia="Arial" w:hAnsi="Arial"/>
          <w:sz w:val="14"/>
          <w:szCs w:val="14"/>
          <w:b w:val="1"/>
          <w:bCs w:val="1"/>
          <w:i w:val="1"/>
          <w:iCs w:val="1"/>
          <w:color w:val="auto"/>
        </w:rPr>
        <w:t>Global</w:t>
      </w:r>
    </w:p>
    <w:p>
      <w:pPr>
        <w:ind w:left="2160"/>
        <w:spacing w:after="0" w:line="224" w:lineRule="auto"/>
        <w:rPr>
          <w:sz w:val="20"/>
          <w:szCs w:val="20"/>
          <w:color w:val="auto"/>
        </w:rPr>
      </w:pPr>
      <w:r>
        <w:rPr>
          <w:rFonts w:ascii="Arial" w:cs="Arial" w:eastAsia="Arial" w:hAnsi="Arial"/>
          <w:sz w:val="14"/>
          <w:szCs w:val="14"/>
          <w:color w:val="auto"/>
        </w:rPr>
        <w:t>Fund of Hedge Funds</w:t>
      </w:r>
    </w:p>
    <w:p>
      <w:pPr>
        <w:jc w:val="right"/>
        <w:ind w:right="380"/>
        <w:spacing w:after="0" w:line="221" w:lineRule="auto"/>
        <w:rPr>
          <w:sz w:val="20"/>
          <w:szCs w:val="20"/>
          <w:color w:val="auto"/>
        </w:rPr>
      </w:pPr>
      <w:r>
        <w:rPr>
          <w:rFonts w:ascii="Arial" w:cs="Arial" w:eastAsia="Arial" w:hAnsi="Arial"/>
          <w:sz w:val="14"/>
          <w:szCs w:val="14"/>
          <w:color w:val="auto"/>
        </w:rPr>
        <w:t>Fund of Closed-End Funds</w:t>
      </w:r>
    </w:p>
    <w:p>
      <w:pPr>
        <w:jc w:val="right"/>
        <w:ind w:right="360"/>
        <w:spacing w:after="0" w:line="222" w:lineRule="auto"/>
        <w:rPr>
          <w:sz w:val="20"/>
          <w:szCs w:val="20"/>
          <w:color w:val="auto"/>
        </w:rPr>
      </w:pPr>
      <w:r>
        <w:rPr>
          <w:rFonts w:ascii="Arial" w:cs="Arial" w:eastAsia="Arial" w:hAnsi="Arial"/>
          <w:sz w:val="14"/>
          <w:szCs w:val="14"/>
          <w:color w:val="auto"/>
        </w:rPr>
        <w:t>(Long and Long/Short)</w:t>
      </w:r>
    </w:p>
    <w:p>
      <w:pPr>
        <w:ind w:left="2160"/>
        <w:spacing w:after="0" w:line="221" w:lineRule="auto"/>
        <w:rPr>
          <w:sz w:val="20"/>
          <w:szCs w:val="20"/>
          <w:color w:val="auto"/>
        </w:rPr>
      </w:pPr>
      <w:r>
        <w:rPr>
          <w:rFonts w:ascii="Arial" w:cs="Arial" w:eastAsia="Arial" w:hAnsi="Arial"/>
          <w:sz w:val="14"/>
          <w:szCs w:val="14"/>
          <w:color w:val="auto"/>
        </w:rPr>
        <w:t>Convertible</w:t>
      </w:r>
    </w:p>
    <w:p>
      <w:pPr>
        <w:ind w:left="2160"/>
        <w:spacing w:after="0" w:line="222" w:lineRule="auto"/>
        <w:rPr>
          <w:sz w:val="20"/>
          <w:szCs w:val="20"/>
          <w:color w:val="auto"/>
        </w:rPr>
      </w:pPr>
      <w:r>
        <w:rPr>
          <w:rFonts w:ascii="Arial" w:cs="Arial" w:eastAsia="Arial" w:hAnsi="Arial"/>
          <w:sz w:val="14"/>
          <w:szCs w:val="14"/>
          <w:color w:val="auto"/>
        </w:rPr>
        <w:t>Long/Short Equity</w:t>
      </w:r>
    </w:p>
    <w:p>
      <w:pPr>
        <w:ind w:left="2160"/>
        <w:spacing w:after="0"/>
        <w:rPr>
          <w:sz w:val="20"/>
          <w:szCs w:val="20"/>
          <w:color w:val="auto"/>
        </w:rPr>
      </w:pPr>
      <w:r>
        <w:rPr>
          <w:rFonts w:ascii="Arial" w:cs="Arial" w:eastAsia="Arial" w:hAnsi="Arial"/>
          <w:sz w:val="12"/>
          <w:szCs w:val="12"/>
          <w:color w:val="auto"/>
        </w:rPr>
        <w:t>Arbitrage/Relative Value</w:t>
      </w:r>
    </w:p>
    <w:p>
      <w:pPr>
        <w:spacing w:after="0" w:line="10"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Multi Asset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4"/>
          <w:szCs w:val="14"/>
          <w:b w:val="1"/>
          <w:bCs w:val="1"/>
          <w:u w:val="single" w:color="auto"/>
          <w:color w:val="auto"/>
        </w:rPr>
        <w:t>Multi-Regional</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Pan-European</w:t>
      </w:r>
    </w:p>
    <w:p>
      <w:pPr>
        <w:spacing w:after="0" w:line="221" w:lineRule="auto"/>
        <w:rPr>
          <w:sz w:val="20"/>
          <w:szCs w:val="20"/>
          <w:color w:val="auto"/>
        </w:rPr>
      </w:pPr>
      <w:r>
        <w:rPr>
          <w:rFonts w:ascii="Arial" w:cs="Arial" w:eastAsia="Arial" w:hAnsi="Arial"/>
          <w:sz w:val="14"/>
          <w:szCs w:val="14"/>
          <w:color w:val="auto"/>
        </w:rPr>
        <w:t>Large Capitalization</w:t>
      </w:r>
    </w:p>
    <w:p>
      <w:pPr>
        <w:spacing w:after="0" w:line="221" w:lineRule="auto"/>
        <w:rPr>
          <w:sz w:val="20"/>
          <w:szCs w:val="20"/>
          <w:color w:val="auto"/>
        </w:rPr>
      </w:pPr>
      <w:r>
        <w:rPr>
          <w:rFonts w:ascii="Arial" w:cs="Arial" w:eastAsia="Arial" w:hAnsi="Arial"/>
          <w:sz w:val="14"/>
          <w:szCs w:val="14"/>
          <w:color w:val="auto"/>
        </w:rPr>
        <w:t>Small Capitalization</w:t>
      </w:r>
    </w:p>
    <w:p>
      <w:pPr>
        <w:spacing w:after="0"/>
        <w:rPr>
          <w:sz w:val="20"/>
          <w:szCs w:val="20"/>
          <w:color w:val="auto"/>
        </w:rPr>
      </w:pPr>
      <w:r>
        <w:rPr>
          <w:rFonts w:ascii="Arial" w:cs="Arial" w:eastAsia="Arial" w:hAnsi="Arial"/>
          <w:sz w:val="14"/>
          <w:szCs w:val="14"/>
          <w:color w:val="auto"/>
        </w:rPr>
        <w:t>Quantitative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Eurozone</w:t>
      </w:r>
    </w:p>
    <w:p>
      <w:pPr>
        <w:spacing w:after="0" w:line="221" w:lineRule="auto"/>
        <w:rPr>
          <w:sz w:val="20"/>
          <w:szCs w:val="20"/>
          <w:color w:val="auto"/>
        </w:rPr>
      </w:pPr>
      <w:r>
        <w:rPr>
          <w:rFonts w:ascii="Arial" w:cs="Arial" w:eastAsia="Arial" w:hAnsi="Arial"/>
          <w:sz w:val="14"/>
          <w:szCs w:val="14"/>
          <w:color w:val="auto"/>
        </w:rPr>
        <w:t>Large Capitalization</w:t>
      </w:r>
    </w:p>
    <w:p>
      <w:pPr>
        <w:spacing w:after="0"/>
        <w:rPr>
          <w:sz w:val="20"/>
          <w:szCs w:val="20"/>
          <w:color w:val="auto"/>
        </w:rPr>
      </w:pPr>
      <w:r>
        <w:rPr>
          <w:rFonts w:ascii="Arial" w:cs="Arial" w:eastAsia="Arial" w:hAnsi="Arial"/>
          <w:sz w:val="14"/>
          <w:szCs w:val="14"/>
          <w:color w:val="auto"/>
        </w:rPr>
        <w:t>Small Capitalization</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Continental European</w:t>
      </w:r>
    </w:p>
    <w:p>
      <w:pPr>
        <w:spacing w:after="0" w:line="221" w:lineRule="auto"/>
        <w:rPr>
          <w:sz w:val="20"/>
          <w:szCs w:val="20"/>
          <w:color w:val="auto"/>
        </w:rPr>
      </w:pPr>
      <w:r>
        <w:rPr>
          <w:rFonts w:ascii="Arial" w:cs="Arial" w:eastAsia="Arial" w:hAnsi="Arial"/>
          <w:sz w:val="14"/>
          <w:szCs w:val="14"/>
          <w:color w:val="auto"/>
        </w:rPr>
        <w:t>Small Cap</w:t>
      </w:r>
    </w:p>
    <w:p>
      <w:pPr>
        <w:spacing w:after="0" w:line="221" w:lineRule="auto"/>
        <w:rPr>
          <w:sz w:val="20"/>
          <w:szCs w:val="20"/>
          <w:color w:val="auto"/>
        </w:rPr>
      </w:pPr>
      <w:r>
        <w:rPr>
          <w:rFonts w:ascii="Arial" w:cs="Arial" w:eastAsia="Arial" w:hAnsi="Arial"/>
          <w:sz w:val="14"/>
          <w:szCs w:val="14"/>
          <w:color w:val="auto"/>
        </w:rPr>
        <w:t>Multi Cap</w:t>
      </w:r>
    </w:p>
    <w:p>
      <w:pPr>
        <w:spacing w:after="0" w:line="222" w:lineRule="auto"/>
        <w:rPr>
          <w:sz w:val="20"/>
          <w:szCs w:val="20"/>
          <w:color w:val="auto"/>
        </w:rPr>
      </w:pPr>
      <w:r>
        <w:rPr>
          <w:rFonts w:ascii="Arial" w:cs="Arial" w:eastAsia="Arial" w:hAnsi="Arial"/>
          <w:sz w:val="14"/>
          <w:szCs w:val="14"/>
          <w:color w:val="auto"/>
        </w:rPr>
        <w:t>Eurozone</w:t>
      </w:r>
    </w:p>
    <w:p>
      <w:pPr>
        <w:spacing w:after="0"/>
        <w:rPr>
          <w:sz w:val="20"/>
          <w:szCs w:val="20"/>
          <w:color w:val="auto"/>
        </w:rPr>
      </w:pPr>
      <w:r>
        <w:rPr>
          <w:rFonts w:ascii="Arial" w:cs="Arial" w:eastAsia="Arial" w:hAnsi="Arial"/>
          <w:sz w:val="14"/>
          <w:szCs w:val="14"/>
          <w:color w:val="auto"/>
        </w:rPr>
        <w:t>Euro-Trend (Thematic)</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Asian</w:t>
      </w:r>
    </w:p>
    <w:p>
      <w:pPr>
        <w:spacing w:after="0" w:line="221" w:lineRule="auto"/>
        <w:rPr>
          <w:sz w:val="20"/>
          <w:szCs w:val="20"/>
          <w:color w:val="auto"/>
        </w:rPr>
      </w:pPr>
      <w:r>
        <w:rPr>
          <w:rFonts w:ascii="Arial" w:cs="Arial" w:eastAsia="Arial" w:hAnsi="Arial"/>
          <w:sz w:val="14"/>
          <w:szCs w:val="14"/>
          <w:color w:val="auto"/>
        </w:rPr>
        <w:t>Asia Ex-Japan</w:t>
      </w:r>
    </w:p>
    <w:p>
      <w:pPr>
        <w:spacing w:after="0"/>
        <w:rPr>
          <w:sz w:val="20"/>
          <w:szCs w:val="20"/>
          <w:color w:val="auto"/>
        </w:rPr>
      </w:pPr>
      <w:r>
        <w:rPr>
          <w:rFonts w:ascii="Arial" w:cs="Arial" w:eastAsia="Arial" w:hAnsi="Arial"/>
          <w:sz w:val="14"/>
          <w:szCs w:val="14"/>
          <w:color w:val="auto"/>
        </w:rPr>
        <w:t>Quantitative</w:t>
      </w:r>
    </w:p>
    <w:p>
      <w:pPr>
        <w:spacing w:after="0" w:line="5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Europe, Australasia and Far East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Large Capitalization</w:t>
      </w:r>
    </w:p>
    <w:p>
      <w:pPr>
        <w:spacing w:after="0" w:line="221" w:lineRule="auto"/>
        <w:rPr>
          <w:sz w:val="20"/>
          <w:szCs w:val="20"/>
          <w:color w:val="auto"/>
        </w:rPr>
      </w:pPr>
      <w:r>
        <w:rPr>
          <w:rFonts w:ascii="Arial" w:cs="Arial" w:eastAsia="Arial" w:hAnsi="Arial"/>
          <w:sz w:val="14"/>
          <w:szCs w:val="14"/>
          <w:color w:val="auto"/>
        </w:rPr>
        <w:t>Small Capitalization</w:t>
      </w:r>
    </w:p>
    <w:p>
      <w:pPr>
        <w:spacing w:after="0" w:line="221" w:lineRule="auto"/>
        <w:rPr>
          <w:sz w:val="20"/>
          <w:szCs w:val="20"/>
          <w:color w:val="auto"/>
        </w:rPr>
      </w:pPr>
      <w:r>
        <w:rPr>
          <w:rFonts w:ascii="Arial" w:cs="Arial" w:eastAsia="Arial" w:hAnsi="Arial"/>
          <w:sz w:val="14"/>
          <w:szCs w:val="14"/>
          <w:color w:val="auto"/>
        </w:rPr>
        <w:t>Multi-Capitalization</w:t>
      </w:r>
    </w:p>
    <w:p>
      <w:pPr>
        <w:spacing w:after="0" w:line="222" w:lineRule="auto"/>
        <w:rPr>
          <w:sz w:val="20"/>
          <w:szCs w:val="20"/>
          <w:color w:val="auto"/>
        </w:rPr>
      </w:pPr>
      <w:r>
        <w:rPr>
          <w:rFonts w:ascii="Arial" w:cs="Arial" w:eastAsia="Arial" w:hAnsi="Arial"/>
          <w:sz w:val="14"/>
          <w:szCs w:val="14"/>
          <w:color w:val="auto"/>
        </w:rPr>
        <w:t>Quantitative</w:t>
      </w:r>
    </w:p>
    <w:p>
      <w:pPr>
        <w:spacing w:after="0"/>
        <w:rPr>
          <w:sz w:val="20"/>
          <w:szCs w:val="20"/>
          <w:color w:val="auto"/>
        </w:rPr>
      </w:pPr>
      <w:r>
        <w:rPr>
          <w:rFonts w:ascii="Arial" w:cs="Arial" w:eastAsia="Arial" w:hAnsi="Arial"/>
          <w:sz w:val="14"/>
          <w:szCs w:val="14"/>
          <w:color w:val="auto"/>
        </w:rPr>
        <w:t>Real Estate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Pan-European</w:t>
      </w:r>
    </w:p>
    <w:p>
      <w:pPr>
        <w:spacing w:after="0" w:line="221" w:lineRule="auto"/>
        <w:rPr>
          <w:sz w:val="20"/>
          <w:szCs w:val="20"/>
          <w:color w:val="auto"/>
        </w:rPr>
      </w:pPr>
      <w:r>
        <w:rPr>
          <w:rFonts w:ascii="Arial" w:cs="Arial" w:eastAsia="Arial" w:hAnsi="Arial"/>
          <w:sz w:val="14"/>
          <w:szCs w:val="14"/>
          <w:color w:val="auto"/>
        </w:rPr>
        <w:t>Core Fixed Income</w:t>
      </w:r>
    </w:p>
    <w:p>
      <w:pPr>
        <w:spacing w:after="0" w:line="221" w:lineRule="auto"/>
        <w:rPr>
          <w:sz w:val="20"/>
          <w:szCs w:val="20"/>
          <w:color w:val="auto"/>
        </w:rPr>
      </w:pPr>
      <w:r>
        <w:rPr>
          <w:rFonts w:ascii="Arial" w:cs="Arial" w:eastAsia="Arial" w:hAnsi="Arial"/>
          <w:sz w:val="14"/>
          <w:szCs w:val="14"/>
          <w:color w:val="auto"/>
        </w:rPr>
        <w:t>High Yield</w:t>
      </w:r>
    </w:p>
    <w:p>
      <w:pPr>
        <w:spacing w:after="0" w:line="222" w:lineRule="auto"/>
        <w:rPr>
          <w:sz w:val="20"/>
          <w:szCs w:val="20"/>
          <w:color w:val="auto"/>
        </w:rPr>
      </w:pPr>
      <w:r>
        <w:rPr>
          <w:rFonts w:ascii="Arial" w:cs="Arial" w:eastAsia="Arial" w:hAnsi="Arial"/>
          <w:sz w:val="14"/>
          <w:szCs w:val="14"/>
          <w:color w:val="auto"/>
        </w:rPr>
        <w:t>Cash Management</w:t>
      </w:r>
    </w:p>
    <w:p>
      <w:pPr>
        <w:spacing w:after="0"/>
        <w:rPr>
          <w:sz w:val="20"/>
          <w:szCs w:val="20"/>
          <w:color w:val="auto"/>
        </w:rPr>
      </w:pPr>
      <w:r>
        <w:rPr>
          <w:rFonts w:ascii="Arial" w:cs="Arial" w:eastAsia="Arial" w:hAnsi="Arial"/>
          <w:sz w:val="14"/>
          <w:szCs w:val="14"/>
          <w:color w:val="auto"/>
        </w:rPr>
        <w:t>Duration Overlay</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Eurozone</w:t>
      </w:r>
    </w:p>
    <w:p>
      <w:pPr>
        <w:spacing w:after="0" w:line="221" w:lineRule="auto"/>
        <w:rPr>
          <w:sz w:val="20"/>
          <w:szCs w:val="20"/>
          <w:color w:val="auto"/>
        </w:rPr>
      </w:pPr>
      <w:r>
        <w:rPr>
          <w:rFonts w:ascii="Arial" w:cs="Arial" w:eastAsia="Arial" w:hAnsi="Arial"/>
          <w:sz w:val="14"/>
          <w:szCs w:val="14"/>
          <w:color w:val="auto"/>
        </w:rPr>
        <w:t>Fixed Income</w:t>
      </w:r>
    </w:p>
    <w:p>
      <w:pPr>
        <w:spacing w:after="0" w:line="221" w:lineRule="auto"/>
        <w:rPr>
          <w:sz w:val="20"/>
          <w:szCs w:val="20"/>
          <w:color w:val="auto"/>
        </w:rPr>
      </w:pPr>
      <w:r>
        <w:rPr>
          <w:rFonts w:ascii="Arial" w:cs="Arial" w:eastAsia="Arial" w:hAnsi="Arial"/>
          <w:sz w:val="14"/>
          <w:szCs w:val="14"/>
          <w:color w:val="auto"/>
        </w:rPr>
        <w:t>Cash Management</w:t>
      </w:r>
    </w:p>
    <w:p>
      <w:pPr>
        <w:spacing w:after="0"/>
        <w:rPr>
          <w:sz w:val="20"/>
          <w:szCs w:val="20"/>
          <w:color w:val="auto"/>
        </w:rPr>
      </w:pPr>
      <w:r>
        <w:rPr>
          <w:rFonts w:ascii="Arial" w:cs="Arial" w:eastAsia="Arial" w:hAnsi="Arial"/>
          <w:sz w:val="14"/>
          <w:szCs w:val="14"/>
          <w:color w:val="auto"/>
        </w:rPr>
        <w:t>Corporate Bonds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w:t>
      </w:r>
    </w:p>
    <w:p>
      <w:pPr>
        <w:spacing w:after="0"/>
        <w:rPr>
          <w:sz w:val="20"/>
          <w:szCs w:val="20"/>
          <w:color w:val="auto"/>
        </w:rPr>
      </w:pPr>
      <w:r>
        <w:rPr>
          <w:rFonts w:ascii="Arial" w:cs="Arial" w:eastAsia="Arial" w:hAnsi="Arial"/>
          <w:sz w:val="14"/>
          <w:szCs w:val="14"/>
          <w:color w:val="auto"/>
        </w:rPr>
        <w:t>Long/Short Equity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Local</w:t>
            </w:r>
          </w:p>
        </w:tc>
        <w:tc>
          <w:tcPr>
            <w:tcW w:w="76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Arial" w:cs="Arial" w:eastAsia="Arial" w:hAnsi="Arial"/>
                <w:sz w:val="14"/>
                <w:szCs w:val="14"/>
                <w:b w:val="1"/>
                <w:bCs w:val="1"/>
                <w:color w:val="auto"/>
                <w:w w:val="90"/>
              </w:rPr>
              <w:t>Emerging Markets</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line="151" w:lineRule="exact"/>
              <w:rPr>
                <w:sz w:val="20"/>
                <w:szCs w:val="20"/>
                <w:color w:val="auto"/>
              </w:rPr>
            </w:pPr>
            <w:r>
              <w:rPr>
                <w:rFonts w:ascii="Arial" w:cs="Arial" w:eastAsia="Arial" w:hAnsi="Arial"/>
                <w:sz w:val="14"/>
                <w:szCs w:val="14"/>
                <w:b w:val="1"/>
                <w:bCs w:val="1"/>
                <w:i w:val="1"/>
                <w:iCs w:val="1"/>
                <w:color w:val="auto"/>
              </w:rPr>
              <w:t>U.S.</w:t>
            </w:r>
          </w:p>
        </w:tc>
        <w:tc>
          <w:tcPr>
            <w:tcW w:w="32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0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920" w:type="dxa"/>
            <w:vAlign w:val="bottom"/>
            <w:gridSpan w:val="2"/>
          </w:tcPr>
          <w:p>
            <w:pPr>
              <w:ind w:left="500"/>
              <w:spacing w:after="0" w:line="131" w:lineRule="exact"/>
              <w:rPr>
                <w:sz w:val="20"/>
                <w:szCs w:val="20"/>
                <w:color w:val="auto"/>
              </w:rPr>
            </w:pPr>
            <w:r>
              <w:rPr>
                <w:rFonts w:ascii="Arial" w:cs="Arial" w:eastAsia="Arial" w:hAnsi="Arial"/>
                <w:sz w:val="14"/>
                <w:szCs w:val="14"/>
                <w:b w:val="1"/>
                <w:bCs w:val="1"/>
                <w:i w:val="1"/>
                <w:iCs w:val="1"/>
                <w:color w:val="auto"/>
              </w:rPr>
              <w:t>Global</w:t>
            </w: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Large Capitalization</w:t>
            </w:r>
          </w:p>
        </w:tc>
        <w:tc>
          <w:tcPr>
            <w:tcW w:w="1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Large Capitalization</w:t>
            </w: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Mid Capitalization</w:t>
            </w:r>
          </w:p>
        </w:tc>
        <w:tc>
          <w:tcPr>
            <w:tcW w:w="1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Small Capitalization</w:t>
            </w: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Small/Mid Capitalization</w:t>
            </w:r>
          </w:p>
        </w:tc>
        <w:tc>
          <w:tcPr>
            <w:tcW w:w="1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Quantitative</w:t>
            </w: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Small Capitalization</w:t>
            </w:r>
          </w:p>
        </w:tc>
        <w:tc>
          <w:tcPr>
            <w:tcW w:w="1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Multi Strategies</w:t>
            </w: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Multi-Capitalization</w:t>
            </w:r>
          </w:p>
        </w:tc>
        <w:tc>
          <w:tcPr>
            <w:tcW w:w="1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Managed Volatility</w:t>
            </w:r>
          </w:p>
        </w:tc>
        <w:tc>
          <w:tcPr>
            <w:tcW w:w="0" w:type="dxa"/>
            <w:vAlign w:val="bottom"/>
          </w:tcPr>
          <w:p>
            <w:pPr>
              <w:spacing w:after="0"/>
              <w:rPr>
                <w:sz w:val="1"/>
                <w:szCs w:val="1"/>
                <w:color w:val="auto"/>
              </w:rPr>
            </w:pPr>
          </w:p>
        </w:tc>
      </w:tr>
      <w:tr>
        <w:trPr>
          <w:trHeight w:val="172"/>
        </w:trPr>
        <w:tc>
          <w:tcPr>
            <w:tcW w:w="210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920" w:type="dxa"/>
            <w:vAlign w:val="bottom"/>
            <w:gridSpan w:val="2"/>
            <w:vMerge w:val="restart"/>
          </w:tcPr>
          <w:p>
            <w:pPr>
              <w:ind w:left="500"/>
              <w:spacing w:after="0"/>
              <w:rPr>
                <w:sz w:val="20"/>
                <w:szCs w:val="20"/>
                <w:color w:val="auto"/>
              </w:rPr>
            </w:pPr>
            <w:r>
              <w:rPr>
                <w:rFonts w:ascii="Arial" w:cs="Arial" w:eastAsia="Arial" w:hAnsi="Arial"/>
                <w:sz w:val="14"/>
                <w:szCs w:val="14"/>
                <w:b w:val="1"/>
                <w:bCs w:val="1"/>
                <w:i w:val="1"/>
                <w:iCs w:val="1"/>
                <w:color w:val="auto"/>
              </w:rPr>
              <w:t>Latin America</w:t>
            </w: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Other</w:t>
            </w:r>
          </w:p>
        </w:tc>
        <w:tc>
          <w:tcPr>
            <w:tcW w:w="1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Latin America</w:t>
            </w: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U.K. (Large Capitalization)</w:t>
            </w:r>
          </w:p>
        </w:tc>
        <w:tc>
          <w:tcPr>
            <w:tcW w:w="1920" w:type="dxa"/>
            <w:vAlign w:val="bottom"/>
            <w:gridSpan w:val="2"/>
            <w:vMerge w:val="restart"/>
          </w:tcPr>
          <w:p>
            <w:pPr>
              <w:ind w:left="500"/>
              <w:spacing w:after="0"/>
              <w:rPr>
                <w:sz w:val="20"/>
                <w:szCs w:val="20"/>
                <w:color w:val="auto"/>
              </w:rPr>
            </w:pPr>
            <w:r>
              <w:rPr>
                <w:rFonts w:ascii="Arial" w:cs="Arial" w:eastAsia="Arial" w:hAnsi="Arial"/>
                <w:sz w:val="14"/>
                <w:szCs w:val="14"/>
                <w:b w:val="1"/>
                <w:bCs w:val="1"/>
                <w:i w:val="1"/>
                <w:iCs w:val="1"/>
                <w:color w:val="auto"/>
                <w:w w:val="86"/>
              </w:rPr>
              <w:t>Middle East North Africa</w:t>
            </w:r>
          </w:p>
        </w:tc>
        <w:tc>
          <w:tcPr>
            <w:tcW w:w="0" w:type="dxa"/>
            <w:vAlign w:val="bottom"/>
          </w:tcPr>
          <w:p>
            <w:pPr>
              <w:spacing w:after="0"/>
              <w:rPr>
                <w:sz w:val="1"/>
                <w:szCs w:val="1"/>
                <w:color w:val="auto"/>
              </w:rPr>
            </w:pPr>
          </w:p>
        </w:tc>
      </w:tr>
      <w:tr>
        <w:trPr>
          <w:trHeight w:val="81"/>
        </w:trPr>
        <w:tc>
          <w:tcPr>
            <w:tcW w:w="210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U.K. (Small Capitalization)</w:t>
            </w:r>
          </w:p>
        </w:tc>
        <w:tc>
          <w:tcPr>
            <w:tcW w:w="1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100" w:type="dxa"/>
            <w:vAlign w:val="bottom"/>
            <w:gridSpan w:val="3"/>
            <w:vMerge w:val="continue"/>
          </w:tcPr>
          <w:p>
            <w:pPr>
              <w:spacing w:after="0"/>
              <w:rPr>
                <w:sz w:val="5"/>
                <w:szCs w:val="5"/>
                <w:color w:val="auto"/>
              </w:rPr>
            </w:pPr>
          </w:p>
        </w:tc>
        <w:tc>
          <w:tcPr>
            <w:tcW w:w="1920" w:type="dxa"/>
            <w:vAlign w:val="bottom"/>
            <w:gridSpan w:val="2"/>
            <w:vMerge w:val="restart"/>
          </w:tcPr>
          <w:p>
            <w:pPr>
              <w:ind w:left="500"/>
              <w:spacing w:after="0"/>
              <w:rPr>
                <w:sz w:val="20"/>
                <w:szCs w:val="20"/>
                <w:color w:val="auto"/>
              </w:rPr>
            </w:pPr>
            <w:r>
              <w:rPr>
                <w:rFonts w:ascii="Arial" w:cs="Arial" w:eastAsia="Arial" w:hAnsi="Arial"/>
                <w:sz w:val="14"/>
                <w:szCs w:val="14"/>
                <w:color w:val="auto"/>
                <w:w w:val="92"/>
              </w:rPr>
              <w:t>Middle East North Africa</w:t>
            </w:r>
          </w:p>
        </w:tc>
        <w:tc>
          <w:tcPr>
            <w:tcW w:w="0" w:type="dxa"/>
            <w:vAlign w:val="bottom"/>
          </w:tcPr>
          <w:p>
            <w:pPr>
              <w:spacing w:after="0"/>
              <w:rPr>
                <w:sz w:val="1"/>
                <w:szCs w:val="1"/>
                <w:color w:val="auto"/>
              </w:rPr>
            </w:pPr>
          </w:p>
        </w:tc>
      </w:tr>
      <w:tr>
        <w:trPr>
          <w:trHeight w:val="105"/>
        </w:trPr>
        <w:tc>
          <w:tcPr>
            <w:tcW w:w="210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U.K. Quantitative</w:t>
            </w:r>
          </w:p>
        </w:tc>
        <w:tc>
          <w:tcPr>
            <w:tcW w:w="1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100" w:type="dxa"/>
            <w:vAlign w:val="bottom"/>
            <w:gridSpan w:val="3"/>
            <w:vMerge w:val="continue"/>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Australia</w:t>
            </w: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France (Large Capitalization)</w:t>
            </w: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France (Small Capitalization)</w:t>
            </w: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Japan</w:t>
            </w: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100" w:type="dxa"/>
            <w:vAlign w:val="bottom"/>
            <w:gridSpan w:val="3"/>
          </w:tcPr>
          <w:p>
            <w:pPr>
              <w:spacing w:after="0"/>
              <w:rPr>
                <w:sz w:val="20"/>
                <w:szCs w:val="20"/>
                <w:color w:val="auto"/>
              </w:rPr>
            </w:pPr>
            <w:r>
              <w:rPr>
                <w:rFonts w:ascii="Arial" w:cs="Arial" w:eastAsia="Arial" w:hAnsi="Arial"/>
                <w:sz w:val="14"/>
                <w:szCs w:val="14"/>
                <w:color w:val="auto"/>
              </w:rPr>
              <w:t>Korea</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20"/>
                <w:szCs w:val="20"/>
                <w:color w:val="auto"/>
              </w:rPr>
            </w:pPr>
            <w:r>
              <w:rPr>
                <w:rFonts w:ascii="Arial" w:cs="Arial" w:eastAsia="Arial" w:hAnsi="Arial"/>
                <w:sz w:val="14"/>
                <w:szCs w:val="14"/>
                <w:b w:val="1"/>
                <w:bCs w:val="1"/>
                <w:i w:val="1"/>
                <w:iCs w:val="1"/>
                <w:color w:val="auto"/>
              </w:rPr>
              <w:t>U.S.</w:t>
            </w:r>
          </w:p>
        </w:tc>
        <w:tc>
          <w:tcPr>
            <w:tcW w:w="1940" w:type="dxa"/>
            <w:vAlign w:val="bottom"/>
          </w:tcPr>
          <w:p>
            <w:pPr>
              <w:ind w:left="780"/>
              <w:spacing w:after="0"/>
              <w:rPr>
                <w:sz w:val="20"/>
                <w:szCs w:val="20"/>
                <w:color w:val="auto"/>
              </w:rPr>
            </w:pPr>
            <w:r>
              <w:rPr>
                <w:rFonts w:ascii="Arial" w:cs="Arial" w:eastAsia="Arial" w:hAnsi="Arial"/>
                <w:sz w:val="14"/>
                <w:szCs w:val="14"/>
                <w:b w:val="1"/>
                <w:bCs w:val="1"/>
                <w:i w:val="1"/>
                <w:iCs w:val="1"/>
                <w:color w:val="auto"/>
              </w:rPr>
              <w:t>Global</w:t>
            </w: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Arial" w:cs="Arial" w:eastAsia="Arial" w:hAnsi="Arial"/>
                <w:sz w:val="14"/>
                <w:szCs w:val="14"/>
                <w:color w:val="auto"/>
              </w:rPr>
              <w:t>Core Fixed Income</w:t>
            </w:r>
          </w:p>
        </w:tc>
        <w:tc>
          <w:tcPr>
            <w:tcW w:w="1940" w:type="dxa"/>
            <w:vAlign w:val="bottom"/>
          </w:tcPr>
          <w:p>
            <w:pPr>
              <w:ind w:left="780"/>
              <w:spacing w:after="0" w:line="149" w:lineRule="exact"/>
              <w:rPr>
                <w:sz w:val="20"/>
                <w:szCs w:val="20"/>
                <w:color w:val="auto"/>
              </w:rPr>
            </w:pPr>
            <w:r>
              <w:rPr>
                <w:rFonts w:ascii="Arial" w:cs="Arial" w:eastAsia="Arial" w:hAnsi="Arial"/>
                <w:sz w:val="14"/>
                <w:szCs w:val="14"/>
                <w:color w:val="auto"/>
              </w:rPr>
              <w:t>Emerging Debt</w:t>
            </w: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Arial" w:cs="Arial" w:eastAsia="Arial" w:hAnsi="Arial"/>
                <w:sz w:val="14"/>
                <w:szCs w:val="14"/>
                <w:color w:val="auto"/>
              </w:rPr>
              <w:t>High Yield</w:t>
            </w:r>
          </w:p>
        </w:tc>
        <w:tc>
          <w:tcPr>
            <w:tcW w:w="1940" w:type="dxa"/>
            <w:vAlign w:val="bottom"/>
          </w:tcPr>
          <w:p>
            <w:pPr>
              <w:ind w:left="780"/>
              <w:spacing w:after="0" w:line="149" w:lineRule="exact"/>
              <w:rPr>
                <w:sz w:val="20"/>
                <w:szCs w:val="20"/>
                <w:color w:val="auto"/>
              </w:rPr>
            </w:pPr>
            <w:r>
              <w:rPr>
                <w:rFonts w:ascii="Arial" w:cs="Arial" w:eastAsia="Arial" w:hAnsi="Arial"/>
                <w:sz w:val="14"/>
                <w:szCs w:val="14"/>
                <w:color w:val="auto"/>
                <w:w w:val="85"/>
              </w:rPr>
              <w:t>Emerging Corporates</w:t>
            </w: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Arial" w:cs="Arial" w:eastAsia="Arial" w:hAnsi="Arial"/>
                <w:sz w:val="14"/>
                <w:szCs w:val="14"/>
                <w:color w:val="auto"/>
              </w:rPr>
              <w:t>Short Duration</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Arial" w:cs="Arial" w:eastAsia="Arial" w:hAnsi="Arial"/>
                <w:sz w:val="14"/>
                <w:szCs w:val="14"/>
                <w:color w:val="auto"/>
              </w:rPr>
              <w:t>Municipals</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20" w:type="dxa"/>
            <w:vAlign w:val="bottom"/>
          </w:tcPr>
          <w:p>
            <w:pPr>
              <w:spacing w:after="0"/>
              <w:rPr>
                <w:sz w:val="20"/>
                <w:szCs w:val="20"/>
                <w:color w:val="auto"/>
              </w:rPr>
            </w:pPr>
            <w:r>
              <w:rPr>
                <w:rFonts w:ascii="Arial" w:cs="Arial" w:eastAsia="Arial" w:hAnsi="Arial"/>
                <w:sz w:val="14"/>
                <w:szCs w:val="14"/>
                <w:color w:val="auto"/>
              </w:rPr>
              <w:t>Cash Management</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820" w:type="dxa"/>
            <w:vAlign w:val="bottom"/>
          </w:tcPr>
          <w:p>
            <w:pPr>
              <w:spacing w:after="0"/>
              <w:rPr>
                <w:sz w:val="20"/>
                <w:szCs w:val="20"/>
                <w:color w:val="auto"/>
              </w:rPr>
            </w:pPr>
            <w:r>
              <w:rPr>
                <w:rFonts w:ascii="Arial" w:cs="Arial" w:eastAsia="Arial" w:hAnsi="Arial"/>
                <w:sz w:val="14"/>
                <w:szCs w:val="14"/>
                <w:b w:val="1"/>
                <w:bCs w:val="1"/>
                <w:i w:val="1"/>
                <w:iCs w:val="1"/>
                <w:color w:val="auto"/>
              </w:rPr>
              <w:t>Non-U.S.</w:t>
            </w: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20" w:type="dxa"/>
            <w:vAlign w:val="bottom"/>
          </w:tcPr>
          <w:p>
            <w:pPr>
              <w:spacing w:after="0"/>
              <w:rPr>
                <w:sz w:val="20"/>
                <w:szCs w:val="20"/>
                <w:color w:val="auto"/>
              </w:rPr>
            </w:pPr>
            <w:r>
              <w:rPr>
                <w:rFonts w:ascii="Arial" w:cs="Arial" w:eastAsia="Arial" w:hAnsi="Arial"/>
                <w:sz w:val="14"/>
                <w:szCs w:val="14"/>
                <w:color w:val="auto"/>
              </w:rPr>
              <w:t>U.K. Fixed Income</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4"/>
        </w:trPr>
        <w:tc>
          <w:tcPr>
            <w:tcW w:w="1820" w:type="dxa"/>
            <w:vAlign w:val="bottom"/>
          </w:tcPr>
          <w:p>
            <w:pPr>
              <w:spacing w:after="0"/>
              <w:rPr>
                <w:sz w:val="20"/>
                <w:szCs w:val="20"/>
                <w:color w:val="auto"/>
              </w:rPr>
            </w:pPr>
            <w:r>
              <w:rPr>
                <w:rFonts w:ascii="Arial" w:cs="Arial" w:eastAsia="Arial" w:hAnsi="Arial"/>
                <w:sz w:val="14"/>
                <w:szCs w:val="14"/>
                <w:b w:val="1"/>
                <w:bCs w:val="1"/>
                <w:i w:val="1"/>
                <w:iCs w:val="1"/>
                <w:color w:val="auto"/>
              </w:rPr>
              <w:t>U.S.</w:t>
            </w:r>
          </w:p>
        </w:tc>
        <w:tc>
          <w:tcPr>
            <w:tcW w:w="1940" w:type="dxa"/>
            <w:vAlign w:val="bottom"/>
          </w:tcPr>
          <w:p>
            <w:pPr>
              <w:ind w:left="780"/>
              <w:spacing w:after="0"/>
              <w:rPr>
                <w:sz w:val="20"/>
                <w:szCs w:val="20"/>
                <w:color w:val="auto"/>
              </w:rPr>
            </w:pPr>
            <w:r>
              <w:rPr>
                <w:rFonts w:ascii="Arial" w:cs="Arial" w:eastAsia="Arial" w:hAnsi="Arial"/>
                <w:sz w:val="14"/>
                <w:szCs w:val="14"/>
                <w:b w:val="1"/>
                <w:bCs w:val="1"/>
                <w:i w:val="1"/>
                <w:iCs w:val="1"/>
                <w:color w:val="auto"/>
              </w:rPr>
              <w:t>Global</w:t>
            </w: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Arial" w:cs="Arial" w:eastAsia="Arial" w:hAnsi="Arial"/>
                <w:sz w:val="14"/>
                <w:szCs w:val="14"/>
                <w:color w:val="auto"/>
              </w:rPr>
              <w:t>U.S. (Long/Short)</w:t>
            </w:r>
          </w:p>
        </w:tc>
        <w:tc>
          <w:tcPr>
            <w:tcW w:w="1940" w:type="dxa"/>
            <w:vAlign w:val="bottom"/>
          </w:tcPr>
          <w:p>
            <w:pPr>
              <w:ind w:left="780"/>
              <w:spacing w:after="0" w:line="149" w:lineRule="exact"/>
              <w:rPr>
                <w:sz w:val="20"/>
                <w:szCs w:val="20"/>
                <w:color w:val="auto"/>
              </w:rPr>
            </w:pPr>
            <w:r>
              <w:rPr>
                <w:rFonts w:ascii="Arial" w:cs="Arial" w:eastAsia="Arial" w:hAnsi="Arial"/>
                <w:sz w:val="14"/>
                <w:szCs w:val="14"/>
                <w:color w:val="auto"/>
              </w:rPr>
              <w:t>Emerging Income</w:t>
            </w:r>
          </w:p>
        </w:tc>
        <w:tc>
          <w:tcPr>
            <w:tcW w:w="0" w:type="dxa"/>
            <w:vAlign w:val="bottom"/>
          </w:tcPr>
          <w:p>
            <w:pPr>
              <w:spacing w:after="0"/>
              <w:rPr>
                <w:sz w:val="1"/>
                <w:szCs w:val="1"/>
                <w:color w:val="auto"/>
              </w:rPr>
            </w:pPr>
          </w:p>
        </w:tc>
      </w:tr>
      <w:tr>
        <w:trPr>
          <w:trHeight w:val="172"/>
        </w:trPr>
        <w:tc>
          <w:tcPr>
            <w:tcW w:w="1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Non-U.S.</w:t>
            </w:r>
          </w:p>
        </w:tc>
        <w:tc>
          <w:tcPr>
            <w:tcW w:w="1940" w:type="dxa"/>
            <w:vAlign w:val="bottom"/>
          </w:tcPr>
          <w:p>
            <w:pPr>
              <w:ind w:left="780"/>
              <w:spacing w:after="0"/>
              <w:rPr>
                <w:sz w:val="20"/>
                <w:szCs w:val="20"/>
                <w:color w:val="auto"/>
              </w:rPr>
            </w:pPr>
            <w:r>
              <w:rPr>
                <w:rFonts w:ascii="Arial" w:cs="Arial" w:eastAsia="Arial" w:hAnsi="Arial"/>
                <w:sz w:val="14"/>
                <w:szCs w:val="14"/>
                <w:color w:val="auto"/>
              </w:rPr>
              <w:t>Emerging Debt</w:t>
            </w:r>
          </w:p>
        </w:tc>
        <w:tc>
          <w:tcPr>
            <w:tcW w:w="0" w:type="dxa"/>
            <w:vAlign w:val="bottom"/>
          </w:tcPr>
          <w:p>
            <w:pPr>
              <w:spacing w:after="0"/>
              <w:rPr>
                <w:sz w:val="1"/>
                <w:szCs w:val="1"/>
                <w:color w:val="auto"/>
              </w:rPr>
            </w:pPr>
          </w:p>
        </w:tc>
      </w:tr>
      <w:tr>
        <w:trPr>
          <w:trHeight w:val="57"/>
        </w:trPr>
        <w:tc>
          <w:tcPr>
            <w:tcW w:w="1820" w:type="dxa"/>
            <w:vAlign w:val="bottom"/>
            <w:vMerge w:val="continue"/>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1820" w:type="dxa"/>
            <w:vAlign w:val="bottom"/>
          </w:tcPr>
          <w:p>
            <w:pPr>
              <w:spacing w:after="0"/>
              <w:rPr>
                <w:sz w:val="20"/>
                <w:szCs w:val="20"/>
                <w:color w:val="auto"/>
              </w:rPr>
            </w:pPr>
            <w:r>
              <w:rPr>
                <w:rFonts w:ascii="Arial" w:cs="Arial" w:eastAsia="Arial" w:hAnsi="Arial"/>
                <w:sz w:val="14"/>
                <w:szCs w:val="14"/>
                <w:color w:val="auto"/>
              </w:rPr>
              <w:t>Japan (Long/Short)</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67" w:lineRule="exact"/>
        <w:rPr>
          <w:sz w:val="20"/>
          <w:szCs w:val="20"/>
          <w:color w:val="auto"/>
        </w:rPr>
      </w:pPr>
    </w:p>
    <w:p>
      <w:pPr>
        <w:sectPr>
          <w:pgSz w:w="11900" w:h="16838" w:orient="portrait"/>
          <w:cols w:equalWidth="0" w:num="3">
            <w:col w:w="4000" w:space="720"/>
            <w:col w:w="1880" w:space="520"/>
            <w:col w:w="4280"/>
          </w:cols>
          <w:pgMar w:left="240" w:top="459" w:right="259" w:bottom="1440" w:gutter="0" w:footer="0" w:header="0"/>
          <w:type w:val="continuous"/>
        </w:sectPr>
      </w:pPr>
    </w:p>
    <w:p>
      <w:pPr>
        <w:jc w:val="both"/>
        <w:ind w:firstLine="456"/>
        <w:spacing w:after="0" w:line="259" w:lineRule="auto"/>
        <w:rPr>
          <w:sz w:val="20"/>
          <w:szCs w:val="20"/>
          <w:color w:val="auto"/>
        </w:rPr>
      </w:pPr>
      <w:r>
        <w:rPr>
          <w:rFonts w:ascii="Arial" w:cs="Arial" w:eastAsia="Arial" w:hAnsi="Arial"/>
          <w:sz w:val="18"/>
          <w:szCs w:val="18"/>
          <w:color w:val="auto"/>
        </w:rPr>
        <w:t>In addition to the primary investment strategies listed above, we also provide locally customized investment solutions to our clients. In many cases, we also offer both diversified and more concentrated versions of our products. These products are generally offered on a separate account basis, as well as through pooled vehicles.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Distribution</w:t>
      </w:r>
      <w:r>
        <w:rPr>
          <w:rFonts w:ascii="Arial" w:cs="Arial" w:eastAsia="Arial" w:hAnsi="Arial"/>
          <w:sz w:val="16"/>
          <w:szCs w:val="16"/>
          <w:color w:val="auto"/>
        </w:rPr>
        <w:t>. We distribute our products through a broad array of marketing channels on a global basis. LAM’s marketing, sales and client service efforts</w:t>
      </w:r>
      <w:r>
        <w:rPr>
          <w:rFonts w:ascii="Arial" w:cs="Arial" w:eastAsia="Arial" w:hAnsi="Arial"/>
          <w:sz w:val="16"/>
          <w:szCs w:val="16"/>
          <w:i w:val="1"/>
          <w:iCs w:val="1"/>
          <w:color w:val="auto"/>
        </w:rPr>
        <w:t xml:space="preserve"> </w:t>
      </w:r>
      <w:r>
        <w:rPr>
          <w:rFonts w:ascii="Arial" w:cs="Arial" w:eastAsia="Arial" w:hAnsi="Arial"/>
          <w:sz w:val="16"/>
          <w:szCs w:val="16"/>
          <w:color w:val="auto"/>
        </w:rPr>
        <w:t>are organized through a global market delivery and service network, with distribution professionals located in cities including New York, Boston, Chicago, Dubai, Frankfurt, Hamburg, Hong Kong, London, Manama, Milan, Montreal, San Francisco, Seoul, Singapore, Sydney, Tokyo, Toronto and Zurich. We have developed a well-established presence in the institutional asset management arena, managing assets for corporations, labor unions, sovereign wealth funds and public pension funds around the world. In addition, we manage assets for insurance companies, savings and trust banks, endowments, foundations and charities.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also have become a leading firm in managing mutual funds and separately managed accounts for many of the world’s largest broker-dealers, insurance companies, registered advisors and other financial intermediaries.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LFG markets and distributes its products through sales professionals based in France and Belgium, who directly target both individual and institutional investors.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our Asset Management business’ operations and expand our Asset Management business, we have:</w:t>
      </w:r>
    </w:p>
    <w:p>
      <w:pPr>
        <w:spacing w:after="0" w:line="59"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focused on enhancing our investment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improved our investment management platform by adding a number of senior investment professionals (including portfolio managers and analysts);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to strengthen our marketing and consultant relations capabilities, including by expanding our marketing resources;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expanded our product platform, including through the addition of long/short equity strategies and an equity team focused on Middle East and North African markets;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continued to expand the geographic reach of our Asset Management business, including through opening offices in Dubai, Singapore and Dublin.</w:t>
      </w:r>
    </w:p>
    <w:p>
      <w:pPr>
        <w:spacing w:after="0" w:line="19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We also believe that our specific investment strategies, global reach, unique brand identity and access to multiple distribution channels may allow us to expand into new investment products, strategies and geographic locations. In addition, we may expand our participation in alternative investment activities through investments in new and successor funds, and through organic growth, acquisitions or otherwise. We may also continue to expand our geographic reach.</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Alternative Investments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Since 2005, we have been engaged in selected alternative investments and private equity activities. In 2009, we established a private equity business with The Edgewater Funds (“Edgewater”), a Chicago-based private equity firm, through the acquisition of Edgewater’s management vehicles. As of December 31, 2015, Edgewater had approximately $1 billion of AUM and unfunded fee-earning commitments.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Historically, Lazard also has made selected investments with its own capital, often alongside capital of qualified institutional and individual investors in connection with Lazard’s selected alternative investments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private equity activities. These investments typically have been organized in funds that make substantial or controlling investments in private or public companies, generally through privately negotiated transactions and with a view to divest within two to seven years. While potentially risky and frequently illiquid, such investments, when successful, can yield investors substantial returns on capital and generate attractive management and performance fees for the sponsor of such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our people are our most important asset, and it is their reputation, talent, integrity and dedication that underpin our success. As of December 31, 2015, we employed 2,610 people, which included 139 managing directors and 768 other professionals in our Financial Advisory segment and 90 managing directors and 405 other professionals in our Asset Management segment. We strive to maintain a work environment that fosters professionalism, excellence, diversity and cooperation among our employees worldwide. We generally utilize an evaluation process at the end of each year to measure performance, determine compensation and provide guidance on opportunities for improved performance. Generally, our employees are not subject to any collective bargaining agreements, except that our employees in certain of our offices, including France and Italy, are covered by national, industry-wide collective bargaining agreements. We believe that we have good relations with our employees.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and other financial institutions. We compete with some of them globally and with others on a regional, product or niche basis. We compete on the basis of a number of factors, including quality of people, transaction execution skills, investment track record, quality of client service, individual and institutional client relationships, absence of conflicts, range and price of products and services, innovation, brand recognition and business reputation.</w:t>
      </w:r>
    </w:p>
    <w:p>
      <w:pPr>
        <w:spacing w:after="0" w:line="14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While our competitors vary by country in our Financial Advisory business, we believe our primary competitors in securing engagements are Bank of America Merrill Lynch, Barclays, Centerview Partners LLC, Citigroup, Credit Suisse, Deutsche Bank, Evercore Partners, Goldman Sachs, Greenhill, JPMorgan Chase, Morgan Stanley, Rothschild and UBS. In our Restructuring practice, we believe our primary competitors are Centerview Partners, Evercore Partners, Houlihan Lokey, PJT Partners, Moelis &amp; Company and Rothschild.</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believe that our primary global competitors in our Asset Management business include, in the case of LAM, Aberdeen, Schroders, Alliance Bernstein, Capital Management &amp; Research, Fidelity, Franklin Templeton, Invesco, JP Morgan Asset Management, Lord Abbett, MFS, Neuberger Berman and, in the case of LFG, private banks with offices in France as well as large institutional banks and fund managers. We face competition in private equity both in the pursuit of outside investors for our private equity funds and the acquisition of investments in attractive portfolio companies. We compete with hundreds of other funds, many of which are subsidiaries of, or otherwise affiliated with, large financial service providers.</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Competition is also intense in each of our businesses for the attraction and retention of qualified employees, and we compete, among other factors, on the level and nature of compensation and equity-based incentives for key employees. Our ability to continue to compete effectively in our businesses will depend upon our ability to attract new employees and retain and motivate our existing employees, in each case, at appropriate compensation levels.</w:t>
      </w:r>
    </w:p>
    <w:p>
      <w:pPr>
        <w:spacing w:after="0" w:line="10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Many of our competitors are large, consolidated financial institutions that have the ability to offer a wider range of products than we offer, including loans, deposit taking, insurance and brokerage services. Many of these firms also offer more extensive asset management and investment banking services, which may enhance their competitive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position. They also may have the ability to support investment banking and securities products with commercial banking, insurance and other financial services revenue in an effort to gain market share, which could result in pricing pressure in our businesses. At the same time, demand for independent financial advice has increased and has created opportunities for new entrants, including a number of boutique financial advisory firms. These boutique firms frequently compete, among other factors, on the basis of their independent financial advice, and their activities also could result in pricing and other competitive pressure in our businesses.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businesses, as well as the financial services industry generally, are subject to extensive regulation throughout the world. As a matter of public policy, regulatory bodies are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minimum capital retention requirements and customer protection rules. In the U.S., certain of our subsidiaries are subject to such regulations promulgated by the United States Securities and Exchange Commission (the “SEC”), and/or the Financial Industry Regulatory Authority (“FINRA”).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the U.S., the SEC is the federal agency responsible for the administration of the federal securities laws. FINRA is a voluntary, self-regulatory body composed of members, such as our broker-dealer subsidiaries, that have agreed to abide by FINRA’s rules and regulations. The SEC, FINRA and other U.S.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 constantly changing. The effect of any such changes cannot be predicted and may impact the manner of operation and profitability of our businesses.</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most aspects of the securities business, including minimum capital retention requirements, record-keeping and reporting procedures, relationships with customers, experience and training requirements for certain employees, and business procedures with firms that are not members of certain regulatory bodies. In addition, LFNY is a member organization of the New York Stock Exchange LLC and the NYSE MKT LLC and is subject to various rules and regulations that have been promulgated by these securities exchanges. Lazard Asset Management Securities LLC, a subsidiary of LAM, is registered as a broker-dealer with the SEC and FINRA and in all 50 U.S. states, the District of Columbia and Puerto Rico. Lazard Middle Market LLC, a subsidiary of Goldsmith, Agio, Helms &amp; Lynner, LLC (“GAHL”), is registered as a broker-dealer with the SEC and FINRA, and as a broker-dealer in various U.S. states and territories.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 excess net capital. Our broker-dealer subsidiaries are also subject to regulations, including the USA PATRIOT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Act of 2001,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40"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Certain U.K. subsidiaries of Lazard Group, including Lazard &amp; Co., Limited (“LCL”), Lazard Fund Managers Limited and Lazard Asset Management Limited, which we refer to in this Annual Report on Form 10-K (this “Form 10-K”) as the “U.K. subsidiaries,” are authorized and regulated by the Financial Conduct Authority (the “FCA”), and are subject to various rules and regulations made by the FCA under the authorities conferred upon it by the Financial Services and Markets Act 2000, as amended by the Financial Services Act 2012. LCL has obtained the appropriate European investment services rights to provide cross-border services into a number of other members of the European Economic Area.</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have other subsidiaries that are registered as broker-dealers (or have similar non-U.S. registration) in various jurisdictions.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Certain of our Asset Management subsidiaries are registered as investment advisors with the SEC. As a registered investment advisor, each is subject to the requirements of the Investment Advisers Act of 1940, as amended (the “Investment Advisers Act”), and the SEC’s regulations thereunder. Such requirements relate to, among other things, the relationship between an advisor and its advisory clients, as well as general anti-fraud prohibitions. LAM serves as an advisor to several mutual funds which are registered under the Investment Company Act of 1940, as amended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record-keeping and reporting requirements, disclosure requirements, limitations on trades where a single broker acts as the agent for both the buyer and seller, and limitations on affiliated transactions and joint transactions. Lazard Asset Management Securities LLC, a subsidiary of LAM, serves as an underwriter or distributor for mutual funds and hedge funds managed by LAM, and as an introducing broker to Pershing LLC for unmanaged accounts of LAM’s private clients.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Compagnie Financière Lazard Frères SAS (“CFLF”), our French subsidiary under which asset management and commercial banking activities are carried out in France, is subject to regulation by the Autorité de Contrôle Prudentiel et de Résolution (“ACPR”) for its banking activities conducted through our Paris-based banking subsidiary, Lazard Frères Banque SA (“LFB”). The investment services activities of the Paris group, exercised through LFB and other subsidiaries of CFLF, primarily LFG (asset management), also are subject to regulation and supervision by the Autorité des Marchés Financiers. In addition, pursuant to the consolidated supervision rules in the European Union, LFB, in particular, as a French credit institution, is required to be supervised by a regulatory body, either in the U.S. or in the European Union. In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a result of certain changes effected by the Dodd-Frank Wall Street Reform and Consumer Protection Act (the “Dodd-Frank Act”) related to the regulation of over-the-counter swaps and other derivative instruments, LAM and certain of its subsidiaries have registered with the U.S. Commodity Futures Trading Commission (the “CFTC”) and the National Futures Association (the “NFA”), and are subject to certain aspects of the U.S. Commodity Exchange Act and the regulations thereunder, and to the rules of the NFA. The CFTC and the NFA</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00"/>
        <w:spacing w:after="0" w:line="306" w:lineRule="auto"/>
        <w:rPr>
          <w:sz w:val="20"/>
          <w:szCs w:val="20"/>
          <w:color w:val="auto"/>
        </w:rPr>
      </w:pPr>
      <w:r>
        <w:rPr>
          <w:rFonts w:ascii="Arial" w:cs="Arial" w:eastAsia="Arial" w:hAnsi="Arial"/>
          <w:sz w:val="16"/>
          <w:szCs w:val="16"/>
          <w:color w:val="auto"/>
        </w:rPr>
        <w:t>have authority over the laws, rules and regulations related to commodities (including the over-the-counter swaps and derivatives markets), and regulate our relationship with clients who trade in these instruments. The U.S. Commodity Exchange Act and the regulations thereunder also impose additional record-keeping and reporting requirements and disclosure requirements on LAM and its subsidiaries.</w:t>
      </w:r>
    </w:p>
    <w:p>
      <w:pPr>
        <w:spacing w:after="0" w:line="10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addition, the Japanese Ministry of Finance and the Financial Supervisory Agency, the Korean Financial Supervisory Commission, the Securities and Futures Commission of Hong Kong, the Monetary Authority of Singapore, the Australian Securities &amp; Investments Commission, the Dubai Financial Services Authority and German banking authorities, among others, regulate relevant operating subsidiaries of the Company and also have capital standards and other requirements comparable to the rules of the SEC. Our business is also subject to regulation by other non-U.S. governmental and regulatory bodies and self-regulatory authorities in other countries where we operate.</w:t>
      </w:r>
    </w:p>
    <w:p>
      <w:pPr>
        <w:spacing w:after="0" w:line="11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Regulators are empowered to conduct periodic examinations and initiate administrative proceedings that can result, among other things, in censure, fine, the issuance of cease-and-desist orders or the suspension or expulsion or other disciplining of a broker-dealer or investment advisor or its directors, officers or employees.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also subject to various anti-bribery, anti-money laundering and counter-terrorist financing laws, rules and regulations in the jurisdictions in which we operate. The U.S. Foreign Corrupt Practices Act, for example, generally prohibits offering, promising or giving, or authorizing others to give, anything of value, either directly or indirectly, to a non-U.S. government official in order to influence official action or otherwise gain an unfair business advantage, such as to obtain or retain business. In addition, we are required to comply with economic sanctions and embargo programs administered by the U.S. Treasury’s Office of Foreign Assets Control and by similar governmental agencies and other authorities worldwide. Violations of any of these laws, rules, regulations and programs can give rise to administrative, civil or criminal penalties.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U.S. and other governments and institutions have taken actions, and may continue to take further actions, that affect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See Item 1A, “Risk Factors—Other Business Risks—Extensive regulation of our businesses limits our activities and results in ongoing exposure to the potential for significant penalties, including fines or limitations on our ability to conduct our businesses.”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are the name, age, present title, principal occupation and certain biographical information for each of our executive officers as of February 19, 2016, all of whom have been appointed by, and serve at the pleasure of, our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M. Jacobs, 57</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Mr. Jacobs has served as Chairman of the Board of Directors and Chief Executive Officer of Lazard Ltd and Lazard Group since November 2009. Mr. Jacobs has served as a Managing Director of Lazard since 1991 and had been a Deputy Chairman of Lazard from January 2002 until November 2009. Mr. Jacobs also served as Chief Executive Officer of Lazard North America from January 2002 until November 2009. Mr. Jacobs initially joined Lazard in 1988. Mr. Jacobs is a member of the Board of Trustees of the University of Chicago and the Brookings Institution.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Matthieu Bucaille, 56</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Mr. Bucaille has served as Chief Financial Officer of Lazard Ltd and Lazard Group since April 2011. Mr. Bucaille has served as a Managing Director of Lazard since 1998 and served as the Deputy Chief Executive Officer of LFB in Paris from October 2009 until December 2011. Mr. Bucaille joined Lazard in 1989 from the First Boston Corporation in New York.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Ashish Bhutani, 55</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Mr. Bhutani has served as a member of the Board of Directors of Lazard Ltd and Lazard Group since March 2010. Mr. Bhutani is a Vice Chairman and a Managing Director of Lazard and has been the Chief Executive Officer of LAM since March 2004.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D. Hoffman, 53</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Mr. Hoffman has served as General Counsel of Lazard Ltd since May 2005. Mr. Hoffman has served as a Managing Director of Lazard since January 1999 and General Counsel of Lazard Group since January 2001. Mr. Hoffman previously served as Vice President and Assistant General Counsel from February 1994 to December 1997 and as a Director from January 1998 to December 1998. Prior to joining Lazard, Mr. Hoffman was an attorney at Cravath, Swaine &amp; Moore LLP. Mr. Hoffman is a member of the Board of Trustees of the New York University School of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F. Stern, 49</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Mr. Stern has served as Chief Operating Officer of Lazard Ltd and Lazard Group since November 2008. Mr. Stern has served as a Managing Director of Lazard since January 2002, as Chief Executive Officer, Financial Advisory, since April 2015, and as Global Head of Strategy since February 2006. Mr. Stern previously served as a Vice President in Lazard’s Financial Advisory business from January 1998 to December 2000 and as a Director from January 2001 to December 2001. Mr. Stern initially joined Lazard in 1994 and previously held various positions with Patricof &amp; Co. Ventures and IBM.</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Lazard Ltd files current, annual and quarterly reports, proxy statements and other information required by the Exchange Act with the SEC. You may read and copy any document the Company files at the SEC’s public reference room located at 100 F Street, N.E., Washington, D.C. 20549, U.S.A. Please call the SEC at 1-800-SEC-0330 for further information on the public reference room. The Company’s SEC filings are also available to the public from the SEC’s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Copies of these reports, proxy statements and other information can also be inspected at the offices of the New York Stock Exchange, Inc., 20 Broad Street, New York, New York 10005, U.S.A.</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Our public website is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and the investor relations SEC filings section of our public website is located at </w:t>
      </w:r>
      <w:r>
        <w:rPr>
          <w:rFonts w:ascii="Arial" w:cs="Arial" w:eastAsia="Arial" w:hAnsi="Arial"/>
          <w:sz w:val="16"/>
          <w:szCs w:val="16"/>
          <w:i w:val="1"/>
          <w:iCs w:val="1"/>
          <w:color w:val="auto"/>
        </w:rPr>
        <w:t xml:space="preserve">http://www.lazard.com/InvestorRelations/SEC-Filings.aspx. </w:t>
      </w:r>
      <w:r>
        <w:rPr>
          <w:rFonts w:ascii="Arial" w:cs="Arial" w:eastAsia="Arial" w:hAnsi="Arial"/>
          <w:sz w:val="16"/>
          <w:szCs w:val="16"/>
          <w:color w:val="auto"/>
        </w:rPr>
        <w:t>We will make available free of charge, on or through the investor relations section of our website, our</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and available in print upon request of any Lazard Ltd shareholder to the Investor Relations Department, are charters for the Company’s Audit Committee, Compensation Committee and Nominating &amp; Governance Committee. Copies of these charters and our Corporate Governance Guidelines and Code of Business Conduct and Ethics governing our directors, officers and employees are also posted on the investor relations section of our website in the corporate governance subsection.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You should carefully consider the following risks and all of the other information set forth in this Form 10-K, including our consolidated financial statements and related notes. The following risks comprise the material risks of which we are aware. If any of the events or developments described below actually occurred, our business, financial condition or results of operations would likely suffer.</w:t>
      </w:r>
    </w:p>
    <w:p>
      <w:pPr>
        <w:spacing w:after="0" w:line="134" w:lineRule="exact"/>
        <w:rPr>
          <w:sz w:val="20"/>
          <w:szCs w:val="20"/>
          <w:color w:val="auto"/>
        </w:rPr>
      </w:pPr>
    </w:p>
    <w:p>
      <w:pPr>
        <w:ind w:right="300" w:firstLine="456"/>
        <w:spacing w:after="0" w:line="310" w:lineRule="auto"/>
        <w:rPr>
          <w:sz w:val="20"/>
          <w:szCs w:val="20"/>
          <w:color w:val="auto"/>
        </w:rPr>
      </w:pPr>
      <w:r>
        <w:rPr>
          <w:rFonts w:ascii="Arial" w:cs="Arial" w:eastAsia="Arial" w:hAnsi="Arial"/>
          <w:sz w:val="16"/>
          <w:szCs w:val="16"/>
          <w:b w:val="1"/>
          <w:bCs w:val="1"/>
          <w:color w:val="auto"/>
        </w:rPr>
        <w:t>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0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Unfavorable economic and market conditions can adversely affect our financial performance in both the Financial Advisory and Asset Management businesses. The future market and economic climate may deteriorate because of many factors, such as a general slowing of economic growth globally or regionally, periods of volatility in securities markets, volatility and tightening of liquidity in credit markets, volatility or significant realignments in currency markets, increases in interest rates, inflation, corporate or sovereign defaults, natural disasters, terrorism or political uncertainty.</w:t>
      </w:r>
    </w:p>
    <w:p>
      <w:pPr>
        <w:spacing w:after="0" w:line="1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recent years, regional and global capital markets and economies have experienced periods of significant disruption and volatility. If these conditions continue or if current conditions materially worsen, our business may be adversely affected, which may have a material impact on our business and results of operations.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example, revenue generated by our Financial Advisory business is directly related to the volume and value of the transactions in which we are involved. During periods of unfavorable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of M&amp;A transactions. In addition, our profitability would be adversely affected due to our fixed costs and the possibility that we would be unable to reduce our variable costs without reducing revenue or within a timeframe sufficient to offset any decreases in revenue relating to changes in market and economic conditions.</w:t>
      </w:r>
    </w:p>
    <w:p>
      <w:pPr>
        <w:spacing w:after="0" w:line="62"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contraction, we typically have seen that our Restructuring practice has been more active and our Mergers and Acquisitions practice has been less active. As a result,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 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 and there is no certainty that strength in one practice will offset weakness in the other.</w:t>
      </w:r>
    </w:p>
    <w:p>
      <w:pPr>
        <w:spacing w:after="0" w:line="12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Asset Management business also would be expected to generate lower revenue in a market or general economic downturn. Under our Asset Management business’s arrangements, investment advisory fees we receive typically are based on the market value of AUM. Accordingly, a decline in the prices of securities, or in specific geographic markets or sectors that constitute a significant portion of our AUM (</w:t>
      </w:r>
      <w:r>
        <w:rPr>
          <w:rFonts w:ascii="Arial" w:cs="Arial" w:eastAsia="Arial" w:hAnsi="Arial"/>
          <w:sz w:val="18"/>
          <w:szCs w:val="18"/>
          <w:i w:val="1"/>
          <w:iCs w:val="1"/>
          <w:color w:val="auto"/>
        </w:rPr>
        <w:t>e.g.</w:t>
      </w:r>
      <w:r>
        <w:rPr>
          <w:rFonts w:ascii="Arial" w:cs="Arial" w:eastAsia="Arial" w:hAnsi="Arial"/>
          <w:sz w:val="18"/>
          <w:szCs w:val="18"/>
          <w:color w:val="auto"/>
        </w:rPr>
        <w:t>, our emerging markets strategies), would be expected to cause our revenue and income to decline by causing:</w:t>
      </w:r>
    </w:p>
    <w:p>
      <w:pPr>
        <w:spacing w:after="0" w:line="6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value of our AUM to decrease, which would result in lower investment advisory fees;</w:t>
      </w:r>
    </w:p>
    <w:p>
      <w:pPr>
        <w:spacing w:after="0" w:line="90" w:lineRule="exact"/>
        <w:rPr>
          <w:rFonts w:ascii="Arial" w:cs="Arial" w:eastAsia="Arial" w:hAnsi="Arial"/>
          <w:sz w:val="18"/>
          <w:szCs w:val="18"/>
          <w:color w:val="auto"/>
        </w:rPr>
      </w:pPr>
    </w:p>
    <w:p>
      <w:pPr>
        <w:ind w:left="900" w:right="74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some of our clients to withdraw funds from our Asset Management business due to the uncertainty or volatility in the market, or in favor of investments they perceive as offering greater opportunity or lower risk, which would also result in lower investment advisory fees;</w:t>
      </w:r>
    </w:p>
    <w:p>
      <w:pPr>
        <w:spacing w:after="0" w:line="4"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some of our clients or prospective clients to hesitate in allocating assets to our Asset Management business due to the uncertainty or volatility in the market, which would also result in lower investment advisory fees; or</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absolute performance returns for some accounts which have performance-based incentive fees, which would result in a reduction of revenue from such fees.</w:t>
      </w:r>
    </w:p>
    <w:p>
      <w:pPr>
        <w:spacing w:after="0" w:line="132"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If our Asset Management revenue declines without a commensurate reduction in our expenses, our net income would be reduced. In addition, in the event of a market or general economic downturn, our alternative investment and private equity practices also may be impacted by a difficult fund raising environment and reduced exit opportunities in which to realize the value of their investments. Fluctuations in foreign currency exchange rates may also affect the levels of our AUM and our investment advisory fees. See “Fluctuations in foreign currency exchange rates could reduce our stockholders’ equity and net income or negatively impact the portfolios of our Asset Management clients and may affect the levels of our AUM” below.</w:t>
      </w:r>
    </w:p>
    <w:p>
      <w:pPr>
        <w:spacing w:after="0" w:line="110"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Due to the nature of our business, financial results could differ significantly from period to period, which may make it difficult for us to achieve steady earnings growth on a quarterly basis.</w:t>
      </w:r>
    </w:p>
    <w:p>
      <w:pPr>
        <w:spacing w:after="0" w:line="12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experience significant fluctuations in quarterly revenue and profits. These fluctuations generally can be attributed to the fact that we earn a substantial portion of our Financial Advisory revenue upon the successful completion of a transaction or a restructuring, the timing of which is uncertain and is not subject to our control. As a result, our Financial Advisory business is highly dependent on market conditions and the decisions and actions of our clients, interested third parties and governmental authorities. For example, a client or counterparty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could delay or terminate an acquisition transaction because of a failure to agree upon final terms, failure to obtain necessary regulatory consents or board of directors, or acquirer’s or stockholder approval, failure to secure necessary financing, adverse market conditions or because the seller’s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 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cause significant fluctuations in quarterly revenue and profits and could materially adversely affect our business, financial condition and results of operations. For more information, see “Management’s Discussion and Analysis of Financial Condition and Results of Operations”.</w:t>
      </w:r>
    </w:p>
    <w:p>
      <w:pPr>
        <w:spacing w:after="0" w:line="12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In addition, our Asset Management revenue is particularly sensitive to fluctuations in our AUM. Asset Management fees are predominantly based on average AUM as of the end of a quarter or month. As a result, a reduction in AUM at the end of a quarter or month (as a result of market depreciation, withdrawals, fluctuations in foreign currency exchange rates or otherwise) will result in a decrease in management fees. Similarly, timing of flows, contributions and withdrawals are often out of our control and may be inconsistent from quarter to quarter. Incentive fees are driven by investment performance (either absolute performance or relative to an established benchmark), which is directly impacted by market movements, and may therefore fluctuate from period to period.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quarterly fluctuations, it may be difficult for us to achieve steady earnings growth on a quarterly basis.</w:t>
      </w:r>
    </w:p>
    <w:p>
      <w:pPr>
        <w:spacing w:after="0" w:line="165" w:lineRule="exact"/>
        <w:rPr>
          <w:sz w:val="20"/>
          <w:szCs w:val="20"/>
          <w:color w:val="auto"/>
        </w:rPr>
      </w:pPr>
    </w:p>
    <w:p>
      <w:pPr>
        <w:jc w:val="both"/>
        <w:ind w:right="80" w:firstLine="456"/>
        <w:spacing w:after="0" w:line="378" w:lineRule="auto"/>
        <w:rPr>
          <w:sz w:val="20"/>
          <w:szCs w:val="20"/>
          <w:color w:val="auto"/>
        </w:rPr>
      </w:pPr>
      <w:r>
        <w:rPr>
          <w:rFonts w:ascii="Arial" w:cs="Arial" w:eastAsia="Arial" w:hAnsi="Arial"/>
          <w:sz w:val="15"/>
          <w:szCs w:val="15"/>
          <w:b w:val="1"/>
          <w:bCs w:val="1"/>
          <w:color w:val="auto"/>
        </w:rPr>
        <w:t>Our ability to retain our managing directors and other key professional employees is critical to the success of our business, including maintaining compensation levels at an appropriate level of costs, and failure to do so may materially adversely affect our results of operations and financial position.</w:t>
      </w:r>
    </w:p>
    <w:p>
      <w:pPr>
        <w:spacing w:after="0" w:line="5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people are our most important asset. We must retain the services of our managing directors and other key professional employees, and strategically recruit and hire new talented employees, to obtain and successfully execute the Financial Advisory and Asset Management engagements that generate substantially all our revenue.</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general, our industry continues to experience change and be subject to significant competitive pressures with respect to the retention of top talent, which makes it more difficult for us to retain professionals. Loss of key employees may occur due to perceived opportunity for promotion, compensation levels, work environment or other individual reasons, some of which may be beyond our control. If any of our managing directors and other key professional employees were to retire, join an existing competitor, form a competing company or otherwise leave us, some of our clients could eventually choose to use the services of that competitor or some other competitor instead of our services. In any such event, our investment banking fees, asset management fees or AUM could decline. The employment arrangements, non-competition agreements and retention agreements we have or will enter into with our managing directors and other key professional employees may not sufficiently prevent our managing directors and other key professional employees from resigning from practice or competing against us. In addition, these arrangements and agreements have a limited duration and expire after a certain period of time. We continue to be subject to intense competition in the financial services industry regarding the recruitment and retention of key professionals, and have experienced departures from and added to our professional ranks as a result.</w:t>
      </w:r>
    </w:p>
    <w:p>
      <w:pPr>
        <w:spacing w:after="0" w:line="12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Certain changes to our employee compensation arrangements may result in increased compensation and benefits expense. In addition, any changes to the mix of cash and deferred incentive compensation granted to our employees may affect certain financial measures applicable to our business, including ratios of compensation and benefits expense to revenue, and may result in increased levels of Lazard Ltd’s Class A common stock, par value $0.01 per share (“Class A common stock”) issued to our employees upon vesting of restricted stock units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(“RSUs”), performance-based restricted stock units (“PRSUs”) or restricted stock awards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financial services industry, and all of the businesses in which we compete, are intensely competitive.</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financial services industry is intensely competitive, and we expect it to remain so. We compete on the basis of a number of factors, including the quality of our advice, our employees and transaction execution, the range and price of our products and services, our innovation and our reputation.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number of factors increase the competitive risks of our Financial Advisory and Asset Management businesses:</w:t>
      </w:r>
    </w:p>
    <w:p>
      <w:pPr>
        <w:spacing w:after="0" w:line="90" w:lineRule="exact"/>
        <w:rPr>
          <w:sz w:val="20"/>
          <w:szCs w:val="20"/>
          <w:color w:val="auto"/>
        </w:rPr>
      </w:pPr>
    </w:p>
    <w:p>
      <w:pPr>
        <w:ind w:left="900" w:right="16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the launch of new asset management and financial advisory firms, including a relatively low cost of entering these businesses, and the successful efforts of new entrants into our lines of business, including major banks and other financial institutions, have resulted in increased competition;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industry participants will from time to time seek to recruit our employees away from us in order to compete in our lines of business;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of our Financial Advisory practices and Asset Management products are newly established and relatively small.</w:t>
      </w:r>
    </w:p>
    <w:p>
      <w:pPr>
        <w:spacing w:after="0" w:line="171"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In addition, many of our competitors have the ability to offer a wide range of products, from loans, deposit-taking and insurance to brokerage, asset management and investment banking services, which may enhance their competitive position. They may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Competitive pressure could adversely affect our ability to attract new or retain existing clients, make successful investments, retain our people or maintain AUM, any of which would adversely affect our revenue and earnings.</w:t>
      </w:r>
    </w:p>
    <w:p>
      <w:pPr>
        <w:spacing w:after="0" w:line="126" w:lineRule="exact"/>
        <w:rPr>
          <w:sz w:val="20"/>
          <w:szCs w:val="20"/>
          <w:color w:val="auto"/>
        </w:rPr>
      </w:pPr>
    </w:p>
    <w:p>
      <w:pPr>
        <w:jc w:val="both"/>
        <w:ind w:right="480" w:firstLine="456"/>
        <w:spacing w:after="0" w:line="262" w:lineRule="auto"/>
        <w:rPr>
          <w:sz w:val="20"/>
          <w:szCs w:val="20"/>
          <w:color w:val="auto"/>
        </w:rPr>
      </w:pPr>
      <w:r>
        <w:rPr>
          <w:rFonts w:ascii="Arial" w:cs="Arial" w:eastAsia="Arial" w:hAnsi="Arial"/>
          <w:sz w:val="18"/>
          <w:szCs w:val="18"/>
          <w:b w:val="1"/>
          <w:bCs w:val="1"/>
          <w:color w:val="auto"/>
        </w:rPr>
        <w:t>A substantial portion of our revenue is derived from Financial Advisory fees, which are not long-term contracted sources of revenue and are subject to intense competition, and declines in our Financial Advisory engagements could have a material adverse effect on our business, financial condition and results of operations.</w:t>
      </w:r>
    </w:p>
    <w:p>
      <w:pPr>
        <w:spacing w:after="0" w:line="13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historically have earned a substantial portion of our revenue from advisory fees paid to us by our Financial Advisory clients, which usually are payable upon the successful completion of a particular transaction or restructuring. For example, for the year ended December 31, 2015, Financial Advisory services accounted for approximately 54% of our consolidated net revenue. We expect that we will continue to rely on Financial Advisory fees for a substantial portion of our revenue for the foreseeable future, and a decline in our advisory engagements or the market for advisory services would adversely affect our business, financial condition and results of operations.</w:t>
      </w:r>
    </w:p>
    <w:p>
      <w:pPr>
        <w:spacing w:after="0" w:line="14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consequence, our fee paying engagements with many clients are not likely to be predictable. We also lose clients each year, including as a result of the sale or merger of a client, a change in a client’s senior management and competition from other financial advisors and financial institutions. As a result, our engagements with clients are constantly changing and our Financial Advisory fees could decline quickly due to the factors discussed above.</w:t>
      </w:r>
    </w:p>
    <w:p>
      <w:pPr>
        <w:spacing w:after="0" w:line="101"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services declines, our Restructuring revenue could suffer.</w:t>
      </w:r>
    </w:p>
    <w:p>
      <w:pPr>
        <w:spacing w:after="0" w:line="12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provide various restructuring and restructuring-related advice to companies in financial distress or to their creditors or other stakeholders. Historically, the fees from restructuring related services have been a significant part of our Financial Advisory revenue, although the aggregate value of debt defaults has recently been low, consistent with the last several years. A number of factors could affect demand for these advisory services, including improving general economic conditions, the availability and cost of debt and equity financing and changes to laws, rules and regulations, including those that protect creditors, and the deregulation or privatization of particular industries.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Potential underwriting and trading activities may expose us to risk.</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2014, we took steps that have enabled us to act as an underwriter in public offerings and other distributions of securities in order to buttress our Financial Advisory business. If we act as an underwriter,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Operational risk in connection with any offering we underwrite could arise in the form of errors, deficiencies or noncompliance and also could expose us to risk. In addition, through indemnification provisions in our agreement with our clearing organization, customer trading and other activities may expose us to off-balance sheet credit risk. Securities may have to be purchased or sold at prevailing market prices in the event a customer fails to settle a trade on its original terms. We seek to manage the risks associated with underwriting and customer trading activities through screening, internal review and trading procedures and processes, but such procedures and processes may not be effective in all cases.</w:t>
      </w:r>
    </w:p>
    <w:p>
      <w:pPr>
        <w:spacing w:after="0" w:line="117" w:lineRule="exact"/>
        <w:rPr>
          <w:sz w:val="20"/>
          <w:szCs w:val="20"/>
          <w:color w:val="auto"/>
        </w:rPr>
      </w:pPr>
    </w:p>
    <w:p>
      <w:pPr>
        <w:ind w:right="220" w:firstLine="456"/>
        <w:spacing w:after="0" w:line="339" w:lineRule="auto"/>
        <w:rPr>
          <w:sz w:val="20"/>
          <w:szCs w:val="20"/>
          <w:color w:val="auto"/>
        </w:rPr>
      </w:pPr>
      <w:r>
        <w:rPr>
          <w:rFonts w:ascii="Arial" w:cs="Arial" w:eastAsia="Arial" w:hAnsi="Arial"/>
          <w:sz w:val="16"/>
          <w:szCs w:val="16"/>
          <w:b w:val="1"/>
          <w:bCs w:val="1"/>
          <w:color w:val="auto"/>
        </w:rPr>
        <w:t>Our investment style in our Asset Management business, including the mix of asset classes and investment strategies comprising our AUM, may underperform other investment approaches, which may result in significant client or asset departures, or a reduction in AUM.</w:t>
      </w:r>
    </w:p>
    <w:p>
      <w:pPr>
        <w:spacing w:after="0" w:line="8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Even when securities prices are rising generally, performance can be affected by investment style and mix of asset classes. For example, many of the equity investment strategies in our Asset Management business share a common investment orientation towards relative value investing. We believe this style tends to outperform the market in some market environments and underperform it in others. In particular, a prolonged growth environment may cause some of our investment strategies to go out of favor with some clients, advisors, consultants or third-party intermediaries. In addition, all of our investment strategies are actively managed strategies which seek to outperform relative to a benchmark or generate an absolute return. Trends toward passively managed investment strategies may adversely affect demand for our strategies or result in fee pressure on our business overall. In combination with poor performance relative to peers, changes in personnel, extensive periods in particular market environments or other difficulties, the underperformance of our investment style may result in significant client or asset departures or a reduction in AUM.</w:t>
      </w:r>
    </w:p>
    <w:p>
      <w:pPr>
        <w:spacing w:after="0" w:line="11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We could lose clients and suffer a decline in our Asset Management revenue and earnings if the investments we choose in our Asset Management business perform poorly, regardless of overall trends in the prices of securities.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performance affects our AUM relating to existing clients and is one of the most important factors in retaining clients and competing for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Asset Management business. Poor investment performance could impair our revenue and growth because:</w:t>
      </w:r>
    </w:p>
    <w:p>
      <w:pPr>
        <w:spacing w:after="0" w:line="84" w:lineRule="exact"/>
        <w:rPr>
          <w:sz w:val="20"/>
          <w:szCs w:val="20"/>
          <w:color w:val="auto"/>
        </w:rPr>
      </w:pPr>
    </w:p>
    <w:p>
      <w:pPr>
        <w:ind w:left="900" w:right="3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existing clients might withdraw funds from our Asset Management business in favor of better performing products, which would result in lower investment advisory fees;</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incentive fees, which provide us with a set percentage of returns on some alternative investment and private equity funds and other accounts, would decline;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financial intermediaries, rating services, advisors or consultants may rate our products poorly, which may result in client withdrawals and reduced asset flows;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firms with which we have strategic alliances may terminate such relationships with us, and future strategic alliances may be unavailable.</w:t>
      </w:r>
    </w:p>
    <w:p>
      <w:pPr>
        <w:spacing w:after="0" w:line="19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Over certain time periods, we may have a higher concentration of assets in certain strategies. To the extent that this is the case, underperformance, changes in investment personnel or other changes in these strategies may result in a withdrawal of assets. If a significant amount of clients withdraw from these strategies for any reason, our revenues would decline and our operating results would be adversely affected.</w:t>
      </w:r>
    </w:p>
    <w:p>
      <w:pPr>
        <w:spacing w:after="0" w:line="101"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Because many of our Asset Management clients can remove the assets we manage on short notice, we may experience unexpected declines in revenue and profitability.</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departures from or changes to the teams that manage our investment products, or changes in prevailing interest rates and financial market performance. Poor performance relative to other investment management firms tends to result in decreased investments in our investment products, increased redemptions of our investment products, and the loss of institutional or individual accounts or strategic alliances. In addition, the ability to terminate relationships may allow clients to renegotiate for lower fees paid for asset management services.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Investment Advisers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110"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Access to clients through intermediaries is important to our Asset Management business, and reductions in referrals from such intermediaries or poor reviews of our products or our organization by such intermediaries could materially reduce our revenue and impair our ability to attract new clients.</w:t>
      </w:r>
    </w:p>
    <w:p>
      <w:pPr>
        <w:spacing w:after="0" w:line="138"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review and evaluate our products and our organization. Poor reviews or evaluations of either the particular product or of us may result in client withdrawals or an inability to attract new assets through such intermediaries.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Asset Management business relies on non-affiliated third-party service providers.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Asset Management business has entered into service agreements with third-party service providers for client order management and the execution and settlement of client securities transactions. This business faces the risk of operational failure of any of our clearing agents, the exchanges, clearing houses or other intermediaries we use to facilitate our securities transactions. We oversee and manage these relationships. Poor oversight and control or inferior performance or service on the part of the service provider could result in loss of customers and violations of applicable rules and regulations. Any such failure could adversely affect our ability to effect transactions and to manage our exposure to risk.</w:t>
      </w:r>
    </w:p>
    <w:p>
      <w:pPr>
        <w:spacing w:after="0" w:line="110"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Fluctuations in foreign currency exchange rates could reduce our stockholders’ equity and net income or negatively impact the portfolios of our Asset Management clients and may affect the levels of our AUM.</w:t>
      </w:r>
    </w:p>
    <w:p>
      <w:pPr>
        <w:spacing w:after="0" w:line="126"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We are exposed to fluctuations in foreign currencies, including through advisory fees paid to our Financial Advisory business and management fees paid to our Asset Management business. Our financial statements are denominated in U.S. Dollars and, for the year ended December 31, 2015, we received approximately 40% of our consolidated net revenue in other currencies, predominantly in euros, British pounds and Australian dollars. In addition, we pay a significant amount of our expenses in such other currencies. The exchange rates of these currencies versus the U.S. Dollar affects the carrying value of our assets and liabilities as well as our revenues, expenses and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0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Fluctuations in foreign currency exchange rates also can impact the portfolios of our Asset Management clients. Client portfolios are invested in securities across the globe, although most portfolios are funded in a single base currency. Foreign currency exchange rate fluctuations can adversely impact investment performance for a client’s portfolio and also may affect the levels of our AUM. As our AUM include significant assets that are denominated in currencies other than U.S. dollars, an increase in the value of the U.S. Dollar relative to non-U.S. currencies, with all other factors held constant, generally would result in a decrease in the dollar value of our AUM, which, in turn, would result in lower U.S. Dollar-denominated revenue in our Asset Management business. As of December 31, 2015, AUM with foreign currency exposure represented approximately 72% of our total AUM.</w:t>
      </w:r>
    </w:p>
    <w:p>
      <w:pPr>
        <w:spacing w:after="0" w:line="12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See Note 13 of Notes to Consolidated Financial Statements for additional information regarding the impact on stockholders’ equity from currency translation adjustments and Note 2 of Notes to Consolidated Financial Statements for additional information regarding the impact on operating results from currency transaction adjustments.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results of operations may be affected by fluctuations in the fair value of positions held in our investment portfolios.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invest capital in various types of equity and debt securities in order to seed LAM equity, debt and alternative investment funds, and for general corporate purposes. Such investments are subject to market fluctuations due to changes in the market prices of securities, interest rates or other market factors, such as liquidity. While we may seek to hedge the market risk for some of these investments, an effective hedge may not be available, and if available, may not be fully effective. These investments are adjusted for accounting purposes to fair value at the end of each quarter regardless of our intended holding period, with any related gains or losses reflected in our results of operations, and therefore may increase the volatility of our earnings, even though such gains or losses may not be realized.</w:t>
      </w:r>
    </w:p>
    <w:p>
      <w:pPr>
        <w:spacing w:after="0" w:line="138" w:lineRule="exact"/>
        <w:rPr>
          <w:sz w:val="20"/>
          <w:szCs w:val="20"/>
          <w:color w:val="auto"/>
        </w:rPr>
      </w:pPr>
    </w:p>
    <w:p>
      <w:pPr>
        <w:ind w:right="260" w:firstLine="456"/>
        <w:spacing w:after="0" w:line="339" w:lineRule="auto"/>
        <w:rPr>
          <w:sz w:val="20"/>
          <w:szCs w:val="20"/>
          <w:color w:val="auto"/>
        </w:rPr>
      </w:pPr>
      <w:r>
        <w:rPr>
          <w:rFonts w:ascii="Arial" w:cs="Arial" w:eastAsia="Arial" w:hAnsi="Arial"/>
          <w:sz w:val="16"/>
          <w:szCs w:val="16"/>
          <w:b w:val="1"/>
          <w:bCs w:val="1"/>
          <w:color w:val="auto"/>
        </w:rPr>
        <w:t>We have investments, primarily through our private equity businesses, in relatively high-risk, illiquid assets, and we may lose some or all of the principal amount of these investments or fail to realize any profits from these investments for a considerable period of time.</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made, and in the future may make, principal investments in public or private companies or in alternative investments (including private equity funds) established by us, and we continue to hold principal investments directly or through funds managed by certain affiliates of Lazard, including Edgewater, as well as third parties. Making principal investments is risky, and we may lose some or all of the principal amount of our 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any related gains or losses would affect our results of operations, even though such fair value fluctuations may have no cash impact, which could increase the volatility of our earnings.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2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revenue from our private equity business is derived primarily from management fees, which are calculated as a percentage of committed capital or invested capital depending on the stage of each respective fund. Transaction and advisory fees are also earned. Incentive fees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w:t>
      </w:r>
    </w:p>
    <w:p>
      <w:pPr>
        <w:spacing w:after="0" w:line="107"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12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14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modifications and further regulation.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U.S. and other governments and institutions have taken actions, and may continue to take further actions, in response to disruption and volatility in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For example, in July 2010, the Dodd-Frank Act was signed into law, bringing sweeping changes in the regulation of financial institutions. It will take several years for all of the rules under the Dodd-Frank Act to be written and become effective, and the final scope and interpretations of those rules, and their impact on our business, will not be fully known for some time, but could have implications for the manner in which we conduct our business and, consequently, its profitability. While we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continue to examine the potential impact of the Dodd-Frank Act and related regulations, as well as new regulations that may become applicable to us in the U.S. and in the European Union (see “Business—Regulation”), we are not able to predict the ultimate effect on us. In addition, several states and municipalities in the United States have adopted “pay-to-play” rules, which could limit our ability to charge fees in connection with certain of our Private Fund Advisory engagements, and could therefore affect the profitability of that portion of our business.</w:t>
      </w:r>
    </w:p>
    <w:p>
      <w:pPr>
        <w:spacing w:after="0" w:line="143"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private equity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trades also pays for research and other services provided to advisors, has been reexamined by different regulatory bodies and may in the future be limited or modified. Although a substantial portion of the research relied on by our Asset Management business in the investment decision-making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For the year ended December 31, 2015, our Asset Management business obtained research and other services through third-party soft dollar arrangements, the total cost of which we estimate to be approximately $24 million. If the use of soft dollars were to be limited, we would have to bear some of these costs. In addition, new regulations regarding the management of hedge funds, UCITs funds and the use of certain investment products may impact our Asset Management business and result in increased costs. For example, many regulators around the world adopted disclosure and reporting requirements relating to the hedge fund businesses or other businesses, and changes to the laws, rules and regulations in the U.S. related to the over-the-counter swaps and derivatives markets require additional registration, recordkeeping and reporting obligations.</w:t>
      </w:r>
    </w:p>
    <w:p>
      <w:pPr>
        <w:spacing w:after="0" w:line="1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Legislators and regulators around the world continue to explore changes to, and additional oversight of, the financial industry generally. The impact of the potential changes on us are uncertain and may result in an increase in costs or a reduction of revenue associated with our businesses.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“Business—Regulation” for a further discussion of the regulatory environment in which we conduct our businesses.</w:t>
      </w:r>
    </w:p>
    <w:p>
      <w:pPr>
        <w:spacing w:after="0" w:line="165"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The financial services industry faces substantial litigation and regulatory risks, and we may face damage to our professional reputation and legal liability if our services are not regarded as satisfactory or if conflicts of interest should arise.</w:t>
      </w:r>
    </w:p>
    <w:p>
      <w:pPr>
        <w:spacing w:after="0" w:line="12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businesses. Moreover, our role as advisor to our clients on important transactions involves complex analysis and the exercise of professional judgment, including, if appropriate, rendering “fairness opinions” in connection with mergers and other transactions. Our role as advisor to our sovereign and government clients in particular may occasionally result in increased publicity of our involvement with, and our advice to, such clients.</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financial advisors has been increasing. The activities of our Financial Advisory business may subject us to the risk of significant legal actions by our clients and third parties, including our clients’ stockholders, under securities or other laws. Such legal actions may include allegations relating to aiding and abetting breaches of fiduciary duties and to materially false or misleading statements made in connection with securities and other transactions. We may also be exposed to potential liability for the fairness opinions and other advice provided to participants in corporate transactions. In our Asset Management business, we make investment decisions on behalf of our clients which could result in substantial losses. Many of our business activities may subject us to the risk of legal actions alleging negligence, misconduct, breach of fiduciary duty or breach of contract.</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increasingly confront actual and potential conflicts of interest relating to our Financial Advisory business, as well as to the fact that we have both a Financial Advisory business and an Asset Management business. It is possible that actual, potential or perceived conflicts of interest could give rise to client dissatisfaction, litigation or regulatory enforcement actions. Appropriately identifying and managing actual or perceived conflicts of interest is complex and difficult, and our reputation could be damaged if we fail, or appear to fail, to deal appropriately with one or more potential or actual conflicts of interest. We have adopted various policies, controls and procedures to address or limit actual or perceived conflicts of interest. However, these policies, controls and procedures may not be adhered to by our employees or be effective in reducing the applicable risks. Any failure of, or failure to adhere to, these policies, controls and procedures may result in regulatory sanctions or client litigation.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Financial Advisory engagements typically include broad indemnities from our clients and provisions designed to limit our exposure to legal claims relating to our services, but these provisions may not protect us or may not be available or adhered to in all cases. We also are subject to claims arising from disputes with employees for alleged wrongful termination, discrimination or harassment, among other things. These risks often may be difficult to assess or quantify, and their existence and magnitude often remain unknown for substantial periods of time. As a result, we may incur significant legal expenses in defending against litigation. Substantial legal liability or significant regulatory action against us could materially adversely affect our business, financial condition or results of operations or cause significant reputational harm to us, which could seriously harm our business.</w:t>
      </w:r>
    </w:p>
    <w:p>
      <w:pPr>
        <w:spacing w:after="0" w:line="114"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12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 confidential information, which could result in legal action, regulatory sanctions and reputational or financial harm. Our Financial Advisory business often requires that we deal with client confidences of great significance to our clients, improper use of which may harm our clients or our relationships with our clients. Any breach of our clients’ confidences as a result of employee misconduct may adversely affect our reputation, impair our ability to attract and retain Financial Advisory clients and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detect and deter employee misconduct, and the precautions we take to detect and prevent this activity may not be effective in all cases.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recent years, the U.S. Department of Justice and the SEC have also devoted greater resources to the enforcement of the Foreign Corrupt Practices Act. In addition, the United Kingdom and other jurisdictions have expanded the reach of their anti-bribery laws. While we have developed and implemented policies and procedures designed to ensure compliance with anti-bribery and other laws, such policies and procedures may not be effective in all instances to prevent violations. Any determination that we have violated these laws could subject us to, among other things, civil and criminal penalties, material fines, profit disgorgement, injunction against future conduct, securities litigation and reputational damage, any one of which could adversely affect our business, financial position and results of operations.</w:t>
      </w:r>
    </w:p>
    <w:p>
      <w:pPr>
        <w:spacing w:after="0" w:line="138" w:lineRule="exact"/>
        <w:rPr>
          <w:sz w:val="20"/>
          <w:szCs w:val="20"/>
          <w:color w:val="auto"/>
        </w:rPr>
      </w:pPr>
    </w:p>
    <w:p>
      <w:pPr>
        <w:ind w:right="300" w:firstLine="456"/>
        <w:spacing w:after="0" w:line="378" w:lineRule="auto"/>
        <w:rPr>
          <w:sz w:val="20"/>
          <w:szCs w:val="20"/>
          <w:color w:val="auto"/>
        </w:rPr>
      </w:pPr>
      <w:r>
        <w:rPr>
          <w:rFonts w:ascii="Arial" w:cs="Arial" w:eastAsia="Arial" w:hAnsi="Arial"/>
          <w:sz w:val="15"/>
          <w:szCs w:val="15"/>
          <w:b w:val="1"/>
          <w:bCs w:val="1"/>
          <w:color w:val="auto"/>
        </w:rPr>
        <w:t>A failure in or breach of our information systems or infrastructure, or those of third parties with which we do business, including as a result of cyber attacks, could disrupt our businesses, lead to reputational harm and legal liability or otherwise impact our ability to operate our business.</w:t>
      </w:r>
    </w:p>
    <w:p>
      <w:pPr>
        <w:spacing w:after="0" w:line="5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operations rely on the secure processing, storage and transmission of confidential and other information involving our computer systems, hardware, software and networks, which we refer to as information systems, and involving the information systems of third parties with which we do business. Such information systems, which frequently include “cloud”-based networks and services, may be subject to unauthorized access, computer viruses or other malicious code or other events that could have a security impact, and there can be no assurance that we will not suffer material losses relating to cyber attacks on, or other security breaches involving, our information systems, despite taking protective measures to prevent such breaches. The increased use of mobile technologies can heighten these and other operational risks. If a successful cyber attack or other security breach were to occur, our confidential or proprietary information, or the confidential or proprietary information of our clients or their counterparties, that is stored in, or transmitted through, such information systems could be compromised or misappropriated. Any such cyber attack or other security breach, or any disruption of or failure in the physical or logical infrastructure or operating systems that support such information systems or our businesses, could significantly impact our ability to operate our businesses and could result in reputational damage, legal liability, the loss of clients or business opportunities and financial losses that are either not insured against or not fully covered through any insurance maintained by us. As cyber threats continue to evolve, we may also be required to expend additional resources on information security and compliance costs in order to continue to modify or enhance our protective measures or to investigate and remediate any information security vulnerabilities or other exposures.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operational risks may disrupt our businesses, result in regulatory action against us or limit our growth.</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business is highly dependent on communications and information systems, including those of our vendors. Any failure or interruption of these systems, whether caused by fire, other natural disaster, power or telecommunications failure, act of terrorism or war or otherwise, could materially adversely affect our business. Although back-up systems are in place, our back-up procedures and capabilities in the event of a failure or interruption may not be adequate.</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Particularly in our Asset Management business, we rely heavily on our financial, accounting, trading, compliance and other data processing systems, and those of our third party vendors or service providers who support these functions. We expect that we will need to review whether to continue to upgrade and expand the capabilities of these systems in the future to avoid disruption of, or constraints on, our operations. However, if any of these systems do not operate properly or are disabled, including for reasons beyond our control,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 In addition, errors resulting from these issues or from human error when conducting a trade or other transaction could expose us to significant risk.</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addition, if we were to experience a local or regional disaster or other business continuity problem, such as a pandemic or other man-made or natural disaster, our continued success will depend, in part, 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availability of our personnel and office facilities and the proper functioning of our computer, telecommunications, transaction processing and other related systems and operations, as well as those of third parties on whom we rely. Such events could lead us to experience operational challenges, and our inability to successfully recover could materially disrupt our businesses and cause material financial loss, regulatory actions, reputational harm or legal liability.</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additional information regarding operational risks with respect to our businesses, see “Management’s Discussion and Analysis of Financial Condition and Results of Operations—Operational Risk” below.</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soundness of third parties, including our clients, as well as financial, governmental and other institutions, could adversely affect us.</w:t>
      </w:r>
    </w:p>
    <w:p>
      <w:pPr>
        <w:spacing w:after="0" w:line="200"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have exposure to many different industries, institutions, products and counterparties, and we routinely execute transactions with counterparties in the financial services industry, including brokers and dealers, commercial banks, investment banks, mutual and hedge funds and other institutions. Many of these transactions expose us to credit risk in the event of default of our counterparty or client. In addition, our credit risk may be exacerbated when the collateral held by us, if any, cannot be fully realized or is liquidated at prices not sufficient to recover the full amount of the loan or derivative exposure due to us.</w:t>
      </w:r>
    </w:p>
    <w:p>
      <w:pPr>
        <w:spacing w:after="0" w:line="92"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Failure to maintain effective internal controls in accordance with Section 404 of the Sarbanes-Oxley Act could materially adversely affect our business.</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our internal control over financial reporting. We are in compliance with Section 404 of the Sarbanes-Oxley Act as of December 31, 2015.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materially adversely affect our business.</w:t>
      </w:r>
    </w:p>
    <w:p>
      <w:pPr>
        <w:spacing w:after="0" w:line="114" w:lineRule="exact"/>
        <w:rPr>
          <w:sz w:val="20"/>
          <w:szCs w:val="20"/>
          <w:color w:val="auto"/>
        </w:rPr>
      </w:pPr>
    </w:p>
    <w:p>
      <w:pPr>
        <w:ind w:right="600" w:firstLine="456"/>
        <w:spacing w:after="0" w:line="339" w:lineRule="auto"/>
        <w:rPr>
          <w:sz w:val="20"/>
          <w:szCs w:val="20"/>
          <w:color w:val="auto"/>
        </w:rPr>
      </w:pPr>
      <w:r>
        <w:rPr>
          <w:rFonts w:ascii="Arial" w:cs="Arial" w:eastAsia="Arial" w:hAnsi="Arial"/>
          <w:sz w:val="16"/>
          <w:szCs w:val="16"/>
          <w:b w:val="1"/>
          <w:bCs w:val="1"/>
          <w:color w:val="auto"/>
        </w:rPr>
        <w:t>We may pursue acquisitions, joint ventures, cooperation agreements or other growth or geographic expansion strategies that may result in additional risks and uncertainties in our business and could present unforeseen integration obstacles or costs.</w:t>
      </w:r>
    </w:p>
    <w:p>
      <w:pPr>
        <w:spacing w:after="0" w:line="8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routinely assess our strategic position and may in the future seek acquisitions or other transactions or growth strategies to further enhance our competitive position. We have in the past pursued joint ventures and other transactions aimed at expanding the geography and scope of our operations. For example, during 2009, we established a private equity business with Edgewater. During 2011, we added a global real estate investment team. During 2012, we integrated our Brazilian operations based in São Paulo. During 2014, we acquired certain convertible securities sales and trading assets and we opened an asset management office in Dubai. We expect to continue to explore acquisitions, growth strategies and partnership or strategic alliance opportunities that we believe to be attractive.</w:t>
      </w:r>
    </w:p>
    <w:p>
      <w:pPr>
        <w:spacing w:after="0" w:line="144"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Acquisitions, growth strategies and joint ventures involve a number of risks and present financial, managerial and operational challenges, including potential disruption of our ongoing business and distraction of management, difficulty with integrating personnel and financial and other systems, hiring additional management and other critical personnel and increasing the scope, geographic diversity and complexity of our operations.</w:t>
      </w:r>
    </w:p>
    <w:p>
      <w:pPr>
        <w:spacing w:after="0" w:line="10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To the extent that we pursue business opportunities outside of the United States, including through acquisitions, joint ventures or other geographic expansion of our existing businesses, we may become subject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political, economic, legal, operational, regulatory and other risks that are inherent in operating in a foreign country, including risks of potential price, capital and currency exchange controls, licensing requirements and other regulatory restrictions, as well as the risk of hostile actions against or affecting our business or people. Our ability to remain in compliance with local laws in a particular foreign jurisdiction could adversely affect our businesses and our reputation.</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our clients may react unfavorably to our acquisition, growth and joint venture strategies, we may not realize any anticipated benefits from such strategies, we may be exposed to additional liabilities of any acquired business or joint venture, we may be exposed to litigation in connection with an acquisition or joint venture transaction, and we may not be able to renew on similar terms (or at all) previously successful joint ventures or similar arrangements, any of which could materially adversely affect our revenue and results of operations.</w:t>
      </w:r>
    </w:p>
    <w:p>
      <w:pPr>
        <w:spacing w:after="0" w:line="137" w:lineRule="exact"/>
        <w:rPr>
          <w:sz w:val="20"/>
          <w:szCs w:val="20"/>
          <w:color w:val="auto"/>
        </w:rPr>
      </w:pPr>
    </w:p>
    <w:p>
      <w:pPr>
        <w:ind w:right="500" w:firstLine="456"/>
        <w:spacing w:after="0" w:line="339" w:lineRule="auto"/>
        <w:rPr>
          <w:sz w:val="20"/>
          <w:szCs w:val="20"/>
          <w:color w:val="auto"/>
        </w:rPr>
      </w:pPr>
      <w:r>
        <w:rPr>
          <w:rFonts w:ascii="Arial" w:cs="Arial" w:eastAsia="Arial" w:hAnsi="Arial"/>
          <w:sz w:val="16"/>
          <w:szCs w:val="16"/>
          <w:b w:val="1"/>
          <w:bCs w:val="1"/>
          <w:color w:val="auto"/>
        </w:rPr>
        <w:t>An inability to access the debt and equity capital markets as a result of our debt obligations, credit ratings or other factors could impair our liquidity, increase our borrowing costs or otherwise adversely affect our competitive position or results of operations.</w:t>
      </w:r>
    </w:p>
    <w:p>
      <w:pPr>
        <w:spacing w:after="0" w:line="8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of December 31, 2015, Lazard Group and its subsidiaries had approximately $1.0 billion in debt (including capital lease obligations) outstanding, of which $98 million, $500 million and $400 million relate to Lazard Group senior notes that mature in 2017, 2020 and 2025, respectively. This debt has certain mandated payment obligations, which may constrain our ability to operate our business. If we decide to redeem or retire this debt before maturity, we may be required to pay a significant premium to do so, which may adversely impact our earnings and affect our financial position.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if we discover that any of our employees had engaged in serious unauthorized or illegal activity. In addition, our borrowing costs and our access to the debt capital markets depend significantly on our credit ratings. These ratings are assigned by rating agencies, which may reduce or withdraw their ratings or place us on “credit watch” with negative implications at any time.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share price may decline due to the large number of our common shares eligible for future sale.</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of December 31, 2015, Lazard Ltd’s authorized and unissued shares of Class A common stock include approximately 11.6 million shares of our Class A common stock underlying RSUs, deferred stock units (“DSUs”), restricted stock awards and PRSUs that have been granted pursuant to Lazard Ltd’s 2008 Incentive Compensation Plan (the “2008 Plan”) and 2005 Equity Incentive Plan (the “2005 Plan”). RSUs and restricted stock awards generally require future service, among other requirements, as a condition for the delivery of the underlying shares of our Class A common stock (unless the recipient is then eligible for retirement under the Company’s retirement policy) and convert into Class A common stock on a one-for-one basis after the stipulated vesting periods. Such vesting events generally occur in the first quarter of each year, at which point a large number of our shares of Class A common stock immediately become available for sale. PRSUs generally require future service and satisfaction of performance-based vesting criteria as a condition for the delivery of the underlying shares of Class A common stock, and the number of such shares that may be received in connection with each PRSU generally may range from zero to two times the target number. In addition, as of December 31, 2015, approximately 0.9 million shares of our Class A common stock are issuable in connection with business acquisitions completed in prior years.</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generally withheld a portion of the Class A common stock issued to our employees upon vesting of RSUs or delivery of restricted stock to comply with minimum statutory tax withholding requirements. In addition, we have historically repurchased in the open market and through privately negotiated transactions a significant number of shares of our Class A common stock. If we were to cease to or were unable to repurchase shares of our Class A common stock, the number of shares outstanding would increase over time, diluting the ownership of our existing stockholders.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Furthermore, we cannot predict whether, when and how many shares of our Class A common stock will be sold into the market and the effect, if any, that the possibility of market sales of shares of our Class A common stock, the actual sale of such shares or the availability of such shares will have on the market price of our Class A common stock or our ability to raise capital through the issuance of equity securities from time to time. There are generally no restrictions on the sale of vested shares of Class A common stock held by our employees other than prohibitions on sales during internal “blackout” periods imposed by us between quarterly earnings releases.</w:t>
      </w:r>
    </w:p>
    <w:p>
      <w:pPr>
        <w:spacing w:after="0" w:line="137" w:lineRule="exact"/>
        <w:rPr>
          <w:sz w:val="20"/>
          <w:szCs w:val="20"/>
          <w:color w:val="auto"/>
        </w:rPr>
      </w:pPr>
    </w:p>
    <w:p>
      <w:pPr>
        <w:ind w:right="700" w:firstLine="456"/>
        <w:spacing w:after="0" w:line="275" w:lineRule="auto"/>
        <w:rPr>
          <w:sz w:val="20"/>
          <w:szCs w:val="20"/>
          <w:color w:val="auto"/>
        </w:rPr>
      </w:pPr>
      <w:r>
        <w:rPr>
          <w:rFonts w:ascii="Arial" w:cs="Arial" w:eastAsia="Arial" w:hAnsi="Arial"/>
          <w:sz w:val="18"/>
          <w:szCs w:val="18"/>
          <w:b w:val="1"/>
          <w:bCs w:val="1"/>
          <w:color w:val="auto"/>
        </w:rPr>
        <w:t>Lazard Ltd is a holding company and, accordingly, depends upon distributions from Lazard Group to pay dividends and taxes and other expenses.</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 Ltd is a holding company and has no independent means of generating significant revenue. We control Lazard Group through our indirect control of both of the managing members of Lazard Group. Our subsidiaries incur income taxes on net taxable income of Lazard Group in their respective tax jurisdictions. We intend to continue to cause Lazard Group to make distributions to our subsidiaries in an amount sufficient to cover all applicable taxes payable by us and dividends, if any, declared by us. To the extent that our subsidiaries need funds to pay taxes on their share of Lazard Group’s net taxable income, or if Lazard Ltd needs funds for any other purpose, and Lazard Group is restricted from making such distributions under applicable law or regulation, or is otherwise unable to provide such funds, it could materially adversely affect our business, financial condition or results of operations.</w:t>
      </w:r>
    </w:p>
    <w:p>
      <w:pPr>
        <w:spacing w:after="0" w:line="114"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1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Lazard Group depends on its subsidiaries, which conduct the operations of its businesses, for distributions, dividends and other payments to generate the funds necessary to meet its financial obligations, including payments of principal and interest on its indebtedness. However, none of Lazard Group’s subsidiaries is obligated to make funds available to it for servicing such financial obligations.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obligations of Lazard Group’s subsidiaries, regulatory requirements with respect to our broker-dealer and other regulated subsidiaries, foreign exchange controls and a variety of other factors may impede our subsidiaries’ ability to provide Lazard Group with sufficient dividends, distributions or loans to fund its financial obligations, when due.</w:t>
      </w:r>
    </w:p>
    <w:p>
      <w:pPr>
        <w:spacing w:after="0" w:line="112" w:lineRule="exact"/>
        <w:rPr>
          <w:sz w:val="20"/>
          <w:szCs w:val="20"/>
          <w:color w:val="auto"/>
        </w:rPr>
      </w:pPr>
    </w:p>
    <w:p>
      <w:pPr>
        <w:ind w:right="260" w:firstLine="456"/>
        <w:spacing w:after="0" w:line="339" w:lineRule="auto"/>
        <w:rPr>
          <w:sz w:val="20"/>
          <w:szCs w:val="20"/>
          <w:color w:val="auto"/>
        </w:rPr>
      </w:pPr>
      <w:r>
        <w:rPr>
          <w:rFonts w:ascii="Arial" w:cs="Arial" w:eastAsia="Arial" w:hAnsi="Arial"/>
          <w:sz w:val="16"/>
          <w:szCs w:val="16"/>
          <w:b w:val="1"/>
          <w:bCs w:val="1"/>
          <w:color w:val="auto"/>
        </w:rPr>
        <w:t>In the event of a change or adverse interpretation of relevant income tax law, regulation or treaty, or a failure to qualify for treaty benefits, our overall tax rate may be substantially higher than the rate used for purposes of our consolidated financial statements.</w:t>
      </w:r>
    </w:p>
    <w:p>
      <w:pPr>
        <w:spacing w:after="0" w:line="8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effective tax rate is based upon the application of currently applicable income tax laws, regulations and treaties, current judicial and administrative interpretations of those income tax laws, regulations and treaties, and upon our non-U.S. subsidiaries’ ability to qualify for benefits, including reduced withholding tax rates, among other things, under those treaties, and that a portion of their income is not subject to U.S. tax as effectively connected income. Those income tax laws, regulations and treaties, and the administrative and judicial interpretations of them, are subject to change at any time, and any such change may be retroactive. Moreover, U.S. and foreign tax officials are actively reviewing many laws, regulations, and treaties that currently govern the taxation of multinational companies, and any changes to such laws, regulations and treaties that impact us could materially adversely affect our business, financial condition or results of operations.</w:t>
      </w:r>
    </w:p>
    <w:p>
      <w:pPr>
        <w:spacing w:after="0" w:line="14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eligibility of our non-U.S. subsidiaries for treaty benefits generally depends upon, among other things, at least 50% of the principal class of shares in such subsidiaries being “ultimately owned” by U.S. citizens and persons who are “qualified residents” for purposes of the treaty. It is possible that this requirement may not be met, and even if it is met, we may not be able to document that fact to the satisfaction of the U.S. Internal Revenue Service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(“IRS”). If our non-U.S. subsidiaries are not treated as eligible for treaty benefits, such subsidiaries will be subject to additional U.S. taxes, including “branch profits tax” on their “effectively connected earnings and profits” (as determined for U.S. federal income tax purposes) at a rate of 30% rather than a treaty rate of 5%.</w:t>
      </w:r>
    </w:p>
    <w:p>
      <w:pPr>
        <w:spacing w:after="0" w:line="134"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Tax authorities may challenge our tax computations and classifications, our transfer pricing methods, and our application of related policies and methods.</w:t>
      </w:r>
    </w:p>
    <w:p>
      <w:pPr>
        <w:spacing w:after="0" w:line="12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Our tax returns are subject to audit by federal, local and foreign tax authorities. These authorities may successfully challenge certain tax positions or deductions taken by our subsidiaries. For example, tax authorities may contest intercompany allocations of fee income, management charges or interest charges among affiliates in different tax jurisdictions. While we believe that we have provided the appropriate required reserves (see Note 2 of Notes to Consolidated Financial Statements), it is possible that a tax authority may disagree with all, or a portion, of the tax benefits claimed. If a tax authority were to successfully challenge our positions, it could result in significant additional tax costs or payments under the tax receivable agreement described below.</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Outcome of future U.S. tax legislation is unknown at the present time.</w:t>
      </w:r>
    </w:p>
    <w:p>
      <w:pPr>
        <w:spacing w:after="0" w:line="1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February 9, 2016, the Executive Branch submitted its 2017 budget proposals to Congress. The 2017 budget submission included several items that could generate additional tax revenue, including proposals to limit the deduction of certain related party interest and interest attributable to certain classes of foreign source income. In addition, members of Congress may propose legislation that, if enacted, would reclassify certain types of foreign corporations as U.S. corporations for U.S. tax purposes if the management and control of such entities occurs primarily within the U.S.</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are currently unable to predict the ultimate outcome of any of these actual or potential proposals. If they are enacted, however, some of these proposals may increase Lazard’s effective tax rate during future periods.</w:t>
      </w:r>
    </w:p>
    <w:p>
      <w:pPr>
        <w:spacing w:after="0" w:line="126"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8"/>
          <w:szCs w:val="18"/>
          <w:b w:val="1"/>
          <w:bCs w:val="1"/>
          <w:color w:val="auto"/>
        </w:rPr>
        <w:t>Our subsidiaries will be required to make payments under the Amended and Restated Tax Receivable Agreement. The IRS may challenge the tax benefits that give rise to such payments and, under certain circumstances, our subsidiaries may have made or could make payments under the Amended and Restated Tax Receivable Agreement in excess of our subsidiaries’ cash tax savings.</w:t>
      </w:r>
    </w:p>
    <w:p>
      <w:pPr>
        <w:spacing w:after="0" w:line="13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further discussed in “Management’s Discussion and Analysis of Financial Condition and Results of Operations—Critical Accounting Policies and Estimates—Income Taxes” and Note 17 of Notes to Consolidated Financial Statements, the Second Amended and Restated Tax Receivable Agreement, dated as of October 26, 2015 (the “Amended and Restated Tax Receivable Agreement”), between Lazard and LTBP Trust, a Delaware statutory trust (the “Trust”), provides for the payment by our subsidiaries to the Trust of a significant portion of the cash savings, if any, in U.S. federal, state and local income tax or franchise tax that we actually realize as a result of certain tax benefits that are subject to the Amended and Restated Tax Receivable Agreement. Any amount paid by our subsidiaries to the Trust will generally be distributed to the owners of the Trust, including our executive officers, in proportion to their beneficial interests in the Trust. If the IRS successfully challenges the tax benefits described above, under certain circumstances, our subsidiaries may have made or could make payments under the Amended and Restated Tax Receivable Agreement in excess of our subsidiaries’ cash tax savings.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made statements under the captions “Business,” “Risk Factors,” “Management’s Discussion and Analysis of Financial Condition and Results of Operations” and in other sections of this Form 10-K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the numerous risks and uncertainties outlined in “Risk Factors,” including the following:</w:t>
      </w:r>
    </w:p>
    <w:p>
      <w:pPr>
        <w:spacing w:after="0" w:line="39"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M&amp;A activity, our share of the M&amp;A market or our AUM;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These risks and uncertainties are not exhaustive. Other sections of this Form 10-K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1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deploy surplus cash through dividends, share repurchases and debt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levels of compensation expense and non-compensation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LAM and LFG.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10-K.</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December 31, 2015 relating to our periodic or current reports under the Exchange Act.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following table lists the properties used for the entire Lazard organization as of December 31, 2015. As a general matter, one or both of our Financial Advisory and Asset Management segments (as well as our Corporate segment) uses the following properties. Our London and other offices sublease 71,207 and 21,000 square feet, respectively, to third parties. We remain fully liable for the subleased space to the extent that the subtenants fail to perform their obligations under the subleases for any reason.</w:t>
      </w:r>
    </w:p>
    <w:p>
      <w:pPr>
        <w:sectPr>
          <w:pgSz w:w="11900" w:h="16838" w:orient="portrait"/>
          <w:cols w:equalWidth="0" w:num="1">
            <w:col w:w="11400"/>
          </w:cols>
          <w:pgMar w:left="240" w:top="459" w:right="259" w:bottom="1440" w:gutter="0" w:footer="0" w:header="0"/>
        </w:sectPr>
      </w:pP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tcPr>
          <w:p>
            <w:pPr>
              <w:ind w:left="640"/>
              <w:spacing w:after="0"/>
              <w:rPr>
                <w:sz w:val="20"/>
                <w:szCs w:val="20"/>
                <w:color w:val="auto"/>
              </w:rPr>
            </w:pPr>
            <w:r>
              <w:rPr>
                <w:rFonts w:ascii="Arial" w:cs="Arial" w:eastAsia="Arial" w:hAnsi="Arial"/>
                <w:sz w:val="14"/>
                <w:szCs w:val="14"/>
                <w:b w:val="1"/>
                <w:bCs w:val="1"/>
                <w:color w:val="auto"/>
              </w:rPr>
              <w:t>Square Footage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New York City</w:t>
            </w:r>
          </w:p>
        </w:tc>
        <w:tc>
          <w:tcPr>
            <w:tcW w:w="220" w:type="dxa"/>
            <w:vAlign w:val="bottom"/>
          </w:tcPr>
          <w:p>
            <w:pPr>
              <w:spacing w:after="0"/>
              <w:rPr>
                <w:sz w:val="17"/>
                <w:szCs w:val="17"/>
                <w:color w:val="auto"/>
              </w:rPr>
            </w:pPr>
          </w:p>
        </w:tc>
        <w:tc>
          <w:tcPr>
            <w:tcW w:w="2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413,375 square feet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leased space</w:t>
            </w:r>
          </w:p>
        </w:tc>
        <w:tc>
          <w:tcPr>
            <w:tcW w:w="0" w:type="dxa"/>
            <w:vAlign w:val="bottom"/>
          </w:tcPr>
          <w:p>
            <w:pPr>
              <w:spacing w:after="0"/>
              <w:rPr>
                <w:sz w:val="1"/>
                <w:szCs w:val="1"/>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Other North America</w:t>
            </w:r>
          </w:p>
        </w:tc>
        <w:tc>
          <w:tcPr>
            <w:tcW w:w="2180" w:type="dxa"/>
            <w:vAlign w:val="bottom"/>
          </w:tcPr>
          <w:p>
            <w:pPr>
              <w:spacing w:after="0"/>
              <w:rPr>
                <w:sz w:val="20"/>
                <w:szCs w:val="20"/>
                <w:color w:val="auto"/>
              </w:rPr>
            </w:pPr>
            <w:r>
              <w:rPr>
                <w:rFonts w:ascii="Arial" w:cs="Arial" w:eastAsia="Arial" w:hAnsi="Arial"/>
                <w:sz w:val="18"/>
                <w:szCs w:val="18"/>
                <w:color w:val="auto"/>
                <w:w w:val="90"/>
              </w:rPr>
              <w:t>163,601 square feet of 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Paris</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0"/>
              </w:rPr>
              <w:t>151,310 square feet of 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and leased space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London</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0"/>
              </w:rPr>
              <w:t>142,371 square feet of 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w w:val="90"/>
              </w:rPr>
              <w:t>Other Europe</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0"/>
              </w:rPr>
              <w:t>107,709 square feet of leased</w:t>
            </w:r>
          </w:p>
        </w:tc>
        <w:tc>
          <w:tcPr>
            <w:tcW w:w="0" w:type="dxa"/>
            <w:vAlign w:val="bottom"/>
          </w:tcPr>
          <w:p>
            <w:pPr>
              <w:spacing w:after="0"/>
              <w:rPr>
                <w:sz w:val="1"/>
                <w:szCs w:val="1"/>
                <w:color w:val="auto"/>
              </w:rPr>
            </w:pPr>
          </w:p>
        </w:tc>
      </w:tr>
      <w:tr>
        <w:trPr>
          <w:trHeight w:val="222"/>
        </w:trPr>
        <w:tc>
          <w:tcPr>
            <w:tcW w:w="3100" w:type="dxa"/>
            <w:vAlign w:val="bottom"/>
            <w:gridSpan w:val="4"/>
            <w:vMerge w:val="restart"/>
          </w:tcPr>
          <w:p>
            <w:pPr>
              <w:spacing w:after="0"/>
              <w:rPr>
                <w:sz w:val="20"/>
                <w:szCs w:val="20"/>
                <w:color w:val="auto"/>
              </w:rPr>
            </w:pPr>
            <w:r>
              <w:rPr>
                <w:rFonts w:ascii="Arial" w:cs="Arial" w:eastAsia="Arial" w:hAnsi="Arial"/>
                <w:sz w:val="18"/>
                <w:szCs w:val="18"/>
                <w:color w:val="auto"/>
              </w:rPr>
              <w:t>Asia, Australia and</w:t>
            </w: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0" w:type="dxa"/>
            <w:vAlign w:val="bottom"/>
          </w:tcPr>
          <w:p>
            <w:pPr>
              <w:spacing w:after="0"/>
              <w:rPr>
                <w:sz w:val="1"/>
                <w:szCs w:val="1"/>
                <w:color w:val="auto"/>
              </w:rPr>
            </w:pPr>
          </w:p>
        </w:tc>
      </w:tr>
      <w:tr>
        <w:trPr>
          <w:trHeight w:val="210"/>
        </w:trPr>
        <w:tc>
          <w:tcPr>
            <w:tcW w:w="3100" w:type="dxa"/>
            <w:vAlign w:val="bottom"/>
            <w:gridSpan w:val="4"/>
            <w:vMerge w:val="continue"/>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ind w:left="200"/>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vMerge w:val="restart"/>
          </w:tcPr>
          <w:p>
            <w:pPr>
              <w:spacing w:after="0"/>
              <w:rPr>
                <w:sz w:val="20"/>
                <w:szCs w:val="20"/>
                <w:color w:val="auto"/>
              </w:rPr>
            </w:pPr>
            <w:r>
              <w:rPr>
                <w:rFonts w:ascii="Arial" w:cs="Arial" w:eastAsia="Arial" w:hAnsi="Arial"/>
                <w:sz w:val="18"/>
                <w:szCs w:val="18"/>
                <w:color w:val="auto"/>
                <w:w w:val="94"/>
              </w:rPr>
              <w:t>89,826 square feet of leased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0" w:type="dxa"/>
            <w:vAlign w:val="bottom"/>
          </w:tcPr>
          <w:p>
            <w:pPr>
              <w:spacing w:after="0"/>
              <w:rPr>
                <w:sz w:val="1"/>
                <w:szCs w:val="1"/>
                <w:color w:val="auto"/>
              </w:rPr>
            </w:pPr>
          </w:p>
        </w:tc>
      </w:tr>
      <w:tr>
        <w:trPr>
          <w:trHeight w:val="500"/>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2100" w:type="dxa"/>
            <w:vAlign w:val="bottom"/>
            <w:gridSpan w:val="2"/>
          </w:tcPr>
          <w:p>
            <w:pPr>
              <w:ind w:left="40"/>
              <w:spacing w:after="0"/>
              <w:rPr>
                <w:sz w:val="20"/>
                <w:szCs w:val="20"/>
                <w:color w:val="auto"/>
              </w:rPr>
            </w:pPr>
            <w:r>
              <w:rPr>
                <w:rFonts w:ascii="Arial" w:cs="Arial" w:eastAsia="Arial" w:hAnsi="Arial"/>
                <w:sz w:val="18"/>
                <w:szCs w:val="18"/>
                <w:b w:val="1"/>
                <w:bCs w:val="1"/>
                <w:color w:val="auto"/>
              </w:rPr>
              <w:t>Legal Proceedings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7649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Principal office located at 30 Rockefeller Plaza</w:t>
      </w:r>
    </w:p>
    <w:p>
      <w:pPr>
        <w:spacing w:after="0" w:line="333" w:lineRule="exact"/>
        <w:rPr>
          <w:sz w:val="20"/>
          <w:szCs w:val="20"/>
          <w:color w:val="auto"/>
        </w:rPr>
      </w:pPr>
    </w:p>
    <w:p>
      <w:pPr>
        <w:ind w:right="60"/>
        <w:spacing w:after="0" w:line="393" w:lineRule="auto"/>
        <w:rPr>
          <w:sz w:val="20"/>
          <w:szCs w:val="20"/>
          <w:color w:val="auto"/>
        </w:rPr>
      </w:pPr>
      <w:r>
        <w:rPr>
          <w:rFonts w:ascii="Arial" w:cs="Arial" w:eastAsia="Arial" w:hAnsi="Arial"/>
          <w:sz w:val="18"/>
          <w:szCs w:val="18"/>
          <w:color w:val="auto"/>
        </w:rPr>
        <w:t>Boston, Charlotte, Chicago, Houston, Los Angeles, Minneapolis and San Francisco Principal office located at 121 Boulevard Haussmann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Principal office located at 50 Stratton Street</w:t>
      </w:r>
    </w:p>
    <w:p>
      <w:pPr>
        <w:spacing w:after="0" w:line="225" w:lineRule="exact"/>
        <w:rPr>
          <w:sz w:val="20"/>
          <w:szCs w:val="20"/>
          <w:color w:val="auto"/>
        </w:rPr>
      </w:pPr>
    </w:p>
    <w:p>
      <w:pPr>
        <w:ind w:left="200" w:right="540" w:hanging="215"/>
        <w:spacing w:after="0" w:line="268" w:lineRule="auto"/>
        <w:rPr>
          <w:sz w:val="20"/>
          <w:szCs w:val="20"/>
          <w:color w:val="auto"/>
        </w:rPr>
      </w:pPr>
      <w:r>
        <w:rPr>
          <w:rFonts w:ascii="Arial" w:cs="Arial" w:eastAsia="Arial" w:hAnsi="Arial"/>
          <w:sz w:val="18"/>
          <w:szCs w:val="18"/>
          <w:color w:val="auto"/>
        </w:rPr>
        <w:t>Amsterdam, Bordeaux, Brussels, Frankfurt, Hamburg, Lyon, Madrid, Milan, Nantes, Stockholm and Zurich</w:t>
      </w:r>
    </w:p>
    <w:p>
      <w:pPr>
        <w:spacing w:after="0" w:line="321" w:lineRule="exact"/>
        <w:rPr>
          <w:sz w:val="20"/>
          <w:szCs w:val="20"/>
          <w:color w:val="auto"/>
        </w:rPr>
      </w:pPr>
    </w:p>
    <w:p>
      <w:pPr>
        <w:ind w:left="200" w:right="400" w:hanging="215"/>
        <w:spacing w:after="0" w:line="268" w:lineRule="auto"/>
        <w:rPr>
          <w:sz w:val="20"/>
          <w:szCs w:val="20"/>
          <w:color w:val="auto"/>
        </w:rPr>
      </w:pPr>
      <w:r>
        <w:rPr>
          <w:rFonts w:ascii="Arial" w:cs="Arial" w:eastAsia="Arial" w:hAnsi="Arial"/>
          <w:sz w:val="18"/>
          <w:szCs w:val="18"/>
          <w:color w:val="auto"/>
        </w:rPr>
        <w:t>Beijing, Dubai, Hong Kong, Manama, Melbourne, Mumbai, Perth, Riyadh, So Paulo, Seoul, Singapore, Sydney and Tokyo</w:t>
      </w:r>
    </w:p>
    <w:p>
      <w:pPr>
        <w:spacing w:after="0" w:line="564" w:lineRule="exact"/>
        <w:rPr>
          <w:sz w:val="20"/>
          <w:szCs w:val="20"/>
          <w:color w:val="auto"/>
        </w:rPr>
      </w:pPr>
    </w:p>
    <w:p>
      <w:pPr>
        <w:sectPr>
          <w:pgSz w:w="11900" w:h="16838" w:orient="portrait"/>
          <w:cols w:equalWidth="0" w:num="2">
            <w:col w:w="5280" w:space="220"/>
            <w:col w:w="5900"/>
          </w:cols>
          <w:pgMar w:left="240" w:top="459" w:right="259" w:bottom="1440" w:gutter="0" w:footer="0" w:header="0"/>
          <w:type w:val="continuous"/>
        </w:sect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Our Class A common stock is traded on The New York Stock Exchange under the symbol “LAZ.” The following table sets forth, for the fiscal quarters indicated, the high and low sales prices per share of our Class A common stock, as reported in the consolidated transaction reporting system, and the quarterly dividends declared during 2015 and 2014.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Our Common Stock</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Sales Price</w:t>
            </w:r>
          </w:p>
        </w:tc>
        <w:tc>
          <w:tcPr>
            <w:tcW w:w="8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21"/>
        </w:trPr>
        <w:tc>
          <w:tcPr>
            <w:tcW w:w="61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9"/>
              </w:rPr>
              <w:t>per Share of</w:t>
            </w:r>
          </w:p>
        </w:tc>
        <w:tc>
          <w:tcPr>
            <w:tcW w:w="0" w:type="dxa"/>
            <w:vAlign w:val="bottom"/>
          </w:tcPr>
          <w:p>
            <w:pPr>
              <w:spacing w:after="0"/>
              <w:rPr>
                <w:sz w:val="1"/>
                <w:szCs w:val="1"/>
                <w:color w:val="auto"/>
              </w:rPr>
            </w:pPr>
          </w:p>
        </w:tc>
      </w:tr>
      <w:tr>
        <w:trPr>
          <w:trHeight w:val="169"/>
        </w:trPr>
        <w:tc>
          <w:tcPr>
            <w:tcW w:w="6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High</w:t>
            </w:r>
          </w:p>
        </w:tc>
        <w:tc>
          <w:tcPr>
            <w:tcW w:w="7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Low</w:t>
            </w:r>
          </w:p>
        </w:tc>
        <w:tc>
          <w:tcPr>
            <w:tcW w:w="8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Common Stock</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$49.57</w:t>
            </w:r>
          </w:p>
        </w:tc>
        <w:tc>
          <w:tcPr>
            <w:tcW w:w="1280" w:type="dxa"/>
            <w:vAlign w:val="bottom"/>
            <w:gridSpan w:val="2"/>
          </w:tcPr>
          <w:p>
            <w:pPr>
              <w:jc w:val="center"/>
              <w:ind w:left="694"/>
              <w:spacing w:after="0"/>
              <w:rPr>
                <w:sz w:val="20"/>
                <w:szCs w:val="20"/>
                <w:color w:val="auto"/>
              </w:rPr>
            </w:pPr>
            <w:r>
              <w:rPr>
                <w:rFonts w:ascii="Arial" w:cs="Arial" w:eastAsia="Arial" w:hAnsi="Arial"/>
                <w:sz w:val="18"/>
                <w:szCs w:val="18"/>
                <w:color w:val="auto"/>
                <w:w w:val="90"/>
              </w:rPr>
              <w:t>$41.19</w:t>
            </w:r>
          </w:p>
        </w:tc>
        <w:tc>
          <w:tcPr>
            <w:tcW w:w="1680" w:type="dxa"/>
            <w:vAlign w:val="bottom"/>
            <w:gridSpan w:val="2"/>
          </w:tcPr>
          <w:p>
            <w:pPr>
              <w:ind w:left="8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$59.82</w:t>
            </w:r>
          </w:p>
        </w:tc>
        <w:tc>
          <w:tcPr>
            <w:tcW w:w="1280" w:type="dxa"/>
            <w:vAlign w:val="bottom"/>
            <w:gridSpan w:val="2"/>
            <w:shd w:val="clear" w:color="auto" w:fill="CCEEFF"/>
          </w:tcPr>
          <w:p>
            <w:pPr>
              <w:jc w:val="center"/>
              <w:ind w:left="694"/>
              <w:spacing w:after="0"/>
              <w:rPr>
                <w:sz w:val="20"/>
                <w:szCs w:val="20"/>
                <w:color w:val="auto"/>
              </w:rPr>
            </w:pPr>
            <w:r>
              <w:rPr>
                <w:rFonts w:ascii="Arial" w:cs="Arial" w:eastAsia="Arial" w:hAnsi="Arial"/>
                <w:sz w:val="18"/>
                <w:szCs w:val="18"/>
                <w:color w:val="auto"/>
                <w:w w:val="90"/>
              </w:rPr>
              <w:t>$41.26</w:t>
            </w:r>
          </w:p>
        </w:tc>
        <w:tc>
          <w:tcPr>
            <w:tcW w:w="16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$58.85</w:t>
            </w:r>
          </w:p>
        </w:tc>
        <w:tc>
          <w:tcPr>
            <w:tcW w:w="1280" w:type="dxa"/>
            <w:vAlign w:val="bottom"/>
            <w:gridSpan w:val="2"/>
          </w:tcPr>
          <w:p>
            <w:pPr>
              <w:jc w:val="center"/>
              <w:ind w:left="694"/>
              <w:spacing w:after="0"/>
              <w:rPr>
                <w:sz w:val="20"/>
                <w:szCs w:val="20"/>
                <w:color w:val="auto"/>
              </w:rPr>
            </w:pPr>
            <w:r>
              <w:rPr>
                <w:rFonts w:ascii="Arial" w:cs="Arial" w:eastAsia="Arial" w:hAnsi="Arial"/>
                <w:sz w:val="18"/>
                <w:szCs w:val="18"/>
                <w:color w:val="auto"/>
                <w:w w:val="90"/>
              </w:rPr>
              <w:t>$52.19</w:t>
            </w:r>
          </w:p>
        </w:tc>
        <w:tc>
          <w:tcPr>
            <w:tcW w:w="1680" w:type="dxa"/>
            <w:vAlign w:val="bottom"/>
            <w:gridSpan w:val="2"/>
          </w:tcPr>
          <w:p>
            <w:pPr>
              <w:ind w:left="8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$53.45</w:t>
            </w:r>
          </w:p>
        </w:tc>
        <w:tc>
          <w:tcPr>
            <w:tcW w:w="1280" w:type="dxa"/>
            <w:vAlign w:val="bottom"/>
            <w:gridSpan w:val="2"/>
            <w:shd w:val="clear" w:color="auto" w:fill="CCEEFF"/>
          </w:tcPr>
          <w:p>
            <w:pPr>
              <w:jc w:val="center"/>
              <w:ind w:left="694"/>
              <w:spacing w:after="0"/>
              <w:rPr>
                <w:sz w:val="20"/>
                <w:szCs w:val="20"/>
                <w:color w:val="auto"/>
              </w:rPr>
            </w:pPr>
            <w:r>
              <w:rPr>
                <w:rFonts w:ascii="Arial" w:cs="Arial" w:eastAsia="Arial" w:hAnsi="Arial"/>
                <w:sz w:val="18"/>
                <w:szCs w:val="18"/>
                <w:color w:val="auto"/>
                <w:w w:val="90"/>
              </w:rPr>
              <w:t>$43.12</w:t>
            </w:r>
          </w:p>
        </w:tc>
        <w:tc>
          <w:tcPr>
            <w:tcW w:w="16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330"/>
        </w:trPr>
        <w:tc>
          <w:tcPr>
            <w:tcW w:w="612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$52.66</w:t>
            </w:r>
          </w:p>
        </w:tc>
        <w:tc>
          <w:tcPr>
            <w:tcW w:w="1280" w:type="dxa"/>
            <w:vAlign w:val="bottom"/>
            <w:gridSpan w:val="2"/>
            <w:shd w:val="clear" w:color="auto" w:fill="CCEEFF"/>
          </w:tcPr>
          <w:p>
            <w:pPr>
              <w:jc w:val="center"/>
              <w:ind w:left="694"/>
              <w:spacing w:after="0"/>
              <w:rPr>
                <w:sz w:val="20"/>
                <w:szCs w:val="20"/>
                <w:color w:val="auto"/>
              </w:rPr>
            </w:pPr>
            <w:r>
              <w:rPr>
                <w:rFonts w:ascii="Arial" w:cs="Arial" w:eastAsia="Arial" w:hAnsi="Arial"/>
                <w:sz w:val="18"/>
                <w:szCs w:val="18"/>
                <w:color w:val="auto"/>
                <w:w w:val="90"/>
              </w:rPr>
              <w:t>$43.96</w:t>
            </w:r>
          </w:p>
        </w:tc>
        <w:tc>
          <w:tcPr>
            <w:tcW w:w="16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$55.50</w:t>
            </w:r>
          </w:p>
        </w:tc>
        <w:tc>
          <w:tcPr>
            <w:tcW w:w="1280" w:type="dxa"/>
            <w:vAlign w:val="bottom"/>
            <w:gridSpan w:val="2"/>
          </w:tcPr>
          <w:p>
            <w:pPr>
              <w:jc w:val="center"/>
              <w:ind w:left="694"/>
              <w:spacing w:after="0"/>
              <w:rPr>
                <w:sz w:val="20"/>
                <w:szCs w:val="20"/>
                <w:color w:val="auto"/>
              </w:rPr>
            </w:pPr>
            <w:r>
              <w:rPr>
                <w:rFonts w:ascii="Arial" w:cs="Arial" w:eastAsia="Arial" w:hAnsi="Arial"/>
                <w:sz w:val="18"/>
                <w:szCs w:val="18"/>
                <w:color w:val="auto"/>
                <w:w w:val="90"/>
              </w:rPr>
              <w:t>$49.20</w:t>
            </w:r>
          </w:p>
        </w:tc>
        <w:tc>
          <w:tcPr>
            <w:tcW w:w="1680" w:type="dxa"/>
            <w:vAlign w:val="bottom"/>
            <w:gridSpan w:val="2"/>
          </w:tcPr>
          <w:p>
            <w:pPr>
              <w:ind w:left="8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$53.18</w:t>
            </w:r>
          </w:p>
        </w:tc>
        <w:tc>
          <w:tcPr>
            <w:tcW w:w="1280" w:type="dxa"/>
            <w:vAlign w:val="bottom"/>
            <w:gridSpan w:val="2"/>
            <w:shd w:val="clear" w:color="auto" w:fill="CCEEFF"/>
          </w:tcPr>
          <w:p>
            <w:pPr>
              <w:jc w:val="center"/>
              <w:ind w:left="694"/>
              <w:spacing w:after="0"/>
              <w:rPr>
                <w:sz w:val="20"/>
                <w:szCs w:val="20"/>
                <w:color w:val="auto"/>
              </w:rPr>
            </w:pPr>
            <w:r>
              <w:rPr>
                <w:rFonts w:ascii="Arial" w:cs="Arial" w:eastAsia="Arial" w:hAnsi="Arial"/>
                <w:sz w:val="18"/>
                <w:szCs w:val="18"/>
                <w:color w:val="auto"/>
                <w:w w:val="90"/>
              </w:rPr>
              <w:t>$43.27</w:t>
            </w:r>
          </w:p>
        </w:tc>
        <w:tc>
          <w:tcPr>
            <w:tcW w:w="16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$48.70</w:t>
            </w:r>
          </w:p>
        </w:tc>
        <w:tc>
          <w:tcPr>
            <w:tcW w:w="1280" w:type="dxa"/>
            <w:vAlign w:val="bottom"/>
            <w:gridSpan w:val="2"/>
          </w:tcPr>
          <w:p>
            <w:pPr>
              <w:jc w:val="center"/>
              <w:ind w:left="694"/>
              <w:spacing w:after="0"/>
              <w:rPr>
                <w:sz w:val="20"/>
                <w:szCs w:val="20"/>
                <w:color w:val="auto"/>
              </w:rPr>
            </w:pPr>
            <w:r>
              <w:rPr>
                <w:rFonts w:ascii="Arial" w:cs="Arial" w:eastAsia="Arial" w:hAnsi="Arial"/>
                <w:sz w:val="18"/>
                <w:szCs w:val="18"/>
                <w:color w:val="auto"/>
                <w:w w:val="90"/>
              </w:rPr>
              <w:t>$40.70</w:t>
            </w:r>
          </w:p>
        </w:tc>
        <w:tc>
          <w:tcPr>
            <w:tcW w:w="1680" w:type="dxa"/>
            <w:vAlign w:val="bottom"/>
            <w:gridSpan w:val="2"/>
          </w:tcPr>
          <w:p>
            <w:pPr>
              <w:ind w:left="8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of February 5, 2016, there were approximately 35 holders of record of our Class A common stock. This does not include the number of shareholders that hold shares in “street-name” through banks or broker-dealers.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5, 2016, the last reported sales price for our Class A common stock on the New York Stock Exchange was $32.91 per share.</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February 1, 2016, the Board of Directors of Lazard declared a special dividend of $1.20 per share, as well as a quarterly dividend of $0.35 per share, on our Class A common stock, payable on February 26, 2016, to stockholders of record on February 11,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in the Fourth Quarter of 2015</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fourth quarter of 2015.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Total Number</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Shares</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Average</w:t>
            </w: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Total</w:t>
            </w:r>
          </w:p>
        </w:tc>
        <w:tc>
          <w:tcPr>
            <w:tcW w:w="26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Price</w:t>
            </w: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Paid</w:t>
            </w: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Announced</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9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of Shares</w:t>
            </w:r>
          </w:p>
        </w:tc>
        <w:tc>
          <w:tcPr>
            <w:tcW w:w="26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per</w:t>
            </w: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Plans or</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Under the Plans or</w:t>
            </w:r>
          </w:p>
        </w:tc>
        <w:tc>
          <w:tcPr>
            <w:tcW w:w="0" w:type="dxa"/>
            <w:vAlign w:val="bottom"/>
          </w:tcPr>
          <w:p>
            <w:pPr>
              <w:spacing w:after="0"/>
              <w:rPr>
                <w:sz w:val="1"/>
                <w:szCs w:val="1"/>
                <w:color w:val="auto"/>
              </w:rPr>
            </w:pPr>
          </w:p>
        </w:tc>
      </w:tr>
      <w:tr>
        <w:trPr>
          <w:trHeight w:val="148"/>
        </w:trPr>
        <w:tc>
          <w:tcPr>
            <w:tcW w:w="3840" w:type="dxa"/>
            <w:vAlign w:val="bottom"/>
            <w:gridSpan w:val="3"/>
            <w:vMerge w:val="continue"/>
          </w:tcPr>
          <w:p>
            <w:pPr>
              <w:spacing w:after="0"/>
              <w:rPr>
                <w:sz w:val="12"/>
                <w:szCs w:val="12"/>
                <w:color w:val="auto"/>
              </w:rPr>
            </w:pPr>
          </w:p>
        </w:tc>
        <w:tc>
          <w:tcPr>
            <w:tcW w:w="1920" w:type="dxa"/>
            <w:vAlign w:val="bottom"/>
          </w:tcPr>
          <w:p>
            <w:pPr>
              <w:spacing w:after="0"/>
              <w:rPr>
                <w:sz w:val="12"/>
                <w:szCs w:val="12"/>
                <w:color w:val="auto"/>
              </w:rPr>
            </w:pPr>
          </w:p>
        </w:tc>
        <w:tc>
          <w:tcPr>
            <w:tcW w:w="88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3"/>
              </w:rPr>
              <w:t>Purchased</w:t>
            </w:r>
          </w:p>
        </w:tc>
        <w:tc>
          <w:tcPr>
            <w:tcW w:w="260" w:type="dxa"/>
            <w:vAlign w:val="bottom"/>
          </w:tcPr>
          <w:p>
            <w:pPr>
              <w:spacing w:after="0"/>
              <w:rPr>
                <w:sz w:val="12"/>
                <w:szCs w:val="12"/>
                <w:color w:val="auto"/>
              </w:rPr>
            </w:pPr>
          </w:p>
        </w:tc>
        <w:tc>
          <w:tcPr>
            <w:tcW w:w="100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7"/>
              </w:rPr>
              <w:t>Share</w:t>
            </w:r>
          </w:p>
        </w:tc>
        <w:tc>
          <w:tcPr>
            <w:tcW w:w="142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8"/>
              </w:rPr>
              <w:t>Programs</w:t>
            </w:r>
          </w:p>
        </w:tc>
        <w:tc>
          <w:tcPr>
            <w:tcW w:w="11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8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October 1 – October 31, 2015</w:t>
            </w:r>
          </w:p>
        </w:tc>
        <w:tc>
          <w:tcPr>
            <w:tcW w:w="1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2800" w:type="dxa"/>
            <w:vAlign w:val="bottom"/>
            <w:gridSpan w:val="3"/>
          </w:tcPr>
          <w:p>
            <w:pPr>
              <w:jc w:val="right"/>
              <w:ind w:right="240"/>
              <w:spacing w:after="0"/>
              <w:rPr>
                <w:sz w:val="20"/>
                <w:szCs w:val="20"/>
                <w:color w:val="auto"/>
              </w:rPr>
            </w:pPr>
            <w:r>
              <w:rPr>
                <w:rFonts w:ascii="Arial" w:cs="Arial" w:eastAsia="Arial" w:hAnsi="Arial"/>
                <w:sz w:val="18"/>
                <w:szCs w:val="18"/>
                <w:color w:val="auto"/>
              </w:rPr>
              <w:t>16,553</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$42.93</w:t>
            </w:r>
          </w:p>
        </w:tc>
        <w:tc>
          <w:tcPr>
            <w:tcW w:w="920" w:type="dxa"/>
            <w:vAlign w:val="bottom"/>
          </w:tcPr>
          <w:p>
            <w:pPr>
              <w:jc w:val="right"/>
              <w:spacing w:after="0"/>
              <w:rPr>
                <w:sz w:val="20"/>
                <w:szCs w:val="20"/>
                <w:color w:val="auto"/>
              </w:rPr>
            </w:pPr>
            <w:r>
              <w:rPr>
                <w:rFonts w:ascii="Arial" w:cs="Arial" w:eastAsia="Arial" w:hAnsi="Arial"/>
                <w:sz w:val="18"/>
                <w:szCs w:val="18"/>
                <w:color w:val="auto"/>
              </w:rPr>
              <w:t>16,553</w:t>
            </w:r>
          </w:p>
        </w:tc>
        <w:tc>
          <w:tcPr>
            <w:tcW w:w="5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$ 118.8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2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13,210</w:t>
            </w: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$53.20</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November 1 – November 30, 2015</w:t>
            </w:r>
          </w:p>
        </w:tc>
        <w:tc>
          <w:tcPr>
            <w:tcW w:w="1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2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80,710</w:t>
            </w: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$44.71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80,710</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$ 115.1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2800" w:type="dxa"/>
            <w:vAlign w:val="bottom"/>
            <w:gridSpan w:val="3"/>
          </w:tcPr>
          <w:p>
            <w:pPr>
              <w:jc w:val="right"/>
              <w:ind w:right="240"/>
              <w:spacing w:after="0"/>
              <w:rPr>
                <w:sz w:val="20"/>
                <w:szCs w:val="20"/>
                <w:color w:val="auto"/>
              </w:rPr>
            </w:pPr>
            <w:r>
              <w:rPr>
                <w:rFonts w:ascii="Arial" w:cs="Arial" w:eastAsia="Arial" w:hAnsi="Arial"/>
                <w:sz w:val="18"/>
                <w:szCs w:val="18"/>
                <w:color w:val="auto"/>
              </w:rPr>
              <w:t>297,571</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$46.29</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1 – December 31, 2015</w:t>
            </w:r>
          </w:p>
        </w:tc>
        <w:tc>
          <w:tcPr>
            <w:tcW w:w="1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2800" w:type="dxa"/>
            <w:vAlign w:val="bottom"/>
            <w:gridSpan w:val="3"/>
          </w:tcPr>
          <w:p>
            <w:pPr>
              <w:jc w:val="right"/>
              <w:ind w:right="240"/>
              <w:spacing w:after="0"/>
              <w:rPr>
                <w:sz w:val="20"/>
                <w:szCs w:val="20"/>
                <w:color w:val="auto"/>
              </w:rPr>
            </w:pPr>
            <w:r>
              <w:rPr>
                <w:rFonts w:ascii="Arial" w:cs="Arial" w:eastAsia="Arial" w:hAnsi="Arial"/>
                <w:sz w:val="18"/>
                <w:szCs w:val="18"/>
                <w:color w:val="auto"/>
              </w:rPr>
              <w:t>200,000</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$44.90</w:t>
            </w:r>
          </w:p>
        </w:tc>
        <w:tc>
          <w:tcPr>
            <w:tcW w:w="920" w:type="dxa"/>
            <w:vAlign w:val="bottom"/>
          </w:tcPr>
          <w:p>
            <w:pPr>
              <w:jc w:val="right"/>
              <w:spacing w:after="0"/>
              <w:rPr>
                <w:sz w:val="20"/>
                <w:szCs w:val="20"/>
                <w:color w:val="auto"/>
              </w:rPr>
            </w:pPr>
            <w:r>
              <w:rPr>
                <w:rFonts w:ascii="Arial" w:cs="Arial" w:eastAsia="Arial" w:hAnsi="Arial"/>
                <w:sz w:val="18"/>
                <w:szCs w:val="18"/>
                <w:color w:val="auto"/>
              </w:rPr>
              <w:t>200,000</w:t>
            </w:r>
          </w:p>
        </w:tc>
        <w:tc>
          <w:tcPr>
            <w:tcW w:w="5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$ 106.2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2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12,246</w:t>
            </w: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$51.61</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2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297,263</w:t>
            </w: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$44.74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297,263</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$ 106.2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2800" w:type="dxa"/>
            <w:vAlign w:val="bottom"/>
            <w:gridSpan w:val="3"/>
          </w:tcPr>
          <w:p>
            <w:pPr>
              <w:jc w:val="right"/>
              <w:ind w:right="240"/>
              <w:spacing w:after="0"/>
              <w:rPr>
                <w:sz w:val="20"/>
                <w:szCs w:val="20"/>
                <w:color w:val="auto"/>
              </w:rPr>
            </w:pPr>
            <w:r>
              <w:rPr>
                <w:rFonts w:ascii="Arial" w:cs="Arial" w:eastAsia="Arial" w:hAnsi="Arial"/>
                <w:sz w:val="18"/>
                <w:szCs w:val="18"/>
                <w:color w:val="auto"/>
              </w:rPr>
              <w:t>323,027</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$46.78</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20" w:type="dxa"/>
            <w:vAlign w:val="bottom"/>
          </w:tcPr>
          <w:p>
            <w:pPr>
              <w:jc w:val="right"/>
              <w:ind w:right="332"/>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years ended December 31, 2015, 2014, and 2013, the Board of Directors of Lazard authorized the repurchase of Class A common stock as set forth in the table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920" w:type="dxa"/>
            <w:vAlign w:val="bottom"/>
            <w:vMerge w:val="restart"/>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gridSpan w:val="3"/>
          </w:tcPr>
          <w:p>
            <w:pPr>
              <w:jc w:val="center"/>
              <w:ind w:right="620"/>
              <w:spacing w:after="0" w:line="148" w:lineRule="exact"/>
              <w:rPr>
                <w:sz w:val="20"/>
                <w:szCs w:val="20"/>
                <w:color w:val="auto"/>
              </w:rPr>
            </w:pPr>
            <w:r>
              <w:rPr>
                <w:rFonts w:ascii="Arial" w:cs="Arial" w:eastAsia="Arial" w:hAnsi="Arial"/>
                <w:sz w:val="14"/>
                <w:szCs w:val="14"/>
                <w:b w:val="1"/>
                <w:bCs w:val="1"/>
                <w:color w:val="auto"/>
                <w:w w:val="88"/>
              </w:rPr>
              <w:t>Authorization</w:t>
            </w:r>
          </w:p>
        </w:tc>
        <w:tc>
          <w:tcPr>
            <w:tcW w:w="1780" w:type="dxa"/>
            <w:vAlign w:val="bottom"/>
            <w:gridSpan w:val="2"/>
          </w:tcPr>
          <w:p>
            <w:pPr>
              <w:ind w:left="52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2013</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April, 2014</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2015</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 addition, on January 27, 2016, the Board of Directors of Lazard authorized the repurchase of up to $200 million of additional shares of Class A common stock, which authorization will expire on December 31, 2017.</w:t>
      </w:r>
    </w:p>
    <w:p>
      <w:pPr>
        <w:spacing w:after="0" w:line="51" w:lineRule="exact"/>
        <w:rPr>
          <w:sz w:val="20"/>
          <w:szCs w:val="20"/>
          <w:color w:val="auto"/>
        </w:rPr>
      </w:pPr>
    </w:p>
    <w:p>
      <w:pPr>
        <w:ind w:left="460" w:right="100"/>
        <w:spacing w:after="0" w:line="283" w:lineRule="auto"/>
        <w:rPr>
          <w:sz w:val="20"/>
          <w:szCs w:val="20"/>
          <w:color w:val="auto"/>
        </w:rPr>
      </w:pPr>
      <w:r>
        <w:rPr>
          <w:rFonts w:ascii="Arial" w:cs="Arial" w:eastAsia="Arial" w:hAnsi="Arial"/>
          <w:sz w:val="16"/>
          <w:szCs w:val="16"/>
          <w:color w:val="auto"/>
        </w:rPr>
        <w:t>The share repurchase program is used primarily to offset a portion of the shares that have been or will be issued under the 2008 Plan and the 2005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2" w:lineRule="exact"/>
        <w:rPr>
          <w:sz w:val="20"/>
          <w:szCs w:val="20"/>
          <w:color w:val="auto"/>
        </w:rPr>
      </w:pPr>
    </w:p>
    <w:p>
      <w:pPr>
        <w:ind w:left="460" w:right="100" w:hanging="452"/>
        <w:spacing w:after="0" w:line="253"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the terms of the 2008 Plan and the 2005 Plan, which expired in the second quarter of 2015, upon the vesting of RSUs, PRSUs and delivery of restricted Class A common stock, shares of Class A common stock may be withheld by the Company to meet the minimum statutory tax withholding requirements. During the three month period ended December 31, 2015, the Company satisfied such obligations in lieu of issuing (i) 308,939 shares of Class A common stock upon the vesting of 596,426 RSUs and (ii) 14,088 shares of Class A common stock upon the vesting of 34,608 shares of restricted Class A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Matters—Equity Compensation Plan Information.”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stock performance graph below compares the performance of an investment in our Class A common stock, from December 31, 2010 through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with that of the S&amp;P 500 Index and the S&amp;P Financial Index. The graph assumes $100 was invested at the close of business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2010 in each of our Class A common stock, the S&amp;P 500 Index and the S&amp;P Financial Index. It also assumes that dividends were reinvested on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date of payment without payment of any commissions. The performance shown in the graph represents past performance and should not be considered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135890</wp:posOffset>
            </wp:positionV>
            <wp:extent cx="5205730" cy="20923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0573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selected consolidated financial data for the Company for all years presented.</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statements of financial condition and operations data as of and for each of the years in the five-year period ended December 31, 2015 have been derived from Lazard Ltd’s consolidated financial statements. The audited consolidated statements of financial condition as of December 31, 2015 and 2014 and audited consolidated statements of operations for each of the years in the three year period ended December 31, 2015 are included in this Form 10-K. The audited consolidated statements of financial condition as of December 31, 2013, 2012 and 2011, and the audited consolidated statements of operations for the years ended December 31, 2012 and 2011, are not included in this Form 10-K. Historical results are not necessarily indicative of results for any future period.</w:t>
      </w:r>
    </w:p>
    <w:p>
      <w:pPr>
        <w:spacing w:after="0" w:line="1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10"/>
          </w:tcPr>
          <w:p>
            <w:pPr>
              <w:jc w:val="center"/>
              <w:ind w:right="520"/>
              <w:spacing w:after="0"/>
              <w:rPr>
                <w:sz w:val="20"/>
                <w:szCs w:val="20"/>
                <w:color w:val="auto"/>
              </w:rPr>
            </w:pPr>
            <w:r>
              <w:rPr>
                <w:rFonts w:ascii="Arial" w:cs="Arial" w:eastAsia="Arial" w:hAnsi="Arial"/>
                <w:sz w:val="14"/>
                <w:szCs w:val="14"/>
                <w:b w:val="1"/>
                <w:bCs w:val="1"/>
                <w:color w:val="auto"/>
                <w:w w:val="88"/>
              </w:rPr>
              <w:t>As Of Or For The Year Ended December 31,</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0" w:type="dxa"/>
            <w:vAlign w:val="bottom"/>
            <w:gridSpan w:val="11"/>
          </w:tcPr>
          <w:p>
            <w:pPr>
              <w:jc w:val="center"/>
              <w:ind w:right="400"/>
              <w:spacing w:after="0" w:line="155" w:lineRule="exact"/>
              <w:rPr>
                <w:sz w:val="20"/>
                <w:szCs w:val="20"/>
                <w:color w:val="auto"/>
              </w:rPr>
            </w:pPr>
            <w:r>
              <w:rPr>
                <w:rFonts w:ascii="Arial" w:cs="Arial" w:eastAsia="Arial" w:hAnsi="Arial"/>
                <w:sz w:val="14"/>
                <w:szCs w:val="14"/>
                <w:b w:val="1"/>
                <w:bCs w:val="1"/>
                <w:color w:val="auto"/>
                <w:w w:val="85"/>
              </w:rPr>
              <w:t>(dollars in thousands, except for per share amounts)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Net Revenue:</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Advisory (a)</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1,279,628</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1,206,734</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980,577</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1,049,090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992,107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Asset Management (b)</w:t>
            </w: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1,111,105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1,134,595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1,039,130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896,260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897,401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Corporate (c)</w:t>
            </w:r>
          </w:p>
        </w:tc>
        <w:tc>
          <w:tcPr>
            <w:tcW w:w="1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(37,125)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(40,882)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(34,355)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(32,902)</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(59,996)</w:t>
            </w:r>
          </w:p>
        </w:tc>
        <w:tc>
          <w:tcPr>
            <w:tcW w:w="0" w:type="dxa"/>
            <w:vAlign w:val="bottom"/>
          </w:tcPr>
          <w:p>
            <w:pPr>
              <w:spacing w:after="0"/>
              <w:rPr>
                <w:sz w:val="1"/>
                <w:szCs w:val="1"/>
                <w:color w:val="auto"/>
              </w:rPr>
            </w:pPr>
          </w:p>
        </w:tc>
      </w:tr>
      <w:tr>
        <w:trPr>
          <w:trHeight w:val="163"/>
        </w:trPr>
        <w:tc>
          <w:tcPr>
            <w:tcW w:w="6060" w:type="dxa"/>
            <w:vAlign w:val="bottom"/>
            <w:gridSpan w:val="3"/>
          </w:tcPr>
          <w:p>
            <w:pPr>
              <w:spacing w:after="0" w:line="155" w:lineRule="exact"/>
              <w:rPr>
                <w:sz w:val="20"/>
                <w:szCs w:val="20"/>
                <w:color w:val="auto"/>
              </w:rPr>
            </w:pPr>
            <w:r>
              <w:rPr>
                <w:rFonts w:ascii="Arial" w:cs="Arial" w:eastAsia="Arial" w:hAnsi="Arial"/>
                <w:sz w:val="14"/>
                <w:szCs w:val="14"/>
                <w:color w:val="auto"/>
              </w:rPr>
              <w:t>Net Revenue</w:t>
            </w: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2,353,608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2,300,447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1,985,352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1,912,448</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1,829,512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Compensation and Benefits (d)</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1,319,746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1,313,606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1,278,534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1,351,129</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1,168,945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Other Operating Expenses (e)</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1,050,482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467,376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490,011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437,434</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425,068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2,370,228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1,780,982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1,768,545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1,788,563</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1,594,013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60" w:type="dxa"/>
            <w:vAlign w:val="bottom"/>
            <w:gridSpan w:val="3"/>
          </w:tcPr>
          <w:p>
            <w:pPr>
              <w:spacing w:after="0" w:line="155" w:lineRule="exact"/>
              <w:rPr>
                <w:sz w:val="20"/>
                <w:szCs w:val="20"/>
                <w:color w:val="auto"/>
              </w:rPr>
            </w:pPr>
            <w:r>
              <w:rPr>
                <w:rFonts w:ascii="Arial" w:cs="Arial" w:eastAsia="Arial" w:hAnsi="Arial"/>
                <w:sz w:val="14"/>
                <w:szCs w:val="14"/>
                <w:color w:val="auto"/>
              </w:rPr>
              <w:t>Operating Income (Loss)</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820" w:type="dxa"/>
            <w:vAlign w:val="bottom"/>
            <w:gridSpan w:val="3"/>
          </w:tcPr>
          <w:p>
            <w:pPr>
              <w:jc w:val="right"/>
              <w:ind w:right="180"/>
              <w:spacing w:after="0" w:line="155" w:lineRule="exact"/>
              <w:rPr>
                <w:sz w:val="20"/>
                <w:szCs w:val="20"/>
                <w:color w:val="auto"/>
              </w:rPr>
            </w:pPr>
            <w:r>
              <w:rPr>
                <w:rFonts w:ascii="Arial" w:cs="Arial" w:eastAsia="Arial" w:hAnsi="Arial"/>
                <w:sz w:val="14"/>
                <w:szCs w:val="14"/>
                <w:color w:val="auto"/>
              </w:rPr>
              <w:t>(16,620)</w:t>
            </w:r>
          </w:p>
        </w:tc>
        <w:tc>
          <w:tcPr>
            <w:tcW w:w="300" w:type="dxa"/>
            <w:vAlign w:val="bottom"/>
            <w:gridSpan w:val="2"/>
          </w:tcPr>
          <w:p>
            <w:pPr>
              <w:jc w:val="right"/>
              <w:ind w:right="4"/>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519,465</w:t>
            </w:r>
          </w:p>
        </w:tc>
        <w:tc>
          <w:tcPr>
            <w:tcW w:w="220" w:type="dxa"/>
            <w:vAlign w:val="bottom"/>
          </w:tcPr>
          <w:p>
            <w:pPr>
              <w:spacing w:after="0"/>
              <w:rPr>
                <w:sz w:val="13"/>
                <w:szCs w:val="13"/>
                <w:color w:val="auto"/>
              </w:rPr>
            </w:pP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216,807</w:t>
            </w:r>
          </w:p>
        </w:tc>
        <w:tc>
          <w:tcPr>
            <w:tcW w:w="200" w:type="dxa"/>
            <w:vAlign w:val="bottom"/>
          </w:tcPr>
          <w:p>
            <w:pPr>
              <w:spacing w:after="0"/>
              <w:rPr>
                <w:sz w:val="13"/>
                <w:szCs w:val="13"/>
                <w:color w:val="auto"/>
              </w:rPr>
            </w:pPr>
          </w:p>
        </w:tc>
        <w:tc>
          <w:tcPr>
            <w:tcW w:w="320" w:type="dxa"/>
            <w:vAlign w:val="bottom"/>
            <w:gridSpan w:val="2"/>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123,885</w:t>
            </w:r>
          </w:p>
        </w:tc>
        <w:tc>
          <w:tcPr>
            <w:tcW w:w="400" w:type="dxa"/>
            <w:vAlign w:val="bottom"/>
          </w:tcPr>
          <w:p>
            <w:pPr>
              <w:spacing w:after="0"/>
              <w:rPr>
                <w:sz w:val="13"/>
                <w:szCs w:val="13"/>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235,499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992,932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434,063</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165,114</w:t>
            </w:r>
          </w:p>
        </w:tc>
        <w:tc>
          <w:tcPr>
            <w:tcW w:w="320" w:type="dxa"/>
            <w:vAlign w:val="bottom"/>
            <w:gridSpan w:val="2"/>
            <w:shd w:val="clear" w:color="auto" w:fill="CCEEFF"/>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92,785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190,559</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4"/>
                <w:szCs w:val="14"/>
                <w:color w:val="auto"/>
              </w:rPr>
              <w:t>Net Income Attributable to Lazard Ltd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gridSpan w:val="3"/>
            <w:vMerge w:val="continue"/>
          </w:tcPr>
          <w:p>
            <w:pPr>
              <w:spacing w:after="0"/>
              <w:rPr>
                <w:sz w:val="12"/>
                <w:szCs w:val="12"/>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986,373</w:t>
            </w:r>
          </w:p>
        </w:tc>
        <w:tc>
          <w:tcPr>
            <w:tcW w:w="200" w:type="dxa"/>
            <w:vAlign w:val="bottom"/>
          </w:tcPr>
          <w:p>
            <w:pPr>
              <w:spacing w:after="0"/>
              <w:rPr>
                <w:sz w:val="12"/>
                <w:szCs w:val="12"/>
                <w:color w:val="auto"/>
              </w:rPr>
            </w:pPr>
          </w:p>
        </w:tc>
        <w:tc>
          <w:tcPr>
            <w:tcW w:w="300" w:type="dxa"/>
            <w:vAlign w:val="bottom"/>
            <w:gridSpan w:val="2"/>
          </w:tcPr>
          <w:p>
            <w:pPr>
              <w:jc w:val="right"/>
              <w:ind w:right="4"/>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427,277</w:t>
            </w:r>
          </w:p>
        </w:tc>
        <w:tc>
          <w:tcPr>
            <w:tcW w:w="220" w:type="dxa"/>
            <w:vAlign w:val="bottom"/>
          </w:tcPr>
          <w:p>
            <w:pPr>
              <w:spacing w:after="0"/>
              <w:rPr>
                <w:sz w:val="12"/>
                <w:szCs w:val="12"/>
                <w:color w:val="auto"/>
              </w:rPr>
            </w:pP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160,212</w:t>
            </w:r>
          </w:p>
        </w:tc>
        <w:tc>
          <w:tcPr>
            <w:tcW w:w="200" w:type="dxa"/>
            <w:vAlign w:val="bottom"/>
          </w:tcPr>
          <w:p>
            <w:pPr>
              <w:spacing w:after="0"/>
              <w:rPr>
                <w:sz w:val="12"/>
                <w:szCs w:val="12"/>
                <w:color w:val="auto"/>
              </w:rPr>
            </w:pPr>
          </w:p>
        </w:tc>
        <w:tc>
          <w:tcPr>
            <w:tcW w:w="320" w:type="dxa"/>
            <w:vAlign w:val="bottom"/>
            <w:gridSpan w:val="2"/>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84,309</w:t>
            </w:r>
          </w:p>
        </w:tc>
        <w:tc>
          <w:tcPr>
            <w:tcW w:w="400" w:type="dxa"/>
            <w:vAlign w:val="bottom"/>
          </w:tcPr>
          <w:p>
            <w:pPr>
              <w:spacing w:after="0"/>
              <w:rPr>
                <w:sz w:val="12"/>
                <w:szCs w:val="12"/>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174,917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Net Income Per Share of Class A Common Stock:</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Basic</w:t>
            </w: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$0.72</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2"/>
          </w:tcPr>
          <w:p>
            <w:pPr>
              <w:spacing w:after="0"/>
              <w:rPr>
                <w:sz w:val="20"/>
                <w:szCs w:val="20"/>
                <w:color w:val="auto"/>
              </w:rPr>
            </w:pPr>
            <w:r>
              <w:rPr>
                <w:rFonts w:ascii="Arial" w:cs="Arial" w:eastAsia="Arial" w:hAnsi="Arial"/>
                <w:sz w:val="14"/>
                <w:szCs w:val="14"/>
                <w:color w:val="auto"/>
              </w:rPr>
              <w:t>Dividends Declared Per Share of Class A Common Stock</w:t>
            </w:r>
          </w:p>
        </w:tc>
        <w:tc>
          <w:tcPr>
            <w:tcW w:w="14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$2.35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$1.16</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$0.605</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560" w:type="dxa"/>
            <w:vAlign w:val="bottom"/>
          </w:tcPr>
          <w:p>
            <w:pPr>
              <w:spacing w:after="0"/>
              <w:rPr>
                <w:sz w:val="3"/>
                <w:szCs w:val="3"/>
                <w:color w:val="auto"/>
              </w:rPr>
            </w:pPr>
          </w:p>
        </w:tc>
        <w:tc>
          <w:tcPr>
            <w:tcW w:w="5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Financial Condition Data</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4,486,766</w:t>
            </w:r>
          </w:p>
        </w:tc>
        <w:tc>
          <w:tcPr>
            <w:tcW w:w="200" w:type="dxa"/>
            <w:vAlign w:val="bottom"/>
          </w:tcPr>
          <w:p>
            <w:pPr>
              <w:spacing w:after="0"/>
              <w:rPr>
                <w:sz w:val="12"/>
                <w:szCs w:val="12"/>
                <w:color w:val="auto"/>
              </w:rPr>
            </w:pPr>
          </w:p>
        </w:tc>
        <w:tc>
          <w:tcPr>
            <w:tcW w:w="30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3,332,236</w:t>
            </w:r>
          </w:p>
        </w:tc>
        <w:tc>
          <w:tcPr>
            <w:tcW w:w="22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3,011,137</w:t>
            </w: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2,986,893</w:t>
            </w:r>
          </w:p>
        </w:tc>
        <w:tc>
          <w:tcPr>
            <w:tcW w:w="400" w:type="dxa"/>
            <w:vAlign w:val="bottom"/>
          </w:tcPr>
          <w:p>
            <w:pPr>
              <w:spacing w:after="0"/>
              <w:rPr>
                <w:sz w:val="12"/>
                <w:szCs w:val="12"/>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3,081,936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Debt (f)</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1,007,378</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1,060,365</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1,064,184</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1,094,713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1,096,934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Total Lazard Ltd Stockholders’ Equity</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1,313,455</w:t>
            </w:r>
          </w:p>
        </w:tc>
        <w:tc>
          <w:tcPr>
            <w:tcW w:w="200" w:type="dxa"/>
            <w:vAlign w:val="bottom"/>
          </w:tcPr>
          <w:p>
            <w:pPr>
              <w:spacing w:after="0"/>
              <w:rPr>
                <w:sz w:val="12"/>
                <w:szCs w:val="12"/>
                <w:color w:val="auto"/>
              </w:rPr>
            </w:pPr>
          </w:p>
        </w:tc>
        <w:tc>
          <w:tcPr>
            <w:tcW w:w="30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706,744</w:t>
            </w:r>
          </w:p>
        </w:tc>
        <w:tc>
          <w:tcPr>
            <w:tcW w:w="22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560,209</w:t>
            </w:r>
          </w:p>
        </w:tc>
        <w:tc>
          <w:tcPr>
            <w:tcW w:w="200" w:type="dxa"/>
            <w:vAlign w:val="bottom"/>
          </w:tcPr>
          <w:p>
            <w:pPr>
              <w:spacing w:after="0"/>
              <w:rPr>
                <w:sz w:val="12"/>
                <w:szCs w:val="12"/>
                <w:color w:val="auto"/>
              </w:rPr>
            </w:pP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569,656</w:t>
            </w:r>
          </w:p>
        </w:tc>
        <w:tc>
          <w:tcPr>
            <w:tcW w:w="400" w:type="dxa"/>
            <w:vAlign w:val="bottom"/>
          </w:tcPr>
          <w:p>
            <w:pPr>
              <w:spacing w:after="0"/>
              <w:rPr>
                <w:sz w:val="12"/>
                <w:szCs w:val="12"/>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726,143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1,367,306</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770,057</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629,998</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651,540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866,856</w:t>
            </w:r>
          </w:p>
        </w:tc>
        <w:tc>
          <w:tcPr>
            <w:tcW w:w="0" w:type="dxa"/>
            <w:vAlign w:val="bottom"/>
          </w:tcPr>
          <w:p>
            <w:pPr>
              <w:spacing w:after="0"/>
              <w:rPr>
                <w:sz w:val="1"/>
                <w:szCs w:val="1"/>
                <w:color w:val="auto"/>
              </w:rPr>
            </w:pPr>
          </w:p>
        </w:tc>
      </w:tr>
      <w:tr>
        <w:trPr>
          <w:trHeight w:val="230"/>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Other Data</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Assets Under Management: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gridSpan w:val="2"/>
          </w:tcPr>
          <w:p>
            <w:pPr>
              <w:ind w:left="420"/>
              <w:spacing w:after="0"/>
              <w:rPr>
                <w:sz w:val="20"/>
                <w:szCs w:val="20"/>
                <w:color w:val="auto"/>
              </w:rPr>
            </w:pPr>
            <w:r>
              <w:rPr>
                <w:rFonts w:ascii="Arial" w:cs="Arial" w:eastAsia="Arial" w:hAnsi="Arial"/>
                <w:sz w:val="14"/>
                <w:szCs w:val="14"/>
                <w:color w:val="auto"/>
              </w:rPr>
              <w:t>As of December 31</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w w:val="84"/>
              </w:rPr>
              <w:t>$186,380,000</w:t>
            </w:r>
          </w:p>
        </w:tc>
        <w:tc>
          <w:tcPr>
            <w:tcW w:w="20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$197,103,000</w:t>
            </w:r>
          </w:p>
        </w:tc>
        <w:tc>
          <w:tcPr>
            <w:tcW w:w="22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$186,924,000</w:t>
            </w:r>
          </w:p>
        </w:tc>
        <w:tc>
          <w:tcPr>
            <w:tcW w:w="20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$167,060,000</w:t>
            </w:r>
          </w:p>
        </w:tc>
        <w:tc>
          <w:tcPr>
            <w:tcW w:w="40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w w:val="84"/>
              </w:rPr>
              <w:t>$141,039,000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Average During Year</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w w:val="84"/>
              </w:rPr>
              <w:t>$195,987,000</w:t>
            </w:r>
          </w:p>
        </w:tc>
        <w:tc>
          <w:tcPr>
            <w:tcW w:w="2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$196,037,000</w:t>
            </w:r>
          </w:p>
        </w:tc>
        <w:tc>
          <w:tcPr>
            <w:tcW w:w="22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$173,702,000</w:t>
            </w:r>
          </w:p>
        </w:tc>
        <w:tc>
          <w:tcPr>
            <w:tcW w:w="2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$155,549,000</w:t>
            </w:r>
          </w:p>
        </w:tc>
        <w:tc>
          <w:tcPr>
            <w:tcW w:w="4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84"/>
              </w:rPr>
              <w:t>$152,072,000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2"/>
          </w:tcPr>
          <w:p>
            <w:pPr>
              <w:spacing w:after="0"/>
              <w:rPr>
                <w:sz w:val="20"/>
                <w:szCs w:val="20"/>
                <w:color w:val="auto"/>
              </w:rPr>
            </w:pPr>
            <w:r>
              <w:rPr>
                <w:rFonts w:ascii="Arial" w:cs="Arial" w:eastAsia="Arial" w:hAnsi="Arial"/>
                <w:sz w:val="14"/>
                <w:szCs w:val="14"/>
                <w:color w:val="auto"/>
              </w:rPr>
              <w:t>Total Headcount, As of December 31</w:t>
            </w:r>
          </w:p>
        </w:tc>
        <w:tc>
          <w:tcPr>
            <w:tcW w:w="14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2,610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2,523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2,403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2,513</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2,511</w:t>
            </w:r>
          </w:p>
        </w:tc>
        <w:tc>
          <w:tcPr>
            <w:tcW w:w="0" w:type="dxa"/>
            <w:vAlign w:val="bottom"/>
          </w:tcPr>
          <w:p>
            <w:pPr>
              <w:spacing w:after="0"/>
              <w:rPr>
                <w:sz w:val="1"/>
                <w:szCs w:val="1"/>
                <w:color w:val="auto"/>
              </w:rPr>
            </w:pPr>
          </w:p>
        </w:tc>
      </w:tr>
      <w:tr>
        <w:trPr>
          <w:trHeight w:val="84"/>
        </w:trPr>
        <w:tc>
          <w:tcPr>
            <w:tcW w:w="580" w:type="dxa"/>
            <w:vAlign w:val="bottom"/>
            <w:tcBorders>
              <w:bottom w:val="single" w:sz="8" w:color="auto"/>
            </w:tcBorders>
            <w:gridSpan w:val="2"/>
          </w:tcPr>
          <w:p>
            <w:pPr>
              <w:spacing w:after="0"/>
              <w:rPr>
                <w:sz w:val="7"/>
                <w:szCs w:val="7"/>
                <w:color w:val="auto"/>
              </w:rPr>
            </w:pPr>
          </w:p>
        </w:tc>
        <w:tc>
          <w:tcPr>
            <w:tcW w:w="5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0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Notes (in thousands of dollars)</w:t>
            </w: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4"/>
                <w:szCs w:val="14"/>
                <w:color w:val="auto"/>
              </w:rPr>
              <w:t>(a)  Financial Advisory net revenue consists of the following:</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10"/>
          </w:tcPr>
          <w:p>
            <w:pPr>
              <w:jc w:val="center"/>
              <w:ind w:right="52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M&amp;A and Other Advisory</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1,104,146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1,010,830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768,790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792,928</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700,539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gridSpan w:val="2"/>
          </w:tcPr>
          <w:p>
            <w:pPr>
              <w:ind w:left="420"/>
              <w:spacing w:after="0"/>
              <w:rPr>
                <w:sz w:val="20"/>
                <w:szCs w:val="20"/>
                <w:color w:val="auto"/>
              </w:rPr>
            </w:pPr>
            <w:r>
              <w:rPr>
                <w:rFonts w:ascii="Arial" w:cs="Arial" w:eastAsia="Arial" w:hAnsi="Arial"/>
                <w:sz w:val="14"/>
                <w:szCs w:val="14"/>
                <w:color w:val="auto"/>
              </w:rPr>
              <w:t>Capital Raising</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81,143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78,916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73,403</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Strategic Advisory</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3"/>
              </w:rPr>
              <w:t>1,173,777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1,091,973</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847,706</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866,331</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794,364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Restructuring</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105,851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114,761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132,871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182,759</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197,743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Financial Advisory Net Revenue</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1,279,628</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1,206,734</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980,577</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1,049,090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992,107</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4"/>
                <w:szCs w:val="14"/>
                <w:color w:val="auto"/>
              </w:rPr>
              <w:t>(b)  Asset Management net revenue consists of the following: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10"/>
          </w:tcPr>
          <w:p>
            <w:pPr>
              <w:jc w:val="center"/>
              <w:ind w:right="52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Management Fees</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1,000,018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1,018,772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903,956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806,044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818,038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Incentive Fees</w:t>
            </w: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25,075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51,866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78,342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43,661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26,245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w:t>
            </w: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86,012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63,957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56,832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46,555</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53,118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80" w:type="dxa"/>
            <w:vAlign w:val="bottom"/>
          </w:tcPr>
          <w:p>
            <w:pPr>
              <w:ind w:left="300"/>
              <w:spacing w:after="0" w:line="155" w:lineRule="exact"/>
              <w:rPr>
                <w:sz w:val="20"/>
                <w:szCs w:val="20"/>
                <w:color w:val="auto"/>
              </w:rPr>
            </w:pPr>
            <w:r>
              <w:rPr>
                <w:rFonts w:ascii="Arial" w:cs="Arial" w:eastAsia="Arial" w:hAnsi="Arial"/>
                <w:sz w:val="14"/>
                <w:szCs w:val="14"/>
                <w:color w:val="auto"/>
              </w:rPr>
              <w:t>Asset Management Net Revenue</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3"/>
              </w:rPr>
              <w:t>1,111,105</w:t>
            </w:r>
          </w:p>
        </w:tc>
        <w:tc>
          <w:tcPr>
            <w:tcW w:w="200" w:type="dxa"/>
            <w:vAlign w:val="bottom"/>
          </w:tcPr>
          <w:p>
            <w:pPr>
              <w:spacing w:after="0"/>
              <w:rPr>
                <w:sz w:val="13"/>
                <w:szCs w:val="13"/>
                <w:color w:val="auto"/>
              </w:rPr>
            </w:pPr>
          </w:p>
        </w:tc>
        <w:tc>
          <w:tcPr>
            <w:tcW w:w="300" w:type="dxa"/>
            <w:vAlign w:val="bottom"/>
            <w:gridSpan w:val="2"/>
          </w:tcPr>
          <w:p>
            <w:pPr>
              <w:jc w:val="right"/>
              <w:ind w:right="4"/>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1,134,595</w:t>
            </w:r>
          </w:p>
        </w:tc>
        <w:tc>
          <w:tcPr>
            <w:tcW w:w="220" w:type="dxa"/>
            <w:vAlign w:val="bottom"/>
          </w:tcPr>
          <w:p>
            <w:pPr>
              <w:spacing w:after="0"/>
              <w:rPr>
                <w:sz w:val="13"/>
                <w:szCs w:val="13"/>
                <w:color w:val="auto"/>
              </w:rPr>
            </w:pP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1,039,130</w:t>
            </w:r>
          </w:p>
        </w:tc>
        <w:tc>
          <w:tcPr>
            <w:tcW w:w="200" w:type="dxa"/>
            <w:vAlign w:val="bottom"/>
          </w:tcPr>
          <w:p>
            <w:pPr>
              <w:spacing w:after="0"/>
              <w:rPr>
                <w:sz w:val="13"/>
                <w:szCs w:val="13"/>
                <w:color w:val="auto"/>
              </w:rPr>
            </w:pPr>
          </w:p>
        </w:tc>
        <w:tc>
          <w:tcPr>
            <w:tcW w:w="320" w:type="dxa"/>
            <w:vAlign w:val="bottom"/>
            <w:gridSpan w:val="2"/>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896,260</w:t>
            </w:r>
          </w:p>
        </w:tc>
        <w:tc>
          <w:tcPr>
            <w:tcW w:w="400" w:type="dxa"/>
            <w:vAlign w:val="bottom"/>
          </w:tcPr>
          <w:p>
            <w:pPr>
              <w:spacing w:after="0"/>
              <w:rPr>
                <w:sz w:val="13"/>
                <w:szCs w:val="13"/>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897,401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“Corporate” includes interest expense (net of interest income), investment income (losses) from certain investments and net revenue earned by LFB through its commercial banking operations.</w:t>
      </w:r>
    </w:p>
    <w:p>
      <w:pPr>
        <w:spacing w:after="0" w:line="22" w:lineRule="exact"/>
        <w:rPr>
          <w:rFonts w:ascii="Arial" w:cs="Arial" w:eastAsia="Arial" w:hAnsi="Arial"/>
          <w:sz w:val="12"/>
          <w:szCs w:val="12"/>
          <w:color w:val="auto"/>
        </w:rPr>
      </w:pPr>
    </w:p>
    <w:p>
      <w:pPr>
        <w:ind w:left="340" w:hanging="332"/>
        <w:spacing w:after="0" w:line="258" w:lineRule="auto"/>
        <w:tabs>
          <w:tab w:leader="none" w:pos="3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Includes (i) in 2013, charges of $51,399 relating to the acceleration of unrecognized amortization expense pertaining to previously granted deferred incentive compensation, severance and benefit payments and other compensation-related costs, all relating to the cost saving initiatives announced by the Company in October 2012, and $12,203 related to incentive compensation expense related to private equity transactions for which revenue may be recognized in the future and (ii) in 2012, charges of $21,754 recorded in the first quarter pertaining to severance costs and benefit payments associated with staff reductions, including the acceleration of unrecognized amortization expense of deferred incentive compensation previously granted to individuals being terminated, and $99,987 recorded in the fourth quarter relating to the acceleration of unrecognized amortization expense pertaining to previously granted deferred incentive compensation, severance and benefit payments and other compensation-related costs relating to the cost saving initiatives announced by the Company in October 2012.</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Includes (i) in 2015, non-compensation costs of $547,691 relating to the provision pursuant to the tax receivable agreement; $60,219 relating to the redemption of a significant portion of the Company’s</w:t>
      </w:r>
    </w:p>
    <w:p>
      <w:pPr>
        <w:spacing w:after="0" w:line="10" w:lineRule="exact"/>
        <w:rPr>
          <w:rFonts w:ascii="Arial" w:cs="Arial" w:eastAsia="Arial" w:hAnsi="Arial"/>
          <w:sz w:val="12"/>
          <w:szCs w:val="12"/>
          <w:color w:val="auto"/>
        </w:rPr>
      </w:pPr>
    </w:p>
    <w:p>
      <w:pPr>
        <w:ind w:left="340" w:right="80"/>
        <w:spacing w:after="0" w:line="258" w:lineRule="auto"/>
        <w:rPr>
          <w:rFonts w:ascii="Arial" w:cs="Arial" w:eastAsia="Arial" w:hAnsi="Arial"/>
          <w:sz w:val="12"/>
          <w:szCs w:val="12"/>
          <w:color w:val="auto"/>
        </w:rPr>
      </w:pPr>
      <w:r>
        <w:rPr>
          <w:rFonts w:ascii="Arial" w:cs="Arial" w:eastAsia="Arial" w:hAnsi="Arial"/>
          <w:sz w:val="12"/>
          <w:szCs w:val="12"/>
          <w:color w:val="auto"/>
        </w:rPr>
        <w:t>6.85% senior notes maturing on June 15, 2017 and $1,114 of expenses relating to the partial extinguishment of the tax receivable obligation, (ii) in 2014, non-compensation costs of $18,307 relating to the provision pursuant to tax receivable agreement, (iii) in 2013, non-compensation costs of $1,249 relating to the provision pursuant to the tax receivable agreement, $13,304 relating to the cost saving initiatives announced by the Company in October 2012 and $54,087 related to the refinancing of the 7.125% senior notes maturing on May 15, 2015; and (iv) in 2012, non-compensation costs of $2,905 recorded in the first quarter associated with staff reductions and $2,589 recorded in the fourth quarter relating to the cost saving initiatives announced by the Company in October 2012.</w:t>
      </w: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the aggregate amount reflected in the Company’s consolidated statements of financial condition relating to senior debt and capital lease obligations.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Ltd’s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sections entitled “Risk Factors” and “Special Note Regarding Forward-Looking Statements” and elsewhere in this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1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jc w:val="both"/>
        <w:ind w:left="900" w:right="8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corporate preparedness and various other financial matters, and</w:t>
      </w:r>
    </w:p>
    <w:p>
      <w:pPr>
        <w:spacing w:after="0" w:line="59" w:lineRule="exact"/>
        <w:rPr>
          <w:rFonts w:ascii="Arial" w:cs="Arial" w:eastAsia="Arial" w:hAnsi="Arial"/>
          <w:sz w:val="18"/>
          <w:szCs w:val="18"/>
          <w:color w:val="auto"/>
        </w:rPr>
      </w:pPr>
    </w:p>
    <w:p>
      <w:pPr>
        <w:jc w:val="both"/>
        <w:ind w:left="900" w:right="38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8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LFB, as a registered bank,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 Management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040" w:type="dxa"/>
            <w:vAlign w:val="bottom"/>
            <w:gridSpan w:val="3"/>
          </w:tcPr>
          <w:p>
            <w:pPr>
              <w:jc w:val="right"/>
              <w:ind w:right="74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the Edgewater Funds (“Edgewater”), our Chicago-based private equity firm (see Note 12 of Notes to Consolidated Financial Statements),</w:t>
      </w:r>
    </w:p>
    <w:p>
      <w:pPr>
        <w:spacing w:after="0" w:line="1" w:lineRule="exact"/>
        <w:rPr>
          <w:sz w:val="20"/>
          <w:szCs w:val="20"/>
          <w:color w:val="auto"/>
        </w:rPr>
      </w:pPr>
    </w:p>
    <w:p>
      <w:pPr>
        <w:ind w:right="280" w:firstLine="8"/>
        <w:spacing w:after="0" w:line="323" w:lineRule="auto"/>
        <w:tabs>
          <w:tab w:leader="none" w:pos="258"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mezzanine fund, which invests in mezzanine debt of a diversified selection of small-to mid-cap European companies and (iii) a fund targeting significant noncontrolling-stake investments in established private companies. We also make investments to seed our Asset Management strategies.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assets under management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16" w:lineRule="exact"/>
        <w:rPr>
          <w:sz w:val="20"/>
          <w:szCs w:val="20"/>
          <w:color w:val="auto"/>
        </w:rPr>
      </w:pPr>
    </w:p>
    <w:p>
      <w:pPr>
        <w:ind w:right="320" w:firstLine="456"/>
        <w:spacing w:after="0" w:line="305" w:lineRule="auto"/>
        <w:rPr>
          <w:sz w:val="20"/>
          <w:szCs w:val="20"/>
          <w:color w:val="auto"/>
        </w:rPr>
      </w:pPr>
      <w:r>
        <w:rPr>
          <w:rFonts w:ascii="Arial" w:cs="Arial" w:eastAsia="Arial" w:hAnsi="Arial"/>
          <w:sz w:val="15"/>
          <w:szCs w:val="15"/>
          <w:color w:val="auto"/>
        </w:rPr>
        <w:t>Equity market indices for developed markets at December 31, 2015 were mixed, with European indices generally increasing and U.S. indices generally decreasing, as compared to such indices at December 31, 2014. Emerging markets equity indices at December 31, 2015 decreased as compared to</w:t>
      </w:r>
    </w:p>
    <w:p>
      <w:pPr>
        <w:ind w:right="40"/>
        <w:spacing w:after="0" w:line="252" w:lineRule="auto"/>
        <w:rPr>
          <w:sz w:val="20"/>
          <w:szCs w:val="20"/>
          <w:color w:val="auto"/>
        </w:rPr>
      </w:pPr>
      <w:r>
        <w:rPr>
          <w:rFonts w:ascii="Arial" w:cs="Arial" w:eastAsia="Arial" w:hAnsi="Arial"/>
          <w:sz w:val="18"/>
          <w:szCs w:val="18"/>
          <w:color w:val="auto"/>
        </w:rPr>
        <w:t>December 31, 2014. In the global M&amp;A markets during 2015, the value of all completed M&amp;A transactions increased as compared to the same period in the prior year, as did the subset of such transactions involving values greater than $500 million. During the same time, the value of all announced M&amp;A transactions, including the subset of such transactions involving values greater than $500 million, also increased, reflecting an active global M&amp;A environment. While the value of completed and announced transactions increased as compared to the prior period, the number of completed and announced transactions (excluding the subset of completed and announced transactions involving values greater than $500 million) decreased. During 2015, global restructuring activity remained low, consistent with the last several years.</w:t>
      </w:r>
    </w:p>
    <w:p>
      <w:pPr>
        <w:spacing w:after="0" w:line="14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Entering 2016, volatile market conditions continue. However, corporate cash balances remain high, and interest rates remain low for companies with strong credit ratings. Although market volatility may continue and may affect our business in 2016, the longer-term trends appear to remain favorable for both of our businesses.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hanging="345"/>
        <w:spacing w:after="0" w:line="255"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Advisory </w:t>
      </w:r>
      <w:r>
        <w:rPr>
          <w:rFonts w:ascii="Arial" w:cs="Arial" w:eastAsia="Arial" w:hAnsi="Arial"/>
          <w:sz w:val="18"/>
          <w:szCs w:val="18"/>
          <w:color w:val="auto"/>
        </w:rPr>
        <w:t>– The fundamentals for continued M&amp;A activity appear to remain in place. Demand continues for expert, independent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Japan and Australia position us for growth in these markets, while enhancing our relationships with, and the services that we can provide to, clients in other economies.</w:t>
      </w:r>
    </w:p>
    <w:p>
      <w:pPr>
        <w:spacing w:after="0" w:line="61" w:lineRule="exact"/>
        <w:rPr>
          <w:rFonts w:ascii="Arial" w:cs="Arial" w:eastAsia="Arial" w:hAnsi="Arial"/>
          <w:sz w:val="18"/>
          <w:szCs w:val="18"/>
          <w:color w:val="auto"/>
        </w:rPr>
      </w:pPr>
    </w:p>
    <w:p>
      <w:pPr>
        <w:ind w:left="920" w:right="300" w:hanging="345"/>
        <w:spacing w:after="0" w:line="268"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Asset Management </w:t>
      </w:r>
      <w:r>
        <w:rPr>
          <w:rFonts w:ascii="Arial" w:cs="Arial" w:eastAsia="Arial" w:hAnsi="Arial"/>
          <w:sz w:val="18"/>
          <w:szCs w:val="18"/>
          <w:color w:val="auto"/>
        </w:rPr>
        <w:t>– In the short to intermediate term, we expect most investor demand will come from defined benefit and defined contribution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in the developed economies because of their sheer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9" w:lineRule="auto"/>
        <w:rPr>
          <w:sz w:val="20"/>
          <w:szCs w:val="20"/>
          <w:color w:val="auto"/>
        </w:rPr>
      </w:pPr>
      <w:r>
        <w:rPr>
          <w:rFonts w:ascii="Arial" w:cs="Arial" w:eastAsia="Arial" w:hAnsi="Arial"/>
          <w:sz w:val="16"/>
          <w:szCs w:val="16"/>
          <w:color w:val="auto"/>
        </w:rPr>
        <w:t>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In recent years, we have expanded the global footprint of our Asset Management business by opening offices in Singapore, Dubai and Dublin. We are continually developing and seeding new investment strategies that extend our existing platforms. Recent examples of growth initiatives include the following investment strategies: U.S. Long/Short Equity, European Long/Short Equity, Quantitative Equity and Middle East North African Equities.</w:t>
      </w:r>
    </w:p>
    <w:p>
      <w:pPr>
        <w:spacing w:after="0" w:line="118"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this Form 10-K. Furthermore, net income and revenue in any period may not be indicative of full-year results or the results of any other period and may vary significantly from year to year and quarter to quarter.</w:t>
      </w:r>
    </w:p>
    <w:p>
      <w:pPr>
        <w:spacing w:after="0" w:line="14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shareholder returns, the prudent management of our costs and expenses, the efficient use of our assets and the return of capital to our shareholders.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reflected in the following table, which sets forth global M&amp;A industry statistics, the value of all completed transactions, including completed transactions with values greater than $500 million, increased in 2015 as compared to 2014, while the number of all completed transactions, excluding completed transactions with values greater than $500 million, decreased over the same period. With respect to announced M&amp;A transactions, the value of all transactions including announced transactions with values greater than $500 million, increased in 2015 as compared to 2014, while the number of all announced transactions decreased over the same period.</w:t>
      </w:r>
    </w:p>
    <w:p>
      <w:pPr>
        <w:spacing w:after="0" w:line="2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w w:val="98"/>
              </w:rPr>
              <w:t>Year Ended December 31,</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4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4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700" w:type="dxa"/>
            <w:vAlign w:val="bottom"/>
          </w:tcPr>
          <w:p>
            <w:pPr>
              <w:spacing w:after="0"/>
              <w:rPr>
                <w:sz w:val="14"/>
                <w:szCs w:val="14"/>
                <w:color w:val="auto"/>
              </w:rPr>
            </w:pPr>
          </w:p>
        </w:tc>
        <w:tc>
          <w:tcPr>
            <w:tcW w:w="1160" w:type="dxa"/>
            <w:vAlign w:val="bottom"/>
          </w:tcPr>
          <w:p>
            <w:pPr>
              <w:jc w:val="right"/>
              <w:ind w:right="754"/>
              <w:spacing w:after="0"/>
              <w:rPr>
                <w:sz w:val="20"/>
                <w:szCs w:val="20"/>
                <w:color w:val="auto"/>
              </w:rPr>
            </w:pPr>
            <w:r>
              <w:rPr>
                <w:rFonts w:ascii="Arial" w:cs="Arial" w:eastAsia="Arial" w:hAnsi="Arial"/>
                <w:sz w:val="14"/>
                <w:szCs w:val="14"/>
                <w:b w:val="1"/>
                <w:bCs w:val="1"/>
                <w:color w:val="auto"/>
                <w:w w:val="96"/>
              </w:rPr>
              <w:t>2014</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Incr / (Decr)</w:t>
            </w:r>
          </w:p>
        </w:tc>
      </w:tr>
      <w:tr>
        <w:trPr>
          <w:trHeight w:val="156"/>
        </w:trPr>
        <w:tc>
          <w:tcPr>
            <w:tcW w:w="4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2"/>
          </w:tcPr>
          <w:p>
            <w:pPr>
              <w:ind w:left="600"/>
              <w:spacing w:after="0" w:line="155" w:lineRule="exact"/>
              <w:rPr>
                <w:sz w:val="20"/>
                <w:szCs w:val="20"/>
                <w:color w:val="auto"/>
              </w:rPr>
            </w:pPr>
            <w:r>
              <w:rPr>
                <w:rFonts w:ascii="Arial" w:cs="Arial" w:eastAsia="Arial" w:hAnsi="Arial"/>
                <w:sz w:val="14"/>
                <w:szCs w:val="14"/>
                <w:b w:val="1"/>
                <w:bCs w:val="1"/>
                <w:color w:val="auto"/>
              </w:rPr>
              <w:t>($ in billions)</w:t>
            </w:r>
          </w:p>
        </w:tc>
        <w:tc>
          <w:tcPr>
            <w:tcW w:w="8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All deals: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3,917</w:t>
            </w:r>
          </w:p>
        </w:tc>
        <w:tc>
          <w:tcPr>
            <w:tcW w:w="7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3,042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Number</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w w:val="83"/>
              </w:rPr>
              <w:t>37,182</w:t>
            </w:r>
          </w:p>
        </w:tc>
        <w:tc>
          <w:tcPr>
            <w:tcW w:w="700" w:type="dxa"/>
            <w:vAlign w:val="bottom"/>
          </w:tcPr>
          <w:p>
            <w:pPr>
              <w:spacing w:after="0"/>
              <w:rPr>
                <w:sz w:val="18"/>
                <w:szCs w:val="18"/>
                <w:color w:val="auto"/>
              </w:rPr>
            </w:pPr>
          </w:p>
        </w:tc>
        <w:tc>
          <w:tcPr>
            <w:tcW w:w="1160" w:type="dxa"/>
            <w:vAlign w:val="bottom"/>
          </w:tcPr>
          <w:p>
            <w:pPr>
              <w:jc w:val="right"/>
              <w:ind w:right="594"/>
              <w:spacing w:after="0"/>
              <w:rPr>
                <w:sz w:val="20"/>
                <w:szCs w:val="20"/>
                <w:color w:val="auto"/>
              </w:rPr>
            </w:pPr>
            <w:r>
              <w:rPr>
                <w:rFonts w:ascii="Arial" w:cs="Arial" w:eastAsia="Arial" w:hAnsi="Arial"/>
                <w:sz w:val="18"/>
                <w:szCs w:val="18"/>
                <w:color w:val="auto"/>
                <w:w w:val="83"/>
              </w:rPr>
              <w:t>40,663</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Deals Greater than $500 million: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Value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3,053</w:t>
            </w:r>
          </w:p>
        </w:tc>
        <w:tc>
          <w:tcPr>
            <w:tcW w:w="700" w:type="dxa"/>
            <w:vAlign w:val="bottom"/>
          </w:tcPr>
          <w:p>
            <w:pPr>
              <w:spacing w:after="0"/>
              <w:rPr>
                <w:sz w:val="18"/>
                <w:szCs w:val="18"/>
                <w:color w:val="auto"/>
              </w:rPr>
            </w:pPr>
          </w:p>
        </w:tc>
        <w:tc>
          <w:tcPr>
            <w:tcW w:w="1160" w:type="dxa"/>
            <w:vAlign w:val="bottom"/>
          </w:tcPr>
          <w:p>
            <w:pPr>
              <w:jc w:val="right"/>
              <w:ind w:right="594"/>
              <w:spacing w:after="0"/>
              <w:rPr>
                <w:sz w:val="20"/>
                <w:szCs w:val="20"/>
                <w:color w:val="auto"/>
              </w:rPr>
            </w:pPr>
            <w:r>
              <w:rPr>
                <w:rFonts w:ascii="Arial" w:cs="Arial" w:eastAsia="Arial" w:hAnsi="Arial"/>
                <w:sz w:val="18"/>
                <w:szCs w:val="18"/>
                <w:color w:val="auto"/>
              </w:rPr>
              <w:t>2,165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1,174</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1,094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deals: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Value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5,045</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94"/>
              <w:spacing w:after="0"/>
              <w:rPr>
                <w:sz w:val="20"/>
                <w:szCs w:val="20"/>
                <w:color w:val="auto"/>
              </w:rPr>
            </w:pPr>
            <w:r>
              <w:rPr>
                <w:rFonts w:ascii="Arial" w:cs="Arial" w:eastAsia="Arial" w:hAnsi="Arial"/>
                <w:sz w:val="18"/>
                <w:szCs w:val="18"/>
                <w:color w:val="auto"/>
              </w:rPr>
              <w:t>3,666</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3"/>
              </w:rPr>
              <w:t>39,465</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83"/>
              </w:rPr>
              <w:t>41,246</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Deals Greater than $500 million: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4,057</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2,750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22"/>
        </w:trPr>
        <w:tc>
          <w:tcPr>
            <w:tcW w:w="4260" w:type="dxa"/>
            <w:vAlign w:val="bottom"/>
          </w:tcPr>
          <w:p>
            <w:pPr>
              <w:ind w:left="880"/>
              <w:spacing w:after="0"/>
              <w:rPr>
                <w:sz w:val="20"/>
                <w:szCs w:val="20"/>
                <w:color w:val="auto"/>
              </w:rPr>
            </w:pPr>
            <w:r>
              <w:rPr>
                <w:rFonts w:ascii="Arial" w:cs="Arial" w:eastAsia="Arial" w:hAnsi="Arial"/>
                <w:sz w:val="18"/>
                <w:szCs w:val="18"/>
                <w:color w:val="auto"/>
              </w:rPr>
              <w:t>Number</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1,344</w:t>
            </w:r>
          </w:p>
        </w:tc>
        <w:tc>
          <w:tcPr>
            <w:tcW w:w="700" w:type="dxa"/>
            <w:vAlign w:val="bottom"/>
          </w:tcPr>
          <w:p>
            <w:pPr>
              <w:spacing w:after="0"/>
              <w:rPr>
                <w:sz w:val="19"/>
                <w:szCs w:val="19"/>
                <w:color w:val="auto"/>
              </w:rPr>
            </w:pPr>
          </w:p>
        </w:tc>
        <w:tc>
          <w:tcPr>
            <w:tcW w:w="1160" w:type="dxa"/>
            <w:vAlign w:val="bottom"/>
          </w:tcPr>
          <w:p>
            <w:pPr>
              <w:jc w:val="right"/>
              <w:ind w:right="594"/>
              <w:spacing w:after="0"/>
              <w:rPr>
                <w:sz w:val="20"/>
                <w:szCs w:val="20"/>
                <w:color w:val="auto"/>
              </w:rPr>
            </w:pPr>
            <w:r>
              <w:rPr>
                <w:rFonts w:ascii="Arial" w:cs="Arial" w:eastAsia="Arial" w:hAnsi="Arial"/>
                <w:sz w:val="18"/>
                <w:szCs w:val="18"/>
                <w:color w:val="auto"/>
              </w:rPr>
              <w:t>1,185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January 8, 2016.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Global restructuring activity during 2015, as measured by the number of corporate defaults, increased as compared to 2014. However, the aggregate value of debt defaults remained low, consistent with the last several years. The number of defaulting issuers increased to 108 in 2015, according to Moody’s Investors Service, Inc., as compared to 54 in 2014.</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percentage change in major equity market indices at December 31, 2015, as compared to such indices at December 31, 2014, and at December 31, 2014, as compared to such indices at December 31, 2013,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5"/>
              </w:rPr>
              <w:t>Percentage Changes</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65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2015 vs. 2014</w:t>
            </w:r>
          </w:p>
        </w:tc>
        <w:tc>
          <w:tcPr>
            <w:tcW w:w="1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2014 vs. 2013</w:t>
            </w:r>
          </w:p>
        </w:tc>
        <w:tc>
          <w:tcPr>
            <w:tcW w:w="26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202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Euro Stoxx</w:t>
            </w:r>
          </w:p>
        </w:tc>
        <w:tc>
          <w:tcPr>
            <w:tcW w:w="2020" w:type="dxa"/>
            <w:vAlign w:val="bottom"/>
            <w:gridSpan w:val="2"/>
          </w:tcPr>
          <w:p>
            <w:pPr>
              <w:jc w:val="right"/>
              <w:ind w:right="1032"/>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MSCI Emerging Market</w:t>
            </w:r>
          </w:p>
        </w:tc>
        <w:tc>
          <w:tcPr>
            <w:tcW w:w="202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(17)%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S&amp;P 500</w:t>
            </w:r>
          </w:p>
        </w:tc>
        <w:tc>
          <w:tcPr>
            <w:tcW w:w="2020" w:type="dxa"/>
            <w:vAlign w:val="bottom"/>
            <w:gridSpan w:val="2"/>
          </w:tcPr>
          <w:p>
            <w:pPr>
              <w:jc w:val="right"/>
              <w:ind w:right="972"/>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bl>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 Our AUM at December 31, 2015 decreased 5% versus AUM at December 31, 2014, primarily due to adverse foreign exchange movements, partially offset by net inflows and market appreciation. Average AUM for 2015 was substantially unchanged as compared to average AUM in 2014.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Saving Initiatives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October 2012, we announced certain cost saving initiatives in order to reduce our compensation and non-compensation cost base. Expenses associated with implementation of the cost saving initiatives were completed in the second quarter of 2013 and were reflected in our financial results. These implementation expenses were approximately $64 million in 2013.</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cost saving initiatives were intended to improve our profitability with minimal impact on revenue growth, while allowing us to continue to invest in our business. The initiatives included: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 The full impact of the savings resulting from the cost saving initiatives was reflected in our 2014 results.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16 of 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43"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Lazard’s Asset Management segment principally includes Lazard Asset Management LLC (together with its subsidiaries,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2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Although Corporate segment net revenue during 2015 represented (1)% of Lazard’s net revenue, total assets in the Corporate segment represented 69% of Lazard’s consolidated total assets as of December 31, 2015, which are attributable to cash and cash equivalents, investments in debt and equity securities, interests in alternative investment, debt, equity and private equity funds, deferred tax assets and certain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220" w:firstLine="456"/>
        <w:spacing w:after="0" w:line="305" w:lineRule="auto"/>
        <w:rPr>
          <w:sz w:val="20"/>
          <w:szCs w:val="20"/>
          <w:color w:val="auto"/>
        </w:rPr>
      </w:pPr>
      <w:r>
        <w:rPr>
          <w:rFonts w:ascii="Arial" w:cs="Arial" w:eastAsia="Arial" w:hAnsi="Arial"/>
          <w:sz w:val="15"/>
          <w:szCs w:val="15"/>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w:t>
      </w:r>
    </w:p>
    <w:p>
      <w:pPr>
        <w:ind w:left="240" w:hanging="232"/>
        <w:spacing w:after="0"/>
        <w:tabs>
          <w:tab w:leader="none" w:pos="2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share-based incentive compensation under the Lazard Ltd 2008 Incentive Compensation Plan (the “2008 Plan”) and the Lazard Ltd 2005 Equity Incentive</w:t>
      </w:r>
    </w:p>
    <w:p>
      <w:pPr>
        <w:spacing w:after="0" w:line="32" w:lineRule="exact"/>
        <w:rPr>
          <w:rFonts w:ascii="Arial" w:cs="Arial" w:eastAsia="Arial" w:hAnsi="Arial"/>
          <w:sz w:val="16"/>
          <w:szCs w:val="16"/>
          <w:color w:val="auto"/>
        </w:rPr>
      </w:pP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Plan (the “2005 Plan”), which expired in the second quarter of 2015, and (b) LFI and other similar deferred compensation arrangements (see Note 14 of Notes to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4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32" w:lineRule="exact"/>
        <w:rPr>
          <w:sz w:val="20"/>
          <w:szCs w:val="20"/>
          <w:color w:val="auto"/>
        </w:rPr>
      </w:pPr>
    </w:p>
    <w:p>
      <w:pPr>
        <w:ind w:left="900" w:right="1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90" w:lineRule="exact"/>
        <w:rPr>
          <w:rFonts w:ascii="Arial" w:cs="Arial" w:eastAsia="Arial" w:hAnsi="Arial"/>
          <w:sz w:val="18"/>
          <w:szCs w:val="18"/>
          <w:color w:val="auto"/>
        </w:rPr>
      </w:pPr>
    </w:p>
    <w:p>
      <w:pPr>
        <w:ind w:left="1480" w:right="120" w:hanging="567"/>
        <w:spacing w:after="0" w:line="259"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xml:space="preserve"> deferred incentive compensation awards granted in 2016 related to the 2015 year-end compensation process), including PRSU awards (based on the target payout level);</w:t>
      </w:r>
    </w:p>
    <w:p>
      <w:pPr>
        <w:spacing w:after="0" w:line="59" w:lineRule="exact"/>
        <w:rPr>
          <w:rFonts w:ascii="Arial" w:cs="Arial" w:eastAsia="Arial" w:hAnsi="Arial"/>
          <w:sz w:val="18"/>
          <w:szCs w:val="18"/>
          <w:color w:val="auto"/>
        </w:rPr>
      </w:pPr>
    </w:p>
    <w:p>
      <w:pPr>
        <w:ind w:left="1480" w:right="80" w:hanging="567"/>
        <w:spacing w:after="0" w:line="268"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xml:space="preserve"> “sign-on” bonuses or retention awards) and other special deferred incentive compensation awards that is applicable to the fiscal year the award becomes effective; and</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also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“awarded compensation and benefits expense” and related ratios to “operating revenue,” see the table under “Consolidated Results of Operations” below.</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annual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We believe that over the cycle we can attain a ratio of awarded compensation and benefits expense to operating revenue in the mid-to-high-50s percentage range, which compares to 55.8% for the year ended December 31, 2015. While we have implemented initiatives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attaining this goal.</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In 2015, non-compensation expense also included the expenses related to the redemption of a significant portion of the Company’s 6.85% senior notes due 2017 (the “2017 Notes”) (see Note 11 of Notes to Consolidated Financial Statements). In 2013, non-compensation expense also included the implementation of the cost saving initiatives and expenses related to the refinancing of the 7.125% senior notes due 2015 (the “2015 Notes”) and the issuance of $500 million of 4.25% senior notes maturing in 2020 (the “2020 Notes”) (see Notes 11 and 16 of Notes to Consolidated Financial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calculations with respect to “adjusted non-compensation expense,” see the table under “Consolidated Results of Operations” below.</w:t>
      </w:r>
    </w:p>
    <w:p>
      <w:pPr>
        <w:spacing w:after="0" w:line="165" w:lineRule="exact"/>
        <w:rPr>
          <w:sz w:val="20"/>
          <w:szCs w:val="20"/>
          <w:color w:val="auto"/>
        </w:rPr>
      </w:pPr>
    </w:p>
    <w:p>
      <w:pPr>
        <w:ind w:right="960" w:firstLine="456"/>
        <w:spacing w:after="0" w:line="332" w:lineRule="auto"/>
        <w:rPr>
          <w:sz w:val="20"/>
          <w:szCs w:val="20"/>
          <w:color w:val="auto"/>
        </w:rPr>
      </w:pPr>
      <w:r>
        <w:rPr>
          <w:rFonts w:ascii="Arial" w:cs="Arial" w:eastAsia="Arial" w:hAnsi="Arial"/>
          <w:sz w:val="16"/>
          <w:szCs w:val="16"/>
          <w:color w:val="auto"/>
        </w:rPr>
        <w:t>Our operating expenses also include our “provision pursuant to the tax receivable agreement” and “amortization of intangible assets related to acquisitions”. For all periods, the amortization of intangible assets related to acquisitions pertains primarily to the acquisition of Edgewater.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Lazard Ltd, through its subsidiaries, is subject to U.S. federal income taxes on all of its U.S. operating income, as well as on the portion of non-U.S. income attributable to its U.S. subsidiaries.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17 of Notes to Consolidated Financial Statements for additional information).</w:t>
      </w:r>
    </w:p>
    <w:p>
      <w:pPr>
        <w:spacing w:after="0" w:line="11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discussed under “Critical Accounting Policies and Estimates—Income Taxes” below, in the second quarter of 2015, we concluded that certain of our tax-paying entities at which we have historically recorded valuation allowances had achieved sufficient sustained profitability that it was more likely than not that they would be able to realize their deferred tax assets. Accordingly, in the second quarter of 2015, we released substantially all of our valuation allowance related to the deferred tax assets. When we are able to use the deferred tax assets in future periods to reduce our income taxes, we will be required to pay a significant portion of the tax savings pursuant to our tax receivable agreement. We therefore also recognized a related liability under the tax receivable agreement. In addition, in the third quarter of 2015, we purchased a portion of our obligation relating to the tax receivable agreement, which had the effect of reducing such liability.</w:t>
      </w:r>
    </w:p>
    <w:p>
      <w:pPr>
        <w:spacing w:after="0" w:line="147"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See “Critical Accounting Policies and Estimates—Income Taxes” below and Note 17 of Notes to Consolidated Financial Statements for additional information regarding income taxes, our deferred tax assets, the valuation allowance release and the tax receivable agreement obligation.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and, through May 2014, the amount attributable to LAZ-MD Holdings LLC’s (“LAZ-MD Holdings”) ownership interest in the net income of Lazard Group. See Note 13 of Notes to Consolidated Financial Statements for information regarding the Company’s noncontrolling interests. In May 2014, the remaining Lazard Group common membership interests held by LAZ-MD Holdings were exchanged for shares of the Company’s Class A common stock. Following the exchange, Lazard Group became a wholly-owned indirect subsidiary of Lazard Ltd, and the sole issued and outstanding share of the Company’s Class B common stock was automatically converted into one share of the Company’s Class A common stock pursuant to the provisions of the Company’s bye-laws, resulting in only one outstanding class of common stock. See Note 1 of Notes to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Since the middle of 2014, the value of the U.S. dollar has strengthened against many other major currencies. As a result, net revenue for the year ended December 31, 2015 was negatively impacted in comparison to the prior year period. The majority of the negative impact was offset by the positive impact of the exchange rate movements on our operating expenses denominated in currencies other than the U.S. dollar.</w:t>
      </w:r>
    </w:p>
    <w:p>
      <w:pPr>
        <w:spacing w:after="0" w:line="14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consolidated financial statements are prepared in conformity with U.S. GAAP. Selected financial data from the Company’s reported consolidated results of operations is set forth below, followed by a more detailed discussion of both the consolidated and business segment results.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2,353,608</w:t>
            </w:r>
          </w:p>
        </w:tc>
        <w:tc>
          <w:tcPr>
            <w:tcW w:w="2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2,300,447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1,985,352</w:t>
            </w:r>
          </w:p>
        </w:tc>
        <w:tc>
          <w:tcPr>
            <w:tcW w:w="0" w:type="dxa"/>
            <w:vAlign w:val="bottom"/>
          </w:tcPr>
          <w:p>
            <w:pPr>
              <w:spacing w:after="0"/>
              <w:rPr>
                <w:sz w:val="1"/>
                <w:szCs w:val="1"/>
                <w:color w:val="auto"/>
              </w:rPr>
            </w:pPr>
          </w:p>
        </w:tc>
      </w:tr>
      <w:tr>
        <w:trPr>
          <w:trHeight w:val="330"/>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1,319,746</w:t>
            </w:r>
          </w:p>
        </w:tc>
        <w:tc>
          <w:tcPr>
            <w:tcW w:w="2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1,313,606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1,278,534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496,970</w:t>
            </w:r>
          </w:p>
        </w:tc>
        <w:tc>
          <w:tcPr>
            <w:tcW w:w="240" w:type="dxa"/>
            <w:vAlign w:val="bottom"/>
          </w:tcPr>
          <w:p>
            <w:pPr>
              <w:spacing w:after="0"/>
              <w:rPr>
                <w:sz w:val="18"/>
                <w:szCs w:val="18"/>
                <w:color w:val="auto"/>
              </w:rPr>
            </w:pPr>
          </w:p>
        </w:tc>
        <w:tc>
          <w:tcPr>
            <w:tcW w:w="1860" w:type="dxa"/>
            <w:vAlign w:val="bottom"/>
            <w:gridSpan w:val="3"/>
          </w:tcPr>
          <w:p>
            <w:pPr>
              <w:jc w:val="right"/>
              <w:ind w:right="620"/>
              <w:spacing w:after="0"/>
              <w:rPr>
                <w:sz w:val="20"/>
                <w:szCs w:val="20"/>
                <w:color w:val="auto"/>
              </w:rPr>
            </w:pPr>
            <w:r>
              <w:rPr>
                <w:rFonts w:ascii="Arial" w:cs="Arial" w:eastAsia="Arial" w:hAnsi="Arial"/>
                <w:sz w:val="18"/>
                <w:szCs w:val="18"/>
                <w:color w:val="auto"/>
              </w:rPr>
              <w:t>442,682</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478,648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2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6,387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Provision pursuant to tax receivable agreement</w:t>
            </w:r>
          </w:p>
        </w:tc>
        <w:tc>
          <w:tcPr>
            <w:tcW w:w="2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547,691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18,307</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2,370,228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1,780,982</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1,768,545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(16,620)</w:t>
            </w:r>
          </w:p>
        </w:tc>
        <w:tc>
          <w:tcPr>
            <w:tcW w:w="1860" w:type="dxa"/>
            <w:vAlign w:val="bottom"/>
            <w:gridSpan w:val="3"/>
          </w:tcPr>
          <w:p>
            <w:pPr>
              <w:jc w:val="right"/>
              <w:ind w:right="620"/>
              <w:spacing w:after="0"/>
              <w:rPr>
                <w:sz w:val="20"/>
                <w:szCs w:val="20"/>
                <w:color w:val="auto"/>
              </w:rPr>
            </w:pPr>
            <w:r>
              <w:rPr>
                <w:rFonts w:ascii="Arial" w:cs="Arial" w:eastAsia="Arial" w:hAnsi="Arial"/>
                <w:sz w:val="18"/>
                <w:szCs w:val="18"/>
                <w:color w:val="auto"/>
              </w:rPr>
              <w:t>519,465</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216,807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(benefit) for income taxes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(1,009,552)</w:t>
            </w: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85,402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51,693</w:t>
            </w:r>
          </w:p>
        </w:tc>
        <w:tc>
          <w:tcPr>
            <w:tcW w:w="0" w:type="dxa"/>
            <w:vAlign w:val="bottom"/>
          </w:tcPr>
          <w:p>
            <w:pPr>
              <w:spacing w:after="0"/>
              <w:rPr>
                <w:sz w:val="1"/>
                <w:szCs w:val="1"/>
                <w:color w:val="auto"/>
              </w:rPr>
            </w:pPr>
          </w:p>
        </w:tc>
      </w:tr>
      <w:tr>
        <w:trPr>
          <w:trHeight w:val="221"/>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Income</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992,932</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434,063</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165,114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8"/>
              </w:rPr>
              <w:t>Less – Net Income Attributable to Noncontrolling Interests</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986,373</w:t>
            </w:r>
          </w:p>
        </w:tc>
        <w:tc>
          <w:tcPr>
            <w:tcW w:w="240" w:type="dxa"/>
            <w:vAlign w:val="bottom"/>
          </w:tcPr>
          <w:p>
            <w:pPr>
              <w:spacing w:after="0"/>
              <w:rPr>
                <w:sz w:val="19"/>
                <w:szCs w:val="19"/>
                <w:color w:val="auto"/>
              </w:rPr>
            </w:pPr>
          </w:p>
        </w:tc>
        <w:tc>
          <w:tcPr>
            <w:tcW w:w="1860" w:type="dxa"/>
            <w:vAlign w:val="bottom"/>
            <w:gridSpan w:val="3"/>
          </w:tcPr>
          <w:p>
            <w:pPr>
              <w:jc w:val="right"/>
              <w:ind w:right="620"/>
              <w:spacing w:after="0"/>
              <w:rPr>
                <w:sz w:val="20"/>
                <w:szCs w:val="20"/>
                <w:color w:val="auto"/>
              </w:rPr>
            </w:pPr>
            <w:r>
              <w:rPr>
                <w:rFonts w:ascii="Arial" w:cs="Arial" w:eastAsia="Arial" w:hAnsi="Arial"/>
                <w:sz w:val="18"/>
                <w:szCs w:val="18"/>
                <w:color w:val="auto"/>
              </w:rPr>
              <w:t>$  427,277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160,212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(Loss) as a % of net 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8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80" w:type="dxa"/>
            <w:vAlign w:val="bottom"/>
            <w:vMerge w:val="restart"/>
          </w:tcPr>
          <w:p>
            <w:pPr>
              <w:jc w:val="right"/>
              <w:ind w:right="1572"/>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The tables below describe the components of operating revenue, adjusted and awarded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281"/>
              <w:spacing w:after="0" w:line="142" w:lineRule="exact"/>
              <w:rPr>
                <w:sz w:val="20"/>
                <w:szCs w:val="20"/>
                <w:color w:val="auto"/>
              </w:rPr>
            </w:pPr>
            <w:r>
              <w:rPr>
                <w:rFonts w:ascii="Arial" w:cs="Arial" w:eastAsia="Arial" w:hAnsi="Arial"/>
                <w:sz w:val="14"/>
                <w:szCs w:val="14"/>
                <w:b w:val="1"/>
                <w:bCs w:val="1"/>
                <w:color w:val="auto"/>
                <w:w w:val="89"/>
              </w:rPr>
              <w:t>2014</w:t>
            </w: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jc w:val="center"/>
              <w:ind w:right="4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$2,353,608</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$ 2,300,447</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$ 1,985,352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Interest expense (a)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50,492</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62,051</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78,148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(15,592)</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(14,956)</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(15,115)</w:t>
            </w:r>
          </w:p>
        </w:tc>
        <w:tc>
          <w:tcPr>
            <w:tcW w:w="0" w:type="dxa"/>
            <w:vAlign w:val="bottom"/>
          </w:tcPr>
          <w:p>
            <w:pPr>
              <w:spacing w:after="0"/>
              <w:rPr>
                <w:sz w:val="1"/>
                <w:szCs w:val="1"/>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Private equity revenue adjustment (c)</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(12,203)</w:t>
            </w:r>
          </w:p>
        </w:tc>
        <w:tc>
          <w:tcPr>
            <w:tcW w:w="3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(Gains) losses on investments pertaining to LFI (d)</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(7,326)</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(14,099)</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2,380,132</w:t>
            </w: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2,340,216</w:t>
            </w:r>
          </w:p>
        </w:tc>
        <w:tc>
          <w:tcPr>
            <w:tcW w:w="4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 2,034,286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460" w:right="6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jc w:val="both"/>
        <w:ind w:left="460" w:right="60" w:hanging="452"/>
        <w:spacing w:after="0" w:line="300"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Company disposed of its private equity business in Australia in the second quarter of 2015 in a transaction with the management team of the disposed business. Revenue of $24,388 relating to the disposal of the business (which primarily represents the realization of carried interest at fair value) is adjusted for the recognition of an obligation of $12,203 with the management of the disposed business, which obligation was previously recognized for U.S. GAAP.</w:t>
      </w:r>
    </w:p>
    <w:p>
      <w:pPr>
        <w:spacing w:after="0" w:line="1" w:lineRule="exact"/>
        <w:rPr>
          <w:rFonts w:ascii="Arial" w:cs="Arial" w:eastAsia="Arial" w:hAnsi="Arial"/>
          <w:sz w:val="15"/>
          <w:szCs w:val="15"/>
          <w:color w:val="auto"/>
        </w:rPr>
      </w:pPr>
    </w:p>
    <w:p>
      <w:pPr>
        <w:ind w:left="460" w:right="640" w:hanging="452"/>
        <w:spacing w:after="0" w:line="26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6"/>
              </w:rPr>
              <w:t>Year Ended December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center"/>
              <w:ind w:left="378"/>
              <w:spacing w:after="0" w:line="142" w:lineRule="exact"/>
              <w:rPr>
                <w:sz w:val="20"/>
                <w:szCs w:val="20"/>
                <w:color w:val="auto"/>
              </w:rPr>
            </w:pPr>
            <w:r>
              <w:rPr>
                <w:rFonts w:ascii="Arial" w:cs="Arial" w:eastAsia="Arial" w:hAnsi="Arial"/>
                <w:sz w:val="14"/>
                <w:szCs w:val="14"/>
                <w:b w:val="1"/>
                <w:bCs w:val="1"/>
                <w:color w:val="auto"/>
                <w:w w:val="89"/>
              </w:rPr>
              <w:t>2014</w:t>
            </w:r>
          </w:p>
        </w:tc>
        <w:tc>
          <w:tcPr>
            <w:tcW w:w="6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Compensation and Benefits Expense: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Total compensation and benefits expense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$1,319,746</w:t>
            </w:r>
          </w:p>
        </w:tc>
        <w:tc>
          <w:tcPr>
            <w:tcW w:w="160" w:type="dxa"/>
            <w:vAlign w:val="bottom"/>
          </w:tcPr>
          <w:p>
            <w:pPr>
              <w:spacing w:after="0"/>
              <w:rPr>
                <w:sz w:val="18"/>
                <w:szCs w:val="18"/>
                <w:color w:val="auto"/>
              </w:rPr>
            </w:pPr>
          </w:p>
        </w:tc>
        <w:tc>
          <w:tcPr>
            <w:tcW w:w="1880" w:type="dxa"/>
            <w:vAlign w:val="bottom"/>
            <w:gridSpan w:val="3"/>
          </w:tcPr>
          <w:p>
            <w:pPr>
              <w:jc w:val="right"/>
              <w:ind w:right="620"/>
              <w:spacing w:after="0"/>
              <w:rPr>
                <w:sz w:val="20"/>
                <w:szCs w:val="20"/>
                <w:color w:val="auto"/>
              </w:rPr>
            </w:pPr>
            <w:r>
              <w:rPr>
                <w:rFonts w:ascii="Arial" w:cs="Arial" w:eastAsia="Arial" w:hAnsi="Arial"/>
                <w:sz w:val="18"/>
                <w:szCs w:val="18"/>
                <w:color w:val="auto"/>
              </w:rPr>
              <w:t>$1,313,606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$1,278,534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440"/>
              <w:spacing w:after="0"/>
              <w:rPr>
                <w:sz w:val="20"/>
                <w:szCs w:val="20"/>
                <w:color w:val="auto"/>
              </w:rPr>
            </w:pPr>
            <w:r>
              <w:rPr>
                <w:rFonts w:ascii="Arial" w:cs="Arial" w:eastAsia="Arial" w:hAnsi="Arial"/>
                <w:sz w:val="18"/>
                <w:szCs w:val="18"/>
                <w:color w:val="auto"/>
              </w:rPr>
              <w:t>Cost saving initiatives (a)</w:t>
            </w:r>
          </w:p>
        </w:tc>
        <w:tc>
          <w:tcPr>
            <w:tcW w:w="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(51,399)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Noncontrolling interests (b)</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(4,776)</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(4,567)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16"/>
        </w:trPr>
        <w:tc>
          <w:tcPr>
            <w:tcW w:w="7580" w:type="dxa"/>
            <w:vAlign w:val="bottom"/>
          </w:tcPr>
          <w:p>
            <w:pPr>
              <w:ind w:left="440"/>
              <w:spacing w:after="0"/>
              <w:rPr>
                <w:sz w:val="20"/>
                <w:szCs w:val="20"/>
                <w:color w:val="auto"/>
              </w:rPr>
            </w:pPr>
            <w:r>
              <w:rPr>
                <w:rFonts w:ascii="Arial" w:cs="Arial" w:eastAsia="Arial" w:hAnsi="Arial"/>
                <w:sz w:val="18"/>
                <w:szCs w:val="18"/>
                <w:color w:val="auto"/>
              </w:rPr>
              <w:t>Private equity incentive compensation (c)</w:t>
            </w:r>
          </w:p>
        </w:tc>
        <w:tc>
          <w:tcPr>
            <w:tcW w:w="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(12,203)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(Charges) credits pertaining to LFI (d)</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(7,326)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(14,099)</w:t>
            </w:r>
          </w:p>
        </w:tc>
        <w:tc>
          <w:tcPr>
            <w:tcW w:w="0" w:type="dxa"/>
            <w:vAlign w:val="bottom"/>
          </w:tcPr>
          <w:p>
            <w:pPr>
              <w:spacing w:after="0"/>
              <w:rPr>
                <w:sz w:val="1"/>
                <w:szCs w:val="1"/>
                <w:color w:val="auto"/>
              </w:rPr>
            </w:pPr>
          </w:p>
        </w:tc>
      </w:tr>
      <w:tr>
        <w:trPr>
          <w:trHeight w:val="221"/>
        </w:trPr>
        <w:tc>
          <w:tcPr>
            <w:tcW w:w="7580" w:type="dxa"/>
            <w:vAlign w:val="bottom"/>
          </w:tcPr>
          <w:p>
            <w:pPr>
              <w:spacing w:after="0"/>
              <w:rPr>
                <w:sz w:val="20"/>
                <w:szCs w:val="20"/>
                <w:color w:val="auto"/>
              </w:rPr>
            </w:pPr>
            <w:r>
              <w:rPr>
                <w:rFonts w:ascii="Arial" w:cs="Arial" w:eastAsia="Arial" w:hAnsi="Arial"/>
                <w:sz w:val="18"/>
                <w:szCs w:val="18"/>
                <w:color w:val="auto"/>
              </w:rPr>
              <w:t>Adjusted compensation and benefits expense</w:t>
            </w:r>
          </w:p>
        </w:tc>
        <w:tc>
          <w:tcPr>
            <w:tcW w:w="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1,318,797</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1,301,713</w:t>
            </w:r>
          </w:p>
        </w:tc>
        <w:tc>
          <w:tcPr>
            <w:tcW w:w="6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1,196,601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Deduct – amortization of deferred incentive compensation awards</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(320,751)</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(299,230)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(297,607)</w:t>
            </w:r>
          </w:p>
        </w:tc>
        <w:tc>
          <w:tcPr>
            <w:tcW w:w="0" w:type="dxa"/>
            <w:vAlign w:val="bottom"/>
          </w:tcPr>
          <w:p>
            <w:pPr>
              <w:spacing w:after="0"/>
              <w:rPr>
                <w:sz w:val="1"/>
                <w:szCs w:val="1"/>
                <w:color w:val="auto"/>
              </w:rPr>
            </w:pPr>
          </w:p>
        </w:tc>
      </w:tr>
      <w:tr>
        <w:trPr>
          <w:trHeight w:val="221"/>
        </w:trPr>
        <w:tc>
          <w:tcPr>
            <w:tcW w:w="7580" w:type="dxa"/>
            <w:vAlign w:val="bottom"/>
          </w:tcPr>
          <w:p>
            <w:pPr>
              <w:spacing w:after="0"/>
              <w:rPr>
                <w:sz w:val="20"/>
                <w:szCs w:val="20"/>
                <w:color w:val="auto"/>
              </w:rPr>
            </w:pPr>
            <w:r>
              <w:rPr>
                <w:rFonts w:ascii="Arial" w:cs="Arial" w:eastAsia="Arial" w:hAnsi="Arial"/>
                <w:sz w:val="18"/>
                <w:szCs w:val="18"/>
                <w:color w:val="auto"/>
              </w:rPr>
              <w:t>Total adjusted cash compensation and benefits expense (e)</w:t>
            </w:r>
          </w:p>
        </w:tc>
        <w:tc>
          <w:tcPr>
            <w:tcW w:w="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998,046</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1,002,483</w:t>
            </w:r>
          </w:p>
        </w:tc>
        <w:tc>
          <w:tcPr>
            <w:tcW w:w="6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898,994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440"/>
              <w:spacing w:after="0"/>
              <w:rPr>
                <w:sz w:val="20"/>
                <w:szCs w:val="20"/>
                <w:color w:val="auto"/>
              </w:rPr>
            </w:pPr>
            <w:r>
              <w:rPr>
                <w:rFonts w:ascii="Arial" w:cs="Arial" w:eastAsia="Arial" w:hAnsi="Arial"/>
                <w:sz w:val="18"/>
                <w:szCs w:val="18"/>
                <w:color w:val="auto"/>
              </w:rPr>
              <w:t>Year-end deferred incentive compensation awards (f)</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336,086</w:t>
            </w:r>
          </w:p>
        </w:tc>
        <w:tc>
          <w:tcPr>
            <w:tcW w:w="160" w:type="dxa"/>
            <w:vAlign w:val="bottom"/>
          </w:tcPr>
          <w:p>
            <w:pPr>
              <w:spacing w:after="0"/>
              <w:rPr>
                <w:sz w:val="18"/>
                <w:szCs w:val="18"/>
                <w:color w:val="auto"/>
              </w:rPr>
            </w:pPr>
          </w:p>
        </w:tc>
        <w:tc>
          <w:tcPr>
            <w:tcW w:w="1880" w:type="dxa"/>
            <w:vAlign w:val="bottom"/>
            <w:gridSpan w:val="3"/>
          </w:tcPr>
          <w:p>
            <w:pPr>
              <w:jc w:val="right"/>
              <w:ind w:right="620"/>
              <w:spacing w:after="0"/>
              <w:rPr>
                <w:sz w:val="20"/>
                <w:szCs w:val="20"/>
                <w:color w:val="auto"/>
              </w:rPr>
            </w:pPr>
            <w:r>
              <w:rPr>
                <w:rFonts w:ascii="Arial" w:cs="Arial" w:eastAsia="Arial" w:hAnsi="Arial"/>
                <w:sz w:val="18"/>
                <w:szCs w:val="18"/>
                <w:color w:val="auto"/>
              </w:rPr>
              <w:t>325,210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291,007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Sign-on and other special incentive awards (g)</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26,398</w:t>
            </w:r>
          </w:p>
        </w:tc>
        <w:tc>
          <w:tcPr>
            <w:tcW w:w="1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14,248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22,107</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Deduct – adjustment for estimated forfeitures (h)</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(27,186)</w:t>
            </w:r>
          </w:p>
        </w:tc>
        <w:tc>
          <w:tcPr>
            <w:tcW w:w="1880" w:type="dxa"/>
            <w:vAlign w:val="bottom"/>
            <w:gridSpan w:val="3"/>
          </w:tcPr>
          <w:p>
            <w:pPr>
              <w:jc w:val="right"/>
              <w:ind w:right="560"/>
              <w:spacing w:after="0"/>
              <w:rPr>
                <w:sz w:val="20"/>
                <w:szCs w:val="20"/>
                <w:color w:val="auto"/>
              </w:rPr>
            </w:pPr>
            <w:r>
              <w:rPr>
                <w:rFonts w:ascii="Arial" w:cs="Arial" w:eastAsia="Arial" w:hAnsi="Arial"/>
                <w:sz w:val="18"/>
                <w:szCs w:val="18"/>
                <w:color w:val="auto"/>
              </w:rPr>
              <w:t>(25,459)</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(27,270)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 (i)</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(11,172)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Awarded compensation and benefits expense</w:t>
            </w: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1,329,112</w:t>
            </w:r>
          </w:p>
        </w:tc>
        <w:tc>
          <w:tcPr>
            <w:tcW w:w="160" w:type="dxa"/>
            <w:vAlign w:val="bottom"/>
          </w:tcPr>
          <w:p>
            <w:pPr>
              <w:spacing w:after="0"/>
              <w:rPr>
                <w:sz w:val="19"/>
                <w:szCs w:val="19"/>
                <w:color w:val="auto"/>
              </w:rPr>
            </w:pPr>
          </w:p>
        </w:tc>
        <w:tc>
          <w:tcPr>
            <w:tcW w:w="1880" w:type="dxa"/>
            <w:vAlign w:val="bottom"/>
            <w:gridSpan w:val="3"/>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1,305,310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1,186,746</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 a % of operating revenue</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55.4%</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Awarded compensation and benefits expense,</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8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80" w:type="dxa"/>
            <w:vAlign w:val="bottom"/>
            <w:gridSpan w:val="2"/>
          </w:tcPr>
          <w:p>
            <w:pPr>
              <w:ind w:left="220"/>
              <w:spacing w:after="0"/>
              <w:rPr>
                <w:sz w:val="20"/>
                <w:szCs w:val="20"/>
                <w:color w:val="auto"/>
              </w:rPr>
            </w:pPr>
            <w:r>
              <w:rPr>
                <w:rFonts w:ascii="Arial" w:cs="Arial" w:eastAsia="Arial" w:hAnsi="Arial"/>
                <w:sz w:val="18"/>
                <w:szCs w:val="18"/>
                <w:color w:val="auto"/>
              </w:rPr>
              <w:t>as a % of operating revenue</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55.8%</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55.8%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53"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expenses related to the cost saving initiatives for (i) severance costs and benefit payments; (ii) the acceleration of unrecognized amortization expense of deferred incentive compensation previously granted to individuals whose employment with Lazard has been terminated; and (iii) the settlement of certain contractual obligations.</w:t>
      </w: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Lazard has no economic interest in such amounts.</w:t>
      </w:r>
    </w:p>
    <w:p>
      <w:pPr>
        <w:spacing w:after="0" w:line="32" w:lineRule="exact"/>
        <w:rPr>
          <w:rFonts w:ascii="Arial" w:cs="Arial" w:eastAsia="Arial" w:hAnsi="Arial"/>
          <w:sz w:val="16"/>
          <w:szCs w:val="16"/>
          <w:color w:val="auto"/>
        </w:rPr>
      </w:pPr>
    </w:p>
    <w:p>
      <w:pPr>
        <w:ind w:left="460" w:right="24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Incentive compensation expense pertaining to private equity transactions for which revenue may be recognized in the future is excluded in order to more closely align the timing of the recognition of such expense to the timing of the recognition of the related revenue.</w:t>
      </w:r>
    </w:p>
    <w:p>
      <w:pPr>
        <w:spacing w:after="0" w:line="1"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ind w:left="460" w:right="62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base salaries and benefits of $584,098, $569,596 and $530,454 for 2015, 2014 and 2013, respectively, and cash incentive compensation of $413,948, $432,887 and $368,540 for the respective years.</w:t>
      </w:r>
    </w:p>
    <w:p>
      <w:pPr>
        <w:ind w:left="460" w:right="6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Deferred incentive compensation awards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deferred incentive compensation awards granted in 2016, 2015 and 2014 related to the 2015, 2014 and 2013 year-end compensation processes, respectively).</w:t>
      </w:r>
    </w:p>
    <w:p>
      <w:pPr>
        <w:spacing w:after="0" w:line="1"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deferred incentive compensation awards that are granted outside the year-end compensation process, and includes grants to new hires, retention awards and performance units earned under PRSU grants.</w:t>
      </w:r>
    </w:p>
    <w:p>
      <w:pPr>
        <w:ind w:left="460" w:right="2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estimate, based on historical experience and future expectations, for future forfeitures of the deferred portion of such awards in order to present awarded compensation and benefits expense on a similar basis to that under U.S. GAAP, which also considers estimated forfeitures.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an adjustment to the year-end foreign exchange “spot” rate from the full year average rate for year-end incentive compensation awards.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180" w:type="dxa"/>
            <w:vAlign w:val="bottom"/>
            <w:tcBorders>
              <w:bottom w:val="single" w:sz="8" w:color="auto"/>
            </w:tcBorders>
            <w:gridSpan w:val="6"/>
          </w:tcPr>
          <w:p>
            <w:pPr>
              <w:jc w:val="center"/>
              <w:ind w:left="597"/>
              <w:spacing w:after="0"/>
              <w:rPr>
                <w:sz w:val="20"/>
                <w:szCs w:val="20"/>
                <w:color w:val="auto"/>
              </w:rPr>
            </w:pPr>
            <w:r>
              <w:rPr>
                <w:rFonts w:ascii="Arial" w:cs="Arial" w:eastAsia="Arial" w:hAnsi="Arial"/>
                <w:sz w:val="14"/>
                <w:szCs w:val="14"/>
                <w:b w:val="1"/>
                <w:bCs w:val="1"/>
                <w:color w:val="auto"/>
                <w:w w:val="87"/>
              </w:rPr>
              <w:t>Year Ended December 31,</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left="40"/>
              <w:spacing w:after="0" w:line="142" w:lineRule="exact"/>
              <w:rPr>
                <w:sz w:val="20"/>
                <w:szCs w:val="20"/>
                <w:color w:val="auto"/>
              </w:rPr>
            </w:pPr>
            <w:r>
              <w:rPr>
                <w:rFonts w:ascii="Arial" w:cs="Arial" w:eastAsia="Arial" w:hAnsi="Arial"/>
                <w:sz w:val="14"/>
                <w:szCs w:val="14"/>
                <w:b w:val="1"/>
                <w:bCs w:val="1"/>
                <w:color w:val="auto"/>
                <w:w w:val="83"/>
              </w:rPr>
              <w:t>2014</w:t>
            </w: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center"/>
              <w:ind w:right="24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$496,970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$442,682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$478,648</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(1,490)</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(1,913)</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pertaining to senior debt refinancing (b)</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(60,219)</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(54,087)</w:t>
            </w:r>
          </w:p>
        </w:tc>
        <w:tc>
          <w:tcPr>
            <w:tcW w:w="0" w:type="dxa"/>
            <w:vAlign w:val="bottom"/>
          </w:tcPr>
          <w:p>
            <w:pPr>
              <w:spacing w:after="0"/>
              <w:rPr>
                <w:sz w:val="1"/>
                <w:szCs w:val="1"/>
                <w:color w:val="auto"/>
              </w:rPr>
            </w:pPr>
          </w:p>
        </w:tc>
      </w:tr>
      <w:tr>
        <w:trPr>
          <w:trHeight w:val="216"/>
        </w:trPr>
        <w:tc>
          <w:tcPr>
            <w:tcW w:w="8440" w:type="dxa"/>
            <w:vAlign w:val="bottom"/>
            <w:gridSpan w:val="2"/>
          </w:tcPr>
          <w:p>
            <w:pPr>
              <w:ind w:left="440"/>
              <w:spacing w:after="0"/>
              <w:rPr>
                <w:sz w:val="20"/>
                <w:szCs w:val="20"/>
                <w:color w:val="auto"/>
              </w:rPr>
            </w:pPr>
            <w:r>
              <w:rPr>
                <w:rFonts w:ascii="Arial" w:cs="Arial" w:eastAsia="Arial" w:hAnsi="Arial"/>
                <w:sz w:val="18"/>
                <w:szCs w:val="18"/>
                <w:color w:val="auto"/>
              </w:rPr>
              <w:t>Expense related to partial extinguishment of tax receivable obligation</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saving initiatives (c)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(13,304)</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w:t>
            </w: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4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$434,147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$440,769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$409,264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38" w:lineRule="exact"/>
        <w:rPr>
          <w:rFonts w:ascii="Arial" w:cs="Arial" w:eastAsia="Arial" w:hAnsi="Arial"/>
          <w:sz w:val="16"/>
          <w:szCs w:val="16"/>
          <w:color w:val="auto"/>
        </w:rPr>
      </w:pPr>
    </w:p>
    <w:p>
      <w:pPr>
        <w:ind w:left="460" w:right="28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Charges pertaining to (i) the redemption of a significant portion of the Company’s 2017 Notes in 2015 and (ii) the refinancing of the 2015 Notes and the issuance of the 2020 Notes in 2013 are excluded because of the non-operating nature of such transactions. See “—Liquidity and Capital Resources— Financing Activities.”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expenses related to the cost saving initiatives for occupancy cost reduction and other non-compensation related costs.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10"/>
          </w:tcPr>
          <w:p>
            <w:pPr>
              <w:jc w:val="center"/>
              <w:ind w:right="320"/>
              <w:spacing w:after="0"/>
              <w:rPr>
                <w:sz w:val="20"/>
                <w:szCs w:val="20"/>
                <w:color w:val="auto"/>
              </w:rPr>
            </w:pPr>
            <w:r>
              <w:rPr>
                <w:rFonts w:ascii="Arial" w:cs="Arial" w:eastAsia="Arial" w:hAnsi="Arial"/>
                <w:sz w:val="14"/>
                <w:szCs w:val="14"/>
                <w:b w:val="1"/>
                <w:bCs w:val="1"/>
                <w:color w:val="auto"/>
                <w:w w:val="87"/>
              </w:rPr>
              <w:t>Year Ended December 31,</w:t>
            </w: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7"/>
          </w:tcPr>
          <w:p>
            <w:pPr>
              <w:jc w:val="center"/>
              <w:ind w:right="10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revenue</w:t>
            </w:r>
          </w:p>
        </w:tc>
        <w:tc>
          <w:tcPr>
            <w:tcW w:w="2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2,380,132</w:t>
            </w: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$ 2,340,216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w w:val="94"/>
              </w:rPr>
              <w:t>2,034,286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(1,318,797)</w:t>
            </w:r>
          </w:p>
        </w:tc>
        <w:tc>
          <w:tcPr>
            <w:tcW w:w="1440" w:type="dxa"/>
            <w:vAlign w:val="bottom"/>
            <w:gridSpan w:val="7"/>
          </w:tcPr>
          <w:p>
            <w:pPr>
              <w:jc w:val="right"/>
              <w:ind w:right="220"/>
              <w:spacing w:after="0"/>
              <w:rPr>
                <w:sz w:val="20"/>
                <w:szCs w:val="20"/>
                <w:color w:val="auto"/>
              </w:rPr>
            </w:pPr>
            <w:r>
              <w:rPr>
                <w:rFonts w:ascii="Arial" w:cs="Arial" w:eastAsia="Arial" w:hAnsi="Arial"/>
                <w:sz w:val="18"/>
                <w:szCs w:val="18"/>
                <w:color w:val="auto"/>
              </w:rPr>
              <w:t>(1,301,713)</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w w:val="89"/>
              </w:rPr>
              <w:t>(1,196,601)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(434,147)</w:t>
            </w:r>
          </w:p>
        </w:tc>
        <w:tc>
          <w:tcPr>
            <w:tcW w:w="1440" w:type="dxa"/>
            <w:vAlign w:val="bottom"/>
            <w:gridSpan w:val="7"/>
            <w:shd w:val="clear" w:color="auto" w:fill="CCEEFF"/>
          </w:tcPr>
          <w:p>
            <w:pPr>
              <w:jc w:val="right"/>
              <w:ind w:right="220"/>
              <w:spacing w:after="0"/>
              <w:rPr>
                <w:sz w:val="20"/>
                <w:szCs w:val="20"/>
                <w:color w:val="auto"/>
              </w:rPr>
            </w:pPr>
            <w:r>
              <w:rPr>
                <w:rFonts w:ascii="Arial" w:cs="Arial" w:eastAsia="Arial" w:hAnsi="Arial"/>
                <w:sz w:val="18"/>
                <w:szCs w:val="18"/>
                <w:color w:val="auto"/>
              </w:rPr>
              <w:t>(440,769)</w:t>
            </w: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(409,264)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Earnings from operations</w:t>
            </w:r>
          </w:p>
        </w:tc>
        <w:tc>
          <w:tcPr>
            <w:tcW w:w="2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vMerge w:val="continue"/>
          </w:tcPr>
          <w:p>
            <w:pPr>
              <w:spacing w:after="0"/>
              <w:rPr>
                <w:sz w:val="19"/>
                <w:szCs w:val="19"/>
                <w:color w:val="auto"/>
              </w:rPr>
            </w:pPr>
          </w:p>
        </w:tc>
        <w:tc>
          <w:tcPr>
            <w:tcW w:w="2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627,188</w:t>
            </w: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   597,734</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rPr>
              <w:t>428,421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144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460"/>
              <w:spacing w:after="0"/>
              <w:rPr>
                <w:sz w:val="20"/>
                <w:szCs w:val="20"/>
                <w:color w:val="auto"/>
              </w:rPr>
            </w:pPr>
            <w:r>
              <w:rPr>
                <w:rFonts w:ascii="Arial" w:cs="Arial" w:eastAsia="Arial" w:hAnsi="Arial"/>
                <w:sz w:val="18"/>
                <w:szCs w:val="18"/>
                <w:color w:val="auto"/>
              </w:rPr>
              <w:t>Headcount information is set forth below:</w:t>
            </w: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740" w:type="dxa"/>
            <w:vAlign w:val="bottom"/>
            <w:vMerge w:val="continue"/>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4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10"/>
          </w:tcPr>
          <w:p>
            <w:pPr>
              <w:jc w:val="right"/>
              <w:ind w:right="700"/>
              <w:spacing w:after="0"/>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142"/>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92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40" w:type="dxa"/>
            <w:vAlign w:val="bottom"/>
            <w:vMerge w:val="continue"/>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980" w:type="dxa"/>
            <w:vAlign w:val="bottom"/>
            <w:gridSpan w:val="5"/>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440"/>
              <w:spacing w:after="0"/>
              <w:rPr>
                <w:sz w:val="20"/>
                <w:szCs w:val="20"/>
                <w:color w:val="auto"/>
              </w:rPr>
            </w:pPr>
            <w:r>
              <w:rPr>
                <w:rFonts w:ascii="Arial" w:cs="Arial" w:eastAsia="Arial" w:hAnsi="Arial"/>
                <w:sz w:val="18"/>
                <w:szCs w:val="18"/>
                <w:color w:val="auto"/>
              </w:rPr>
              <w:t>Total Managing Directors</w:t>
            </w: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40" w:type="dxa"/>
            <w:vAlign w:val="bottom"/>
            <w:vMerge w:val="continue"/>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18"/>
                <w:szCs w:val="18"/>
                <w:color w:val="auto"/>
              </w:rPr>
            </w:pPr>
          </w:p>
        </w:tc>
        <w:tc>
          <w:tcPr>
            <w:tcW w:w="980" w:type="dxa"/>
            <w:vAlign w:val="bottom"/>
            <w:gridSpan w:val="5"/>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1,173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1,139</w:t>
            </w:r>
          </w:p>
        </w:tc>
        <w:tc>
          <w:tcPr>
            <w:tcW w:w="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1,190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1,148</w:t>
            </w:r>
          </w:p>
        </w:tc>
        <w:tc>
          <w:tcPr>
            <w:tcW w:w="60" w:type="dxa"/>
            <w:vAlign w:val="bottom"/>
          </w:tcPr>
          <w:p>
            <w:pPr>
              <w:spacing w:after="0"/>
              <w:rPr>
                <w:sz w:val="18"/>
                <w:szCs w:val="18"/>
                <w:color w:val="auto"/>
              </w:rPr>
            </w:pPr>
          </w:p>
        </w:tc>
        <w:tc>
          <w:tcPr>
            <w:tcW w:w="980" w:type="dxa"/>
            <w:vAlign w:val="bottom"/>
            <w:gridSpan w:val="5"/>
          </w:tcPr>
          <w:p>
            <w:pPr>
              <w:jc w:val="right"/>
              <w:ind w:right="6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2,610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2,523</w:t>
            </w:r>
          </w:p>
        </w:tc>
        <w:tc>
          <w:tcPr>
            <w:tcW w:w="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580" w:type="dxa"/>
            <w:vAlign w:val="bottom"/>
            <w:vMerge w:val="restart"/>
          </w:tcPr>
          <w:p>
            <w:pPr>
              <w:jc w:val="right"/>
              <w:ind w:right="14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December 31, 2014</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of $986 million, as compared to net income of $427 million in 2014. The changes in the Company’s operating results during these years are described below.</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Net revenue increased $53 million, or 2%, with operating revenue increasing $40 million, or 2%, as compared to 2014. Fee revenue from investment banking and other advisory activities increased $75 million, or 6%, primarily due to increases in M&amp;A and Other Advisory fees. The increase in M&amp;A and Other Advisory fee revenue was primarily due to an increase in the average transaction fee with respect to completed transactions involving fees greater than $1 million as compared to 2014. Asset management fees, including incentive fees, decreased $44 million, or 4%, as compared to 2014, due to a decrease in management fees from slightly lower average AUM, a slight change in the mix of assets and a decrease in incentive fees relating to traditional investment products. In the aggregate, interest income, other revenue and interest expense increased $23 million as compared to 2014, primarily due to a $24 million gain on the disposal of the Company’s Australian private equity business (which primarily related to the realization of carried interest at fair value), partially offset by lower investment gains from LFI. Interest expense was lower due to the refinancing of the 2017 Notes.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Compensation and benefits expense increased $6 million as compared to 2014, primarily driven by an increase in operating revenue.</w:t>
      </w:r>
    </w:p>
    <w:p>
      <w:pPr>
        <w:spacing w:after="0" w:line="17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years, as described above) was $1.319 billion, an increase of $17 million, or 1%, as compared to $1.302 billion in 2014. The ratio of adjusted compensation and benefits expense to operating revenue was 55.4% for the 2015 period, as compared to 55.6% for the 2014 period. Awarded compensation and benefits expense in 2015 was $1.329 billion, an increase of $24 million, or 2%, when compared to $1.305 billion in 2014. The ratio of awarded compensation and benefits expense to operating revenue was 55.8% for 2015 and 2014. The year-end deferred incentive compensation awarded for 2015 was $336 million, representing an $11 million, or 3%, increase compared to 2014. As described above, when analyzing compensation and benefits expense on a full-year basis, we believe that awarded compensation and benefits expense provides the most meaningful basis for comparison of compensation and benefits expense between present, historical and future years.</w:t>
      </w:r>
    </w:p>
    <w:p>
      <w:pPr>
        <w:spacing w:after="0" w:line="14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Non-compensation expense increased $54 million, or 12%, as compared to 2014, primarily due to a charge of $60 million related to the redemption of a significant portion of the Company’s 2017 Notes. Adjusted non-compensation expense, which excludes such charge, as well as non-compensation costs relating to noncontrolling interests, decreased $7 million, or 2%, as compared to 2014. The ratio of adjusted non-compensation expense to operating revenue was 18.2%, as compared to 18.8% in 2014.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2014.</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a result of the possible utilization of certain deferred tax assets that are subject to the tax receivable agreement, including the impact of the partial extinguishment of our tax receivable agreement obligation in the third quarter of 2015, the provision pursuant to the tax receivable agreement was $548 million in 2015, as compared to $18 million in 2014 (see Note 17 of Notes to Consolidated Financial Statements for additional information).</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Operating income, which included the charge relating to the redemption of a significant portion of the Company’s 2017 Notes, as well as the impact of the provision pursuant to the tax receivable agreement described above, decreased $536 million as compared to 2014.</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Earnings from operations, which exclude the charge related to the redemption of a significant portion of the Company’s 2017 Notes, as well as the impact of the provision pursuant to the tax receivable agreement described above, increased $29 million, or 5%, as compared to 2014, and, as a percentage of operating revenue, was 26.4%, as compared to 25.5% in 2014.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provision for income taxes reflects an effective tax rate of 6,074.3%, as compared to 16.4% for 2014. The increase in the effective tax rate in 2015 as compared to 2014 was primarily driven by (i) the negative impact on “operating income (loss)” as a result of the provision pursuant to the tax receivable agreement described above, and (ii) the provision (benefit) for income taxes, which was impacted by the recognition of deferred tax assets of $1,255 million and deferred tax expense of approximately $161 million relating to the partial extinguishment of the tax receivable agreement obligation in the third quarter. See Note 17 of Notes to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versus December 31, 2013</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of $427 million, as compared to net income of $160 million in 2013. The changes in the Company’s operating results during these years are described below.</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Net revenue increased $315 million, or 16%, with operating revenue increasing $306 million, or 15%, as compared to 2013. Fee revenue from investment banking and other advisory activities increased $229 million, or 24%, primarily due to increases in M&amp;A and Other Advisory fees. The increase in M&amp;A and Other Advisory fee revenue was primarily due to an increase in the number of, and average transaction fee with respect to, completed transactions involving fees greater than $1 million as compared to 2013. Asset management fees, including incentive fees, increased $86 million, or 9%, principally reflecting a $22 billion, or 13%, increase in average AUM as compared to 2013. In the aggregate, interest income, other revenue and interest expense was substantially flat as compared to 2013.</w:t>
      </w:r>
    </w:p>
    <w:p>
      <w:pPr>
        <w:spacing w:after="0" w:line="14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Compensation and benefits expense increased $35 million, or 3%, as compared to 2013 (which included a $51 million charge related to the cost saving initiatives and a $12 million charge related to private equity incentive compensation), primarily driven by an increase in discretionary compensation associated with increased operating revenue.</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years, as described above) was $1.302 billion, an increase of $105 million, or 9%, as compared to $1.197 billion in 2013, primarily driven by an increase in discretionary compensation associated with increased operating revenue. The ratio of adjusted compensation and benefits expense to operating revenue was 55.6% for 2014, as compared to 58.8% for 2013. Awarded compensation and benefits expense in 2014 was $1.305 billion, an increase of $119 million, or 10%, when compared to $1.187 billion in 2013. The ratio of awarded compensation and benefits expense to operating revenue was 55.8% for 2014, as compared to 58.3% for 2013. The year-end deferred incentive compensation awarded for 2014 was $325 million, representing a $34 million, or 12%, increase compared to 2013. As described above, when analyzing compensation and benefits expense on a full-year basis, we believe that awarded compensation and benefits expense provides the most meaningful basis for comparison of compensation and benefits expense between present, historical and future years.</w:t>
      </w:r>
    </w:p>
    <w:p>
      <w:pPr>
        <w:spacing w:after="0" w:line="118" w:lineRule="exact"/>
        <w:rPr>
          <w:sz w:val="20"/>
          <w:szCs w:val="20"/>
          <w:color w:val="auto"/>
        </w:rPr>
      </w:pPr>
    </w:p>
    <w:p>
      <w:pPr>
        <w:ind w:right="480" w:firstLine="456"/>
        <w:spacing w:after="0" w:line="294" w:lineRule="auto"/>
        <w:rPr>
          <w:sz w:val="20"/>
          <w:szCs w:val="20"/>
          <w:color w:val="auto"/>
        </w:rPr>
      </w:pPr>
      <w:r>
        <w:rPr>
          <w:rFonts w:ascii="Arial" w:cs="Arial" w:eastAsia="Arial" w:hAnsi="Arial"/>
          <w:sz w:val="16"/>
          <w:szCs w:val="16"/>
          <w:color w:val="auto"/>
        </w:rPr>
        <w:t>Non-compensation expense decreased $36 million, or 8%, as compared to 2013 (which included a charge of $13 million related to the cost saving initiatives and $54 million related to the financing of the 2015 Notes and the issuance of the 2020 Notes). When excluding such charges, as well as non-compensation costs relating to noncontrolling interests, adjusted non-compensation expense increased $32 million, or 8%, as compared to 2013, primarily reflecting increased business activity, investment in our businesses and the net impact of various one-time items recorded in 2014 and in 2013. The ratio of adjusted non-compensation expense to operating revenue was 18.8%, as compared to 20.1% in 2013.</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decreased $4 million as compared to 2013.</w:t>
      </w:r>
    </w:p>
    <w:p>
      <w:pPr>
        <w:spacing w:after="0" w:line="171"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provision pursuant to the tax receivable agreement in 2014 was $18 million, an increase of $17 million from 2013 (see Note 17 of Notes to Consolidated Financial Statements for additional information).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Operating income increased $303 million as compared to 2013 (which included charges relating to the cost saving initiatives, private equity incentive compensation and the refinancing of the 2015 Notes of $64 million, $12 million and $54 million, respectively).</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Earnings from operations increased $169 million, or 40%, as compared to 2013, and, as a percentage of operating revenue, was 25.5%, as compared to 21.1% in 2013.</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provision for income taxes reflects an effective tax rate of 16.4%, as compared to 23.8% for 2013. The decrease in the effective tax rate primarily reflects the change in the geographic mix of earnings and the increased utilization of net operating loss carryforwards and other attributes (see Note 17 of Notes to Consolidated Financial Statements for additional information).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increased $2 million as compared to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3"/>
          </w:tcPr>
          <w:p>
            <w:pPr>
              <w:jc w:val="right"/>
              <w:ind w:right="620"/>
              <w:spacing w:after="0" w:line="155"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1,104,146</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$1,010,830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768,790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Capital Raising</w:t>
            </w: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69,631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81,143</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1,173,777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1,091,973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847,706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105,851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114,761</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2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1,279,628</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1,206,734</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980,577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1,005,837</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977,681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959,668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273,791</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229,053</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2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gridSpan w:val="3"/>
            <w:vMerge w:val="continue"/>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1860" w:type="dxa"/>
            <w:vAlign w:val="bottom"/>
            <w:gridSpan w:val="3"/>
          </w:tcPr>
          <w:p>
            <w:pPr>
              <w:jc w:val="right"/>
              <w:ind w:right="48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2013, includes $47,779 associated with the implementation of the cost saving initiatives.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M&amp;A and Other Advisory revenue, which includes Sovereign and Capital Structure Advisory revenue, increased 7% in 2015 as compared to 2014. In contrast, the industry statistics for global M&amp;A transactions described above reflect a 29% increase in the value, and a 9% decrease in the number, of all completed transactions in 2015 as compared to 2014. For M&amp;A deals with values greater than $500 million, the value and number of completed transactions in 2015 increased 41% and 7%, respectively, as compared to 2014.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0"/>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04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1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2014</w:t>
            </w:r>
          </w:p>
        </w:tc>
        <w:tc>
          <w:tcPr>
            <w:tcW w:w="78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r>
      <w:tr>
        <w:trPr>
          <w:trHeight w:val="196"/>
        </w:trPr>
        <w:tc>
          <w:tcPr>
            <w:tcW w:w="8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w:t>
            </w: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223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7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 (a)</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$500 million (b)</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7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 individual client constituted more than 10% of our Financial Advisory segment net revenue in the years ended December 31, 2015, 2014 or 2013.</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Dealogic as of January 8, 2016.</w:t>
      </w:r>
    </w:p>
    <w:p>
      <w:pPr>
        <w:spacing w:after="0" w:line="165"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0"/>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0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Europe</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7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1900" w:type="dxa"/>
            <w:vAlign w:val="bottom"/>
            <w:gridSpan w:val="3"/>
          </w:tcPr>
          <w:p>
            <w:pPr>
              <w:jc w:val="right"/>
              <w:ind w:right="64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December 31, 2014</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Financial Advisory net revenue increased $73 million, or 6%, as compared to 2014. Total Strategic Advisory net revenue, representing fees from our M&amp;A and Other Advisory and Capital Raising businesses, increased $82 million, or 7%, and Restructuring revenue decreased $9 million, or 8%, as compared to 2014.</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M&amp;A and Other Advisory revenue increased $93 million, or 9%, while Capital Raising revenue decreased $12 million, or 14%, as compared to 2014. The increase in M&amp;A and Other Advisory revenue was primarily due to an increase in the average transaction fee with respect to completed transactions involving fees greater than $1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million as compared to 2014. Our major clients, which in the aggregate represented a significant portion of our M&amp;A and Other Advisory revenue in 2015, included AT&amp;T, D.E. Master Blenders 1753, General Electric Company, GlaxoSmithKline, Heinz, Pfizer, Reynolds American, RockTenn, Rockwood, Toll Holdings, UCB and Ukraine Ministry of Finance.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Restructuring revenue in 2015 was generally in line with the continued industry-wide low level of corporate restructuring activity. Our major clients, which in the aggregate represented a significant portion of our Restructuring revenue in 2015, included Chassix, Dendreon, Hercules Offshore, Millennium Health and RadioShack.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expenses increased $28 million, or 3%, as compared to 2014, primarily due to an increase in compensation and benefits expense.</w:t>
      </w:r>
    </w:p>
    <w:p>
      <w:pPr>
        <w:spacing w:after="0" w:line="19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Financial Advisory operating income was $274 million, an increase of $45 million, or 20%, as compared to operating income of $229 million in 2014 and, as a percentage of net revenue, was 21.4%, as compared to 19.0% in 2014.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versus December 31, 2013</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our M&amp;A and Other Advisory and Capital Raising businesses, increased $244 million, or 29%, and Restructuring revenue decreased $18 million, or 14%, as compared to 2013.</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M&amp;A and Other Advisory revenue increased $242 million, or 31%, while Capital Raising revenue increased by $2 million, or 3%, as compared to 2013. The increase in M&amp;A and Other Advisory revenue was primarily due to an increase in the number of, and average transaction fee with respect to, completed transactions involving fees greater than $1 million as compared to 2013. Our major clients, which in the aggregate represented a significant portion of our M&amp;A and Other Advisory revenue in 2014, included Alliance Bank, Burger King, Cadence Pharmaceuticals, Google, Leap Wireless International, L’Oreal, Rockwood, Shire, TIAA-CREF and Vivendi.</w:t>
      </w:r>
    </w:p>
    <w:p>
      <w:pPr>
        <w:spacing w:after="0" w:line="14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decrease in Restructuring revenue in 2014 was generally in line with the continued industry-wide low level of corporate restructuring activity. Our major clients, which in the aggregate represented a significant portion of our Restructuring revenue for the 2014 period, included Associated Wholesalers, Cengage Learning, Official Committee of Retirees of the City of Detroit, USEC and Vivarte.</w:t>
      </w:r>
    </w:p>
    <w:p>
      <w:pPr>
        <w:spacing w:after="0" w:line="14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Operating expenses increased $18 million, or 2%, as compared to 2013 (which included a $47 million charge related to the cost saving initiatives). Excluding such charge, operating expenses increased $65 million, or 7%, primarily due to an increase in (i) compensation and benefits expense related to an increase in discretionary compensation associated with increased operating revenue and (ii) an increase in non-compensation expense reflecting increased business activity.</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Financial Advisory operating income was $229 million, an increase of $208 million as compared to operating income of $21 million in 2013 (which included the impact of the $47 million charge related to the cost saving initiatives) and, as a percentage of net revenue, was 19.0%, as compared to 2.1% in 2013, or 7% of net revenue in 2013 excluding such charges.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following table shows the composition of AUM for the Asset Management segment (see Item 1. “Business—Principal Business Lines—Asset Management—Investment Strategies”):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89"/>
              </w:rPr>
              <w:t>As of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56"/>
        </w:trPr>
        <w:tc>
          <w:tcPr>
            <w:tcW w:w="8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 by Asset Class: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48,459</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47,450</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Global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33,982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35,521</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31,232</w:t>
            </w: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46,787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39,859</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151,495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160,912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154,062</w:t>
            </w:r>
          </w:p>
        </w:tc>
      </w:tr>
      <w:tr>
        <w:trPr>
          <w:trHeight w:val="222"/>
        </w:trPr>
        <w:tc>
          <w:tcPr>
            <w:tcW w:w="854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9,048</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Global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3,164</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3,507</w:t>
            </w: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11,155</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26,874</w:t>
            </w:r>
          </w:p>
        </w:tc>
        <w:tc>
          <w:tcPr>
            <w:tcW w:w="100" w:type="dxa"/>
            <w:vAlign w:val="bottom"/>
            <w:shd w:val="clear" w:color="auto" w:fill="CCEEFF"/>
          </w:tcPr>
          <w:p>
            <w:pPr>
              <w:spacing w:after="0"/>
              <w:rPr>
                <w:sz w:val="18"/>
                <w:szCs w:val="18"/>
                <w:color w:val="auto"/>
              </w:rPr>
            </w:pPr>
          </w:p>
        </w:tc>
      </w:tr>
      <w:tr>
        <w:trPr>
          <w:trHeight w:val="221"/>
        </w:trPr>
        <w:tc>
          <w:tcPr>
            <w:tcW w:w="854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3,799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4,690</w:t>
            </w:r>
          </w:p>
        </w:tc>
      </w:tr>
      <w:tr>
        <w:trPr>
          <w:trHeight w:val="218"/>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w:t>
            </w: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186,380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197,103</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186,924</w:t>
            </w:r>
          </w:p>
        </w:tc>
      </w:tr>
      <w:tr>
        <w:trPr>
          <w:trHeight w:val="20"/>
        </w:trPr>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Total AUM at December 31, 2015 was $186 billion, a decrease of $11 billion, or 5%, as compared to total AUM of $197 billion at December 31, 2014, primarily due to adverse foreign exchange movements, partially offset by net inflows and market appreciation. Average AUM for the year ended December 31, 2015 was substantially unchanged as compared to 2014.</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of December 31, 2015, approximately 89% of our AUM was managed on behalf of institutional clients, including corporations, labor unions, public pension funds, insurance companies and banks, and through sub-advisory relationships, mutual fund sponsors, broker-dealers and registered advisors, compared to approximately 90% as of December 31, 2014, and, as of December 31, 2015, approximately 11% of our AUM was managed on behalf of individual client relationships, which are principally with family offices and individuals, compared to approximately 10% at December 31, 2014.</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2015, AUM with foreign currency exposure represented approximately 72% of our total AUM, as compared to 73% at December 31,</w:t>
      </w:r>
    </w:p>
    <w:p>
      <w:pPr>
        <w:spacing w:after="0" w:line="3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2014. AUM with foreign currency exposure generally declines in value with the strengthening of the U.S. Dollar and increases in value as the U.S. Dollar weakens, with all other factors held constant.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by asset class for the years ended December 31, 2015, 2014 and 2013:</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5"/>
              </w:rPr>
              <w:t>Year Ended December 31, 2015</w:t>
            </w:r>
          </w:p>
        </w:tc>
        <w:tc>
          <w:tcPr>
            <w:tcW w:w="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AUM</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Beginning</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Net</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3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Balance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9"/>
              </w:rPr>
              <w:t>Inflows</w:t>
            </w:r>
          </w:p>
        </w:tc>
        <w:tc>
          <w:tcPr>
            <w:tcW w:w="4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Outflows</w:t>
            </w:r>
          </w:p>
        </w:tc>
        <w:tc>
          <w:tcPr>
            <w:tcW w:w="38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Flows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9"/>
              </w:rPr>
              <w:t>($ in millions)</w:t>
            </w: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$160,912</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$30,261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(31,660)</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$(1,399)</w:t>
            </w: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(9,069)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$151,495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Fixed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31,110</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8,929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(6,139)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2,790</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(2,907)</w:t>
            </w:r>
          </w:p>
        </w:tc>
        <w:tc>
          <w:tcPr>
            <w:tcW w:w="660" w:type="dxa"/>
            <w:vAlign w:val="bottom"/>
          </w:tcPr>
          <w:p>
            <w:pPr>
              <w:jc w:val="right"/>
              <w:spacing w:after="0"/>
              <w:rPr>
                <w:sz w:val="20"/>
                <w:szCs w:val="20"/>
                <w:color w:val="auto"/>
              </w:rPr>
            </w:pPr>
            <w:r>
              <w:rPr>
                <w:rFonts w:ascii="Arial" w:cs="Arial" w:eastAsia="Arial" w:hAnsi="Arial"/>
                <w:sz w:val="18"/>
                <w:szCs w:val="18"/>
                <w:color w:val="auto"/>
              </w:rPr>
              <w:t>30,387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(485)</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197,103</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40,670</w:t>
            </w:r>
          </w:p>
        </w:tc>
        <w:tc>
          <w:tcPr>
            <w:tcW w:w="11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(39,764)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906</w:t>
            </w:r>
          </w:p>
        </w:tc>
        <w:tc>
          <w:tcPr>
            <w:tcW w:w="440" w:type="dxa"/>
            <w:vAlign w:val="bottom"/>
          </w:tcPr>
          <w:p>
            <w:pPr>
              <w:spacing w:after="0"/>
              <w:rPr>
                <w:sz w:val="19"/>
                <w:szCs w:val="19"/>
                <w:color w:val="auto"/>
              </w:rPr>
            </w:pPr>
          </w:p>
        </w:tc>
        <w:tc>
          <w:tcPr>
            <w:tcW w:w="440" w:type="dxa"/>
            <w:vAlign w:val="bottom"/>
          </w:tcPr>
          <w:p>
            <w:pPr>
              <w:jc w:val="right"/>
              <w:ind w:right="264"/>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474</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(12,103)</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186,380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Inflows in the Equity asset class were primarily attributable to the Multi-Regional and Global equity platforms, and inflows in the Fixed Income asset class were primarily attributable to the Emerging Markets and Multi-Regional platforms. Outflows in the Equity asset class were primarily attributable to the Emerging Markets and Global equity platforms, and outflows in the Fixed Income asset class were primarily attributable to the Emerging Markets and Multi-Regional platforms.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12"/>
          </w:tcPr>
          <w:p>
            <w:pPr>
              <w:jc w:val="right"/>
              <w:ind w:right="320"/>
              <w:spacing w:after="0"/>
              <w:rPr>
                <w:sz w:val="20"/>
                <w:szCs w:val="20"/>
                <w:color w:val="auto"/>
              </w:rPr>
            </w:pPr>
            <w:r>
              <w:rPr>
                <w:rFonts w:ascii="Arial" w:cs="Arial" w:eastAsia="Arial" w:hAnsi="Arial"/>
                <w:sz w:val="14"/>
                <w:szCs w:val="14"/>
                <w:b w:val="1"/>
                <w:bCs w:val="1"/>
                <w:color w:val="auto"/>
              </w:rPr>
              <w:t>Year Ended December 31, 2014</w:t>
            </w: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center"/>
              <w:ind w:right="48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rPr>
              <w:t>AUM</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2"/>
              </w:rPr>
              <w:t>Market Value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Beginning</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Net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Balance</w:t>
            </w:r>
          </w:p>
        </w:tc>
        <w:tc>
          <w:tcPr>
            <w:tcW w:w="280" w:type="dxa"/>
            <w:vAlign w:val="bottom"/>
          </w:tcPr>
          <w:p>
            <w:pPr>
              <w:spacing w:after="0"/>
              <w:rPr>
                <w:sz w:val="14"/>
                <w:szCs w:val="14"/>
                <w:color w:val="auto"/>
              </w:rPr>
            </w:pPr>
          </w:p>
        </w:tc>
        <w:tc>
          <w:tcPr>
            <w:tcW w:w="6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99"/>
              </w:rPr>
              <w:t>Inflows</w:t>
            </w:r>
          </w:p>
        </w:tc>
        <w:tc>
          <w:tcPr>
            <w:tcW w:w="300" w:type="dxa"/>
            <w:vAlign w:val="bottom"/>
          </w:tcPr>
          <w:p>
            <w:pPr>
              <w:spacing w:after="0"/>
              <w:rPr>
                <w:sz w:val="14"/>
                <w:szCs w:val="1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Outflows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Flows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(Depreciation)</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9"/>
              </w:rPr>
              <w:t>(Depreciation)</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6"/>
          </w:tcPr>
          <w:p>
            <w:pPr>
              <w:jc w:val="right"/>
              <w:ind w:right="52"/>
              <w:spacing w:after="0" w:line="142" w:lineRule="exact"/>
              <w:rPr>
                <w:sz w:val="20"/>
                <w:szCs w:val="20"/>
                <w:color w:val="auto"/>
              </w:rPr>
            </w:pPr>
            <w:r>
              <w:rPr>
                <w:rFonts w:ascii="Arial" w:cs="Arial" w:eastAsia="Arial" w:hAnsi="Arial"/>
                <w:sz w:val="14"/>
                <w:szCs w:val="14"/>
                <w:b w:val="1"/>
                <w:bCs w:val="1"/>
                <w:color w:val="auto"/>
              </w:rPr>
              <w:t>($ in millions)</w:t>
            </w: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$ 154,062</w:t>
            </w:r>
          </w:p>
        </w:tc>
        <w:tc>
          <w:tcPr>
            <w:tcW w:w="8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$ 31,067</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(25,419)</w:t>
            </w:r>
          </w:p>
        </w:tc>
        <w:tc>
          <w:tcPr>
            <w:tcW w:w="9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5,648</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10,465</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(9,263)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$ 160,912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Fixed Income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26,874</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10,535</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(4,184)</w:t>
            </w:r>
          </w:p>
        </w:tc>
        <w:tc>
          <w:tcPr>
            <w:tcW w:w="980" w:type="dxa"/>
            <w:vAlign w:val="bottom"/>
            <w:gridSpan w:val="5"/>
          </w:tcPr>
          <w:p>
            <w:pPr>
              <w:jc w:val="right"/>
              <w:ind w:right="140"/>
              <w:spacing w:after="0"/>
              <w:rPr>
                <w:sz w:val="20"/>
                <w:szCs w:val="20"/>
                <w:color w:val="auto"/>
              </w:rPr>
            </w:pPr>
            <w:r>
              <w:rPr>
                <w:rFonts w:ascii="Arial" w:cs="Arial" w:eastAsia="Arial" w:hAnsi="Arial"/>
                <w:sz w:val="18"/>
                <w:szCs w:val="18"/>
                <w:color w:val="auto"/>
              </w:rPr>
              <w:t>6,351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824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(2,939)</w:t>
            </w:r>
          </w:p>
        </w:tc>
        <w:tc>
          <w:tcPr>
            <w:tcW w:w="660" w:type="dxa"/>
            <w:vAlign w:val="bottom"/>
          </w:tcPr>
          <w:p>
            <w:pPr>
              <w:jc w:val="right"/>
              <w:spacing w:after="0"/>
              <w:rPr>
                <w:sz w:val="20"/>
                <w:szCs w:val="20"/>
                <w:color w:val="auto"/>
              </w:rPr>
            </w:pPr>
            <w:r>
              <w:rPr>
                <w:rFonts w:ascii="Arial" w:cs="Arial" w:eastAsia="Arial" w:hAnsi="Arial"/>
                <w:sz w:val="18"/>
                <w:szCs w:val="18"/>
                <w:color w:val="auto"/>
              </w:rPr>
              <w:t>31,110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5,988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1,126</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(1,850)</w:t>
            </w:r>
          </w:p>
        </w:tc>
        <w:tc>
          <w:tcPr>
            <w:tcW w:w="9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(724)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vMerge w:val="continue"/>
          </w:tcPr>
          <w:p>
            <w:pPr>
              <w:spacing w:after="0"/>
              <w:rPr>
                <w:sz w:val="19"/>
                <w:szCs w:val="19"/>
                <w:color w:val="auto"/>
              </w:rPr>
            </w:pPr>
          </w:p>
        </w:tc>
        <w:tc>
          <w:tcPr>
            <w:tcW w:w="1280" w:type="dxa"/>
            <w:vAlign w:val="bottom"/>
            <w:gridSpan w:val="5"/>
          </w:tcPr>
          <w:p>
            <w:pPr>
              <w:jc w:val="right"/>
              <w:ind w:right="40"/>
              <w:spacing w:after="0"/>
              <w:rPr>
                <w:sz w:val="20"/>
                <w:szCs w:val="20"/>
                <w:color w:val="auto"/>
              </w:rPr>
            </w:pPr>
            <w:r>
              <w:rPr>
                <w:rFonts w:ascii="Arial" w:cs="Arial" w:eastAsia="Arial" w:hAnsi="Arial"/>
                <w:sz w:val="18"/>
                <w:szCs w:val="18"/>
                <w:color w:val="auto"/>
              </w:rPr>
              <w:t>$ 186,924</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$ 42,728</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 (31,453)</w:t>
            </w:r>
          </w:p>
        </w:tc>
        <w:tc>
          <w:tcPr>
            <w:tcW w:w="980" w:type="dxa"/>
            <w:vAlign w:val="bottom"/>
            <w:gridSpan w:val="5"/>
          </w:tcPr>
          <w:p>
            <w:pPr>
              <w:jc w:val="right"/>
              <w:ind w:right="140"/>
              <w:spacing w:after="0"/>
              <w:rPr>
                <w:sz w:val="20"/>
                <w:szCs w:val="20"/>
                <w:color w:val="auto"/>
              </w:rPr>
            </w:pPr>
            <w:r>
              <w:rPr>
                <w:rFonts w:ascii="Arial" w:cs="Arial" w:eastAsia="Arial" w:hAnsi="Arial"/>
                <w:sz w:val="18"/>
                <w:szCs w:val="18"/>
                <w:color w:val="auto"/>
              </w:rPr>
              <w:t>$ 11,275</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11,346</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(12,442)</w:t>
            </w:r>
          </w:p>
        </w:tc>
        <w:tc>
          <w:tcPr>
            <w:tcW w:w="660" w:type="dxa"/>
            <w:vAlign w:val="bottom"/>
          </w:tcPr>
          <w:p>
            <w:pPr>
              <w:jc w:val="right"/>
              <w:spacing w:after="0"/>
              <w:rPr>
                <w:sz w:val="20"/>
                <w:szCs w:val="20"/>
                <w:color w:val="auto"/>
              </w:rPr>
            </w:pPr>
            <w:r>
              <w:rPr>
                <w:rFonts w:ascii="Arial" w:cs="Arial" w:eastAsia="Arial" w:hAnsi="Arial"/>
                <w:sz w:val="18"/>
                <w:szCs w:val="18"/>
                <w:color w:val="auto"/>
                <w:w w:val="79"/>
              </w:rPr>
              <w:t>$ 197,103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8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2"/>
          </w:tcPr>
          <w:p>
            <w:pPr>
              <w:jc w:val="center"/>
              <w:ind w:right="560"/>
              <w:spacing w:after="0"/>
              <w:rPr>
                <w:sz w:val="20"/>
                <w:szCs w:val="20"/>
                <w:color w:val="auto"/>
              </w:rPr>
            </w:pPr>
            <w:r>
              <w:rPr>
                <w:rFonts w:ascii="Arial" w:cs="Arial" w:eastAsia="Arial" w:hAnsi="Arial"/>
                <w:sz w:val="14"/>
                <w:szCs w:val="14"/>
                <w:b w:val="1"/>
                <w:bCs w:val="1"/>
                <w:color w:val="auto"/>
                <w:w w:val="86"/>
              </w:rPr>
              <w:t>Year Ended December 31, 2013</w:t>
            </w: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right"/>
              <w:ind w:right="660"/>
              <w:spacing w:after="0" w:line="129" w:lineRule="exact"/>
              <w:rPr>
                <w:sz w:val="20"/>
                <w:szCs w:val="20"/>
                <w:color w:val="auto"/>
              </w:rPr>
            </w:pPr>
            <w:r>
              <w:rPr>
                <w:rFonts w:ascii="Arial" w:cs="Arial" w:eastAsia="Arial" w:hAnsi="Arial"/>
                <w:sz w:val="14"/>
                <w:szCs w:val="14"/>
                <w:b w:val="1"/>
                <w:bCs w:val="1"/>
                <w:color w:val="auto"/>
                <w:w w:val="93"/>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AUM</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81"/>
              </w:rPr>
              <w:t>Exchange</w:t>
            </w:r>
          </w:p>
        </w:tc>
        <w:tc>
          <w:tcPr>
            <w:tcW w:w="7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4"/>
          </w:tcPr>
          <w:p>
            <w:pPr>
              <w:jc w:val="right"/>
              <w:ind w:right="580"/>
              <w:spacing w:after="0" w:line="149" w:lineRule="exact"/>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2"/>
                <w:szCs w:val="12"/>
                <w:color w:val="auto"/>
              </w:rPr>
            </w:pPr>
          </w:p>
        </w:tc>
        <w:tc>
          <w:tcPr>
            <w:tcW w:w="10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260" w:type="dxa"/>
            <w:vAlign w:val="bottom"/>
          </w:tcPr>
          <w:p>
            <w:pPr>
              <w:spacing w:after="0"/>
              <w:rPr>
                <w:sz w:val="12"/>
                <w:szCs w:val="12"/>
                <w:color w:val="auto"/>
              </w:rPr>
            </w:pPr>
          </w:p>
        </w:tc>
        <w:tc>
          <w:tcPr>
            <w:tcW w:w="130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7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440" w:type="dxa"/>
            <w:vAlign w:val="bottom"/>
          </w:tcPr>
          <w:p>
            <w:pPr>
              <w:spacing w:after="0"/>
              <w:rPr>
                <w:sz w:val="14"/>
                <w:szCs w:val="14"/>
                <w:color w:val="auto"/>
              </w:rPr>
            </w:pPr>
          </w:p>
        </w:tc>
        <w:tc>
          <w:tcPr>
            <w:tcW w:w="600" w:type="dxa"/>
            <w:vAlign w:val="bottom"/>
            <w:gridSpan w:val="5"/>
          </w:tcPr>
          <w:p>
            <w:pPr>
              <w:ind w:left="60"/>
              <w:spacing w:after="0"/>
              <w:rPr>
                <w:sz w:val="20"/>
                <w:szCs w:val="20"/>
                <w:color w:val="auto"/>
              </w:rPr>
            </w:pPr>
            <w:r>
              <w:rPr>
                <w:rFonts w:ascii="Arial" w:cs="Arial" w:eastAsia="Arial" w:hAnsi="Arial"/>
                <w:sz w:val="14"/>
                <w:szCs w:val="14"/>
                <w:b w:val="1"/>
                <w:bCs w:val="1"/>
                <w:color w:val="auto"/>
              </w:rPr>
              <w:t>Inflows</w:t>
            </w:r>
          </w:p>
        </w:tc>
        <w:tc>
          <w:tcPr>
            <w:tcW w:w="440" w:type="dxa"/>
            <w:vAlign w:val="bottom"/>
          </w:tcPr>
          <w:p>
            <w:pPr>
              <w:spacing w:after="0"/>
              <w:rPr>
                <w:sz w:val="14"/>
                <w:szCs w:val="14"/>
                <w:color w:val="auto"/>
              </w:rPr>
            </w:pPr>
          </w:p>
        </w:tc>
        <w:tc>
          <w:tcPr>
            <w:tcW w:w="1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0"/>
              </w:rPr>
              <w:t>Outflows</w:t>
            </w:r>
          </w:p>
        </w:tc>
        <w:tc>
          <w:tcPr>
            <w:tcW w:w="20" w:type="dxa"/>
            <w:vAlign w:val="bottom"/>
          </w:tcPr>
          <w:p>
            <w:pPr>
              <w:spacing w:after="0"/>
              <w:rPr>
                <w:sz w:val="14"/>
                <w:szCs w:val="14"/>
                <w:color w:val="auto"/>
              </w:rPr>
            </w:pPr>
          </w:p>
        </w:tc>
        <w:tc>
          <w:tcPr>
            <w:tcW w:w="9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Flows</w:t>
            </w:r>
          </w:p>
        </w:tc>
        <w:tc>
          <w:tcPr>
            <w:tcW w:w="4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260" w:type="dxa"/>
            <w:vAlign w:val="bottom"/>
          </w:tcPr>
          <w:p>
            <w:pPr>
              <w:spacing w:after="0"/>
              <w:rPr>
                <w:sz w:val="14"/>
                <w:szCs w:val="14"/>
                <w:color w:val="auto"/>
              </w:rPr>
            </w:pPr>
          </w:p>
        </w:tc>
        <w:tc>
          <w:tcPr>
            <w:tcW w:w="1300" w:type="dxa"/>
            <w:vAlign w:val="bottom"/>
            <w:gridSpan w:val="5"/>
          </w:tcPr>
          <w:p>
            <w:pPr>
              <w:ind w:left="20"/>
              <w:spacing w:after="0"/>
              <w:rPr>
                <w:sz w:val="20"/>
                <w:szCs w:val="20"/>
                <w:color w:val="auto"/>
              </w:rPr>
            </w:pPr>
            <w:r>
              <w:rPr>
                <w:rFonts w:ascii="Arial" w:cs="Arial" w:eastAsia="Arial" w:hAnsi="Arial"/>
                <w:sz w:val="14"/>
                <w:szCs w:val="14"/>
                <w:b w:val="1"/>
                <w:bCs w:val="1"/>
                <w:color w:val="auto"/>
              </w:rPr>
              <w:t>(Depreciation)</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$138,171</w:t>
            </w:r>
          </w:p>
        </w:tc>
        <w:tc>
          <w:tcPr>
            <w:tcW w:w="10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$26,518</w:t>
            </w:r>
          </w:p>
        </w:tc>
        <w:tc>
          <w:tcPr>
            <w:tcW w:w="140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rPr>
              <w:t>$ (31,597)</w:t>
            </w: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2"/>
              </w:rPr>
              <w:t>$(5,079)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25,495</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(4,525)</w:t>
            </w:r>
          </w:p>
        </w:tc>
        <w:tc>
          <w:tcPr>
            <w:tcW w:w="38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$154,062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Fixed Income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22,718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6,725</w:t>
            </w:r>
          </w:p>
        </w:tc>
        <w:tc>
          <w:tcPr>
            <w:tcW w:w="440" w:type="dxa"/>
            <w:vAlign w:val="bottom"/>
          </w:tcPr>
          <w:p>
            <w:pPr>
              <w:spacing w:after="0"/>
              <w:rPr>
                <w:sz w:val="18"/>
                <w:szCs w:val="18"/>
                <w:color w:val="auto"/>
              </w:rPr>
            </w:pPr>
          </w:p>
        </w:tc>
        <w:tc>
          <w:tcPr>
            <w:tcW w:w="960" w:type="dxa"/>
            <w:vAlign w:val="bottom"/>
            <w:gridSpan w:val="3"/>
          </w:tcPr>
          <w:p>
            <w:pPr>
              <w:jc w:val="right"/>
              <w:ind w:right="212"/>
              <w:spacing w:after="0"/>
              <w:rPr>
                <w:sz w:val="20"/>
                <w:szCs w:val="20"/>
                <w:color w:val="auto"/>
              </w:rPr>
            </w:pPr>
            <w:r>
              <w:rPr>
                <w:rFonts w:ascii="Arial" w:cs="Arial" w:eastAsia="Arial" w:hAnsi="Arial"/>
                <w:sz w:val="18"/>
                <w:szCs w:val="18"/>
                <w:color w:val="auto"/>
              </w:rPr>
              <w:t>(3,318)</w:t>
            </w:r>
          </w:p>
        </w:tc>
        <w:tc>
          <w:tcPr>
            <w:tcW w:w="80" w:type="dxa"/>
            <w:vAlign w:val="bottom"/>
          </w:tcPr>
          <w:p>
            <w:pPr>
              <w:spacing w:after="0"/>
              <w:rPr>
                <w:sz w:val="18"/>
                <w:szCs w:val="18"/>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8"/>
                <w:szCs w:val="18"/>
                <w:color w:val="auto"/>
              </w:rPr>
              <w:t>3,407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389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1,063</w:t>
            </w: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(1,325)</w:t>
            </w: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38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167,060</w:t>
            </w:r>
          </w:p>
        </w:tc>
        <w:tc>
          <w:tcPr>
            <w:tcW w:w="1040" w:type="dxa"/>
            <w:vAlign w:val="bottom"/>
            <w:gridSpan w:val="6"/>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34,306</w:t>
            </w:r>
          </w:p>
        </w:tc>
        <w:tc>
          <w:tcPr>
            <w:tcW w:w="1400" w:type="dxa"/>
            <w:vAlign w:val="bottom"/>
            <w:gridSpan w:val="4"/>
          </w:tcPr>
          <w:p>
            <w:pPr>
              <w:jc w:val="right"/>
              <w:ind w:right="2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(36,240)</w:t>
            </w:r>
          </w:p>
        </w:tc>
        <w:tc>
          <w:tcPr>
            <w:tcW w:w="8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(1,934)</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26,154</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(4,356)</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186,924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As of February 17, 2016, AUM was $177.4 billion, a $9.0 billion decrease since December 31, 2015. The decrease in AUM was due to market depreciation of $10.2 billion, partially offset by net inflows of $0.7 billion and foreign exchange appreciation of $0.5 billion.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Average AUM for the years ended December 31, 2015, 2014 and 2013 for each significant asset class is set forth below. Average AUM generally represents the average of the monthly ending AUM balances for the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8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5"/>
              </w:rPr>
              <w:t>Years Ended December 31,</w:t>
            </w:r>
          </w:p>
        </w:tc>
      </w:tr>
      <w:tr>
        <w:trPr>
          <w:trHeight w:val="142"/>
        </w:trPr>
        <w:tc>
          <w:tcPr>
            <w:tcW w:w="85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bottom w:val="single" w:sz="8" w:color="auto"/>
            </w:tcBorders>
            <w:gridSpan w:val="2"/>
          </w:tcPr>
          <w:p>
            <w:pPr>
              <w:jc w:val="center"/>
              <w:ind w:left="218"/>
              <w:spacing w:after="0" w:line="142" w:lineRule="exact"/>
              <w:rPr>
                <w:sz w:val="20"/>
                <w:szCs w:val="20"/>
                <w:color w:val="auto"/>
              </w:rPr>
            </w:pPr>
            <w:r>
              <w:rPr>
                <w:rFonts w:ascii="Arial" w:cs="Arial" w:eastAsia="Arial" w:hAnsi="Arial"/>
                <w:sz w:val="14"/>
                <w:szCs w:val="14"/>
                <w:b w:val="1"/>
                <w:bCs w:val="1"/>
                <w:color w:val="auto"/>
                <w:w w:val="83"/>
              </w:rPr>
              <w:t>2014</w:t>
            </w: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56"/>
        </w:trPr>
        <w:tc>
          <w:tcPr>
            <w:tcW w:w="8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gridSpan w:val="3"/>
          </w:tcPr>
          <w:p>
            <w:pPr>
              <w:jc w:val="center"/>
              <w:ind w:left="58"/>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AUM by Asset Class:</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Equity</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$ 159,216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$ 160,455</w:t>
            </w:r>
          </w:p>
        </w:tc>
        <w:tc>
          <w:tcPr>
            <w:tcW w:w="1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$ 143,923</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29,843</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23,850</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Alternative Investments</w:t>
            </w:r>
          </w:p>
        </w:tc>
        <w:tc>
          <w:tcPr>
            <w:tcW w:w="700" w:type="dxa"/>
            <w:vAlign w:val="bottom"/>
          </w:tcPr>
          <w:p>
            <w:pPr>
              <w:jc w:val="right"/>
              <w:spacing w:after="0"/>
              <w:rPr>
                <w:sz w:val="20"/>
                <w:szCs w:val="20"/>
                <w:color w:val="auto"/>
              </w:rPr>
            </w:pPr>
            <w:r>
              <w:rPr>
                <w:rFonts w:ascii="Arial" w:cs="Arial" w:eastAsia="Arial" w:hAnsi="Arial"/>
                <w:sz w:val="18"/>
                <w:szCs w:val="18"/>
                <w:color w:val="auto"/>
              </w:rPr>
              <w:t>3,547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4,408</w:t>
            </w:r>
          </w:p>
        </w:tc>
        <w:tc>
          <w:tcPr>
            <w:tcW w:w="1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4,569</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Cash Management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$ 195,987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$ 196,037</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$ 173,702</w:t>
            </w:r>
          </w:p>
        </w:tc>
      </w:tr>
      <w:tr>
        <w:trPr>
          <w:trHeight w:val="20"/>
        </w:trPr>
        <w:tc>
          <w:tcPr>
            <w:tcW w:w="8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2014</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4"/>
          </w:tcPr>
          <w:p>
            <w:pPr>
              <w:jc w:val="center"/>
              <w:ind w:right="20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1,000,018</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w w:val="84"/>
              </w:rPr>
              <w:t>1,018,772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903,956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51,866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78,342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2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86,012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63,957</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1,111,105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1,134,595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1,039,130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2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736,798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749,345</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704,045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374,307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385,250</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gridSpan w:val="2"/>
            <w:vMerge w:val="continue"/>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top ten clients accounted for 21%, 24% and 24% of our total AUM at December 31, 2015, 2014 and 2013, respectively, and no individual client constituted more than 10% of our Asset Management segment net revenue during any of the respective years.</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0"/>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4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5500" w:type="dxa"/>
            <w:vAlign w:val="bottom"/>
            <w:gridSpan w:val="3"/>
          </w:tcPr>
          <w:p>
            <w:pPr>
              <w:jc w:val="right"/>
              <w:ind w:right="220"/>
              <w:spacing w:after="0"/>
              <w:rPr>
                <w:sz w:val="20"/>
                <w:szCs w:val="20"/>
                <w:color w:val="auto"/>
              </w:rPr>
            </w:pPr>
            <w:r>
              <w:rPr>
                <w:rFonts w:ascii="Arial" w:cs="Arial" w:eastAsia="Arial" w:hAnsi="Arial"/>
                <w:sz w:val="18"/>
                <w:szCs w:val="18"/>
                <w:color w:val="auto"/>
              </w:rPr>
              <w:t>29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7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47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550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1880" w:type="dxa"/>
            <w:vAlign w:val="bottom"/>
            <w:gridSpan w:val="3"/>
          </w:tcPr>
          <w:p>
            <w:pPr>
              <w:jc w:val="right"/>
              <w:ind w:right="64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740" w:type="dxa"/>
            <w:vAlign w:val="bottom"/>
            <w:vMerge w:val="restart"/>
          </w:tcPr>
          <w:p>
            <w:pPr>
              <w:jc w:val="right"/>
              <w:ind w:right="2152"/>
              <w:spacing w:after="0"/>
              <w:rPr>
                <w:sz w:val="20"/>
                <w:szCs w:val="20"/>
                <w:color w:val="auto"/>
              </w:rPr>
            </w:pPr>
            <w:r>
              <w:rPr>
                <w:rFonts w:ascii="Arial" w:cs="Arial" w:eastAsia="Arial" w:hAnsi="Arial"/>
                <w:sz w:val="18"/>
                <w:szCs w:val="18"/>
                <w:color w:val="auto"/>
              </w:rPr>
              <w:t>54</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December 31, 2014</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Asset Management net revenue decreased $23 million, or 2%, as compared to 2014. Management fees decreased $19 million, or 2%, as compared to 2014, primarily due to slightly lower average AUM and a slight change in the mix of assets. Incentive fees decreased $27 million, or 52%, as compared to 2014, primarily due to incentive fees related to traditional investment products. Other revenue increased $22 million, or 34%, as compared to 2014, primarily due to a $24 million gain on disposal of the Company’s Australian private equity business (which related primarily to the realization of carried interest at fair value).</w:t>
      </w:r>
    </w:p>
    <w:p>
      <w:pPr>
        <w:spacing w:after="0" w:line="11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Operating expenses decreased $13 million, or 2%, as compared to 2014, primarily due to decreases in (i) compensation and benefits expense related to a decrease in discretionary compensation and (ii) non-compensation expense related to fund administration and outsourced services.</w:t>
      </w:r>
    </w:p>
    <w:p>
      <w:pPr>
        <w:spacing w:after="0" w:line="8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Asset Management operating income was $374 million, a decrease of $11 million as compared to operating income of $385 million in 2014 and, as a percentage of net revenue, was 33.7%, as compared to 34.0% in 2014.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versus December 31, 2013</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Asset Management net revenue increased $95 million, or 9%, as compared to 2013. Management fees increased $115 million, or 13%, as compared to 2013, reflecting a $22 billion, or 13%, increase in average AUM. Incentive fees decreased $26 million, or 34%, as compared to 2013, primarily due to fees related to alternative investment products. Other revenue increased $7 million, or 13%, as compared to 2013, primarily due to higher transaction-based commission revenue as a result of increased market activity and custody fees and transaction fees related to our private equity business.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Operating expenses increased $45 million, or 6%, as compared to 2013, primarily due to increases in (i) compensation and benefits expense related to an increase in discretionary compensation associated with increased operating revenue and (ii) non-compensation expense related to increased business activity and AUM.</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Asset Management operating income was $385 million, an increase of $50 million, or 15%, as compared to operating income of $335 million in 2013 (which included the impact of the $0.2 million charge related to the cost saving initiatives and the $12 million charge pertaining to private equity compensation) and, as a percentage of net revenue, was 34.0%, as compared to 32.2% in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3,155</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(50,968)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(62,565)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(79,373)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(47,813)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(58,611)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10,688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17,729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41,840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(37,125)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(40,882)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627,593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53,956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104,832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(664,718)</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(94,838)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(139,187)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(i) in 2015, (a) $60,219 relating to the redemption of a significant portion of the Company’s 2017 Notes and (b) $547,691 relating to the provision pursuant to the tax receivable agreement, (ii) in 2014,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0"/>
        <w:spacing w:after="0" w:line="332" w:lineRule="auto"/>
        <w:rPr>
          <w:sz w:val="20"/>
          <w:szCs w:val="20"/>
          <w:color w:val="auto"/>
        </w:rPr>
      </w:pPr>
      <w:r>
        <w:rPr>
          <w:rFonts w:ascii="Arial" w:cs="Arial" w:eastAsia="Arial" w:hAnsi="Arial"/>
          <w:sz w:val="16"/>
          <w:szCs w:val="16"/>
          <w:color w:val="auto"/>
        </w:rPr>
        <w:t>$18,307 relating to the provision pursuant to the tax receivable agreement and (iii) in 2013, (a) $16,689 associated with the implementation of the cost saving initiatives and (b) $54,087 relating to the refinancing of the 2015 Notes and the issuance of the 2020 Notes.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December 31, 2014</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Net interest expense decreased $11 million, or 18%, as compared to 2014, primarily due to the redemption of $450 million of the 2017 Notes and the issuance of $400 million aggregate principal amount of 3.75% senior notes due 2025 (the “2025 Notes”).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decreased $7 million, or 40%, as compared to 2014, primarily due to investment losses recorded in connection with LFI.</w:t>
      </w:r>
    </w:p>
    <w:p>
      <w:pPr>
        <w:spacing w:after="0" w:line="171" w:lineRule="exact"/>
        <w:rPr>
          <w:sz w:val="20"/>
          <w:szCs w:val="20"/>
          <w:color w:val="auto"/>
        </w:rPr>
      </w:pPr>
    </w:p>
    <w:p>
      <w:pPr>
        <w:ind w:right="260" w:firstLine="456"/>
        <w:spacing w:after="0" w:line="284" w:lineRule="auto"/>
        <w:rPr>
          <w:sz w:val="20"/>
          <w:szCs w:val="20"/>
          <w:color w:val="auto"/>
        </w:rPr>
      </w:pPr>
      <w:r>
        <w:rPr>
          <w:rFonts w:ascii="Arial" w:cs="Arial" w:eastAsia="Arial" w:hAnsi="Arial"/>
          <w:sz w:val="16"/>
          <w:szCs w:val="16"/>
          <w:color w:val="auto"/>
        </w:rPr>
        <w:t>Operating expenses increased $574 million as compared to 2014, including (i) in 2015, a charge of $60 million related to the redemption of a significant portion of the Company’s 2017 Notes and (ii) in 2015 and 2014, $548 million and $18 million, respectively, relating to the provision pursuant to the tax receivable agreement (see Note 14 of Notes to Consolidated Financial Statements). Excluding the impact of such charges, operating expenses decreased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$16 million, or 45%, compared to 2014, primarily due to decreased compensation and benefits expense.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versus December 31,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$18 million, or 23%, as compared to 2013, primarily due to the refinancing of the 2015 Notes.</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Other revenue decreased $24 million, or 58%, as compared to 2013, primarily due to lower investment gains recorded in connection with LFI and other investments.</w:t>
      </w:r>
    </w:p>
    <w:p>
      <w:pPr>
        <w:spacing w:after="0" w:line="132"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Operating expenses decreased $51 million, or 49%, as compared to 2013 (which included charges of $17 million associated with the cost saving initiatives and $54 million related to the refinancing of the 2015 Notes). Excluding the impact of such charges, operating expenses increased $20 million compared to 2013. The increase was primarily related to an $18 million provision pursuant to the tax receivable agreement and the net impact of various one-time items recorded in 2014 and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Cash flows also were affected in 2015, by the redemption of $450 million of the 2017 Notes and the issuance of the 2025 Notes and, in 2013, by the refinancing of the 2015 Notes and the issuance of the 2020 Notes.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 In addition, during 2014 and 2013, the Company made cash payments, including severance payments, associated with the cost saving initiatives (see “Cost Saving Initiatives” above and Note 16 of Notes to Consolidated Financial Statements). The Company also paid a special dividend in 2015 and 2013.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Adjustments to reconcile net income to net cash provided by operating activities (a)</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operating activities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provided by operating activities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Financing activities (c)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 w:lineRule="exact"/>
        <w:rPr>
          <w:sz w:val="20"/>
          <w:szCs w:val="20"/>
          <w:color w:val="auto"/>
        </w:rPr>
      </w:pPr>
    </w:p>
    <w:p>
      <w:pPr>
        <w:ind w:right="2520"/>
        <w:spacing w:after="0" w:line="257" w:lineRule="auto"/>
        <w:rPr>
          <w:sz w:val="20"/>
          <w:szCs w:val="20"/>
          <w:color w:val="auto"/>
        </w:rPr>
      </w:pPr>
      <w:r>
        <w:rPr>
          <w:rFonts w:ascii="Arial" w:cs="Arial" w:eastAsia="Arial" w:hAnsi="Arial"/>
          <w:sz w:val="18"/>
          <w:szCs w:val="18"/>
          <w:b w:val="1"/>
          <w:bCs w:val="1"/>
          <w:color w:val="auto"/>
        </w:rPr>
        <w:t>Net Increase (Decrease) in Cash and Cash Equivalents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Beginning of Year</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100" w:type="dxa"/>
        <w:tblCellMar>
          <w:top w:w="0" w:type="dxa"/>
          <w:left w:w="0" w:type="dxa"/>
          <w:bottom w:w="0" w:type="dxa"/>
          <w:right w:w="0" w:type="dxa"/>
        </w:tblCellMar>
      </w:tblPr>
      <w:tr>
        <w:trPr>
          <w:trHeight w:val="142"/>
        </w:trPr>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r>
      <w:tr>
        <w:trPr>
          <w:trHeight w:val="168"/>
        </w:trPr>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628"/>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992.9</w:t>
            </w:r>
          </w:p>
        </w:tc>
        <w:tc>
          <w:tcPr>
            <w:tcW w:w="380" w:type="dxa"/>
            <w:vAlign w:val="bottom"/>
          </w:tcPr>
          <w:p>
            <w:pPr>
              <w:spacing w:after="0"/>
              <w:rPr>
                <w:sz w:val="24"/>
                <w:szCs w:val="24"/>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434.1</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165.1</w:t>
            </w:r>
          </w:p>
        </w:tc>
      </w:tr>
      <w:tr>
        <w:trPr>
          <w:trHeight w:val="216"/>
        </w:trPr>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(158.2)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370.6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421.3</w:t>
            </w:r>
          </w:p>
        </w:tc>
      </w:tr>
      <w:tr>
        <w:trPr>
          <w:trHeight w:val="223"/>
        </w:trPr>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(68.7)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(59.7)</w:t>
            </w: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526.7</w:t>
            </w:r>
          </w:p>
        </w:tc>
        <w:tc>
          <w:tcPr>
            <w:tcW w:w="6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(20.1)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(54.5)</w:t>
            </w:r>
          </w:p>
        </w:tc>
      </w:tr>
      <w:tr>
        <w:trPr>
          <w:trHeight w:val="216"/>
        </w:trPr>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(746.8)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(435.4)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(487.1)</w:t>
            </w:r>
          </w:p>
        </w:tc>
      </w:tr>
      <w:tr>
        <w:trPr>
          <w:trHeight w:val="223"/>
        </w:trPr>
        <w:tc>
          <w:tcPr>
            <w:tcW w:w="1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(55.4)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r>
      <w:tr>
        <w:trPr>
          <w:trHeight w:val="20"/>
        </w:trPr>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65.5</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433"/>
        </w:trPr>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1,066.6</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841.5</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60" w:type="dxa"/>
            <w:vAlign w:val="bottom"/>
          </w:tcPr>
          <w:p>
            <w:pPr>
              <w:spacing w:after="0"/>
              <w:rPr>
                <w:sz w:val="24"/>
                <w:szCs w:val="24"/>
                <w:color w:val="auto"/>
              </w:rPr>
            </w:pPr>
          </w:p>
        </w:tc>
      </w:tr>
      <w:tr>
        <w:trPr>
          <w:trHeight w:val="22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1,132.1</w:t>
            </w:r>
          </w:p>
        </w:tc>
        <w:tc>
          <w:tcPr>
            <w:tcW w:w="380" w:type="dxa"/>
            <w:vAlign w:val="bottom"/>
          </w:tcPr>
          <w:p>
            <w:pPr>
              <w:spacing w:after="0"/>
              <w:rPr>
                <w:sz w:val="19"/>
                <w:szCs w:val="19"/>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1,066.6</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841.5</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42"/>
        </w:trPr>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1880" w:type="dxa"/>
            <w:vAlign w:val="bottom"/>
            <w:tcBorders>
              <w:top w:val="single" w:sz="8" w:color="auto"/>
              <w:bottom w:val="single" w:sz="8" w:color="auto"/>
            </w:tcBorders>
          </w:tcPr>
          <w:p>
            <w:pPr>
              <w:jc w:val="right"/>
              <w:ind w:right="732"/>
              <w:spacing w:after="0" w:line="142" w:lineRule="exact"/>
              <w:rPr>
                <w:sz w:val="20"/>
                <w:szCs w:val="20"/>
                <w:color w:val="auto"/>
              </w:rPr>
            </w:pPr>
            <w:r>
              <w:rPr>
                <w:rFonts w:ascii="Arial" w:cs="Arial" w:eastAsia="Arial" w:hAnsi="Arial"/>
                <w:sz w:val="14"/>
                <w:szCs w:val="14"/>
                <w:b w:val="1"/>
                <w:bCs w:val="1"/>
                <w:color w:val="auto"/>
              </w:rPr>
              <w:t>2014</w:t>
            </w:r>
          </w:p>
        </w:tc>
        <w:tc>
          <w:tcPr>
            <w:tcW w:w="10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r>
      <w:tr>
        <w:trPr>
          <w:trHeight w:val="168"/>
        </w:trPr>
        <w:tc>
          <w:tcPr>
            <w:tcW w:w="106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8"/>
              </w:rPr>
              <w:t>($ in millions)</w:t>
            </w:r>
          </w:p>
        </w:tc>
        <w:tc>
          <w:tcPr>
            <w:tcW w:w="1060" w:type="dxa"/>
            <w:vAlign w:val="bottom"/>
          </w:tcPr>
          <w:p>
            <w:pPr>
              <w:spacing w:after="0"/>
              <w:rPr>
                <w:sz w:val="14"/>
                <w:szCs w:val="14"/>
                <w:color w:val="auto"/>
              </w:rPr>
            </w:pPr>
          </w:p>
        </w:tc>
      </w:tr>
    </w:tbl>
    <w:p>
      <w:pPr>
        <w:spacing w:after="0" w:line="96" w:lineRule="exact"/>
        <w:rPr>
          <w:sz w:val="20"/>
          <w:szCs w:val="20"/>
          <w:color w:val="auto"/>
        </w:rPr>
      </w:pPr>
    </w:p>
    <w:p>
      <w:pPr>
        <w:sectPr>
          <w:pgSz w:w="11900" w:h="16838" w:orient="portrait"/>
          <w:cols w:equalWidth="0" w:num="2">
            <w:col w:w="6600" w:space="720"/>
            <w:col w:w="410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4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320.5</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295.8</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provision (benefit)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(1,100.8)</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pursuant to tax receivable agreement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44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60.2</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on disposal of subsidiaries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(158.2)</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370.6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40" w:hanging="452"/>
        <w:spacing w:after="0" w:line="29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primarily of purchases of shares of Class A common stock, tax withholdings related to the settlement of vested restricted stock units (“RSUs”), vested restricted stock awards and vested performance-based restricted stock units (“PRSUs”), Class A common stock dividends and distributions to noncontrolling interest holders, activity relating to borrowings, including, in 2015, the redemption of a majority of the Company’s 2017 Notes and issuance of the 2025 Notes and, in 2013, the refinancing of the 2015 Notes and issuance of the 2020 Notes, and, in 2015, payments made relating to the partial extinguishment of our obligations under the tax receivable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dividend payments, purchases of shares of Class A common stock and matters relating to liquidity and to compliance with regulatory net capital requirements. At December 31, 2015, Lazard had approximately $1.1 billion of cash, with such amount including approximately $512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w:t>
      </w:r>
    </w:p>
    <w:p>
      <w:pPr>
        <w:spacing w:after="0" w:line="1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maintain lines of credit in excess of anticipated liquidity requirements. As of December 31, 2015, Lazard had approximately $235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$27 million (at December 31, 2015 exchange rates) and Edgewater of $55 million. In addition, LFB has access to the Eurosystem Covered Bond Purchase Program of the Banque de France.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table below sets forth our corporate indebtedness as of December 31, 2015 and 2014. The agreements with respect to this indebtedness are discussed in more detail in our consolidated financial statements and related notes included elsewhere in this Form 10-K.</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5"/>
              </w:rPr>
              <w:t>Maturity</w:t>
            </w:r>
          </w:p>
        </w:tc>
        <w:tc>
          <w:tcPr>
            <w:tcW w:w="740" w:type="dxa"/>
            <w:vAlign w:val="bottom"/>
          </w:tcPr>
          <w:p>
            <w:pPr>
              <w:spacing w:after="0"/>
              <w:rPr>
                <w:sz w:val="14"/>
                <w:szCs w:val="14"/>
                <w:color w:val="auto"/>
              </w:rPr>
            </w:pPr>
          </w:p>
        </w:tc>
        <w:tc>
          <w:tcPr>
            <w:tcW w:w="260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84"/>
              </w:rPr>
              <w:t>As of December 31,</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Date</w:t>
            </w:r>
          </w:p>
        </w:tc>
        <w:tc>
          <w:tcPr>
            <w:tcW w:w="740" w:type="dxa"/>
            <w:vAlign w:val="bottom"/>
          </w:tcPr>
          <w:p>
            <w:pPr>
              <w:spacing w:after="0"/>
              <w:rPr>
                <w:sz w:val="12"/>
                <w:szCs w:val="12"/>
                <w:color w:val="auto"/>
              </w:rPr>
            </w:pPr>
          </w:p>
        </w:tc>
        <w:tc>
          <w:tcPr>
            <w:tcW w:w="500" w:type="dxa"/>
            <w:vAlign w:val="bottom"/>
            <w:tcBorders>
              <w:top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432"/>
              <w:spacing w:after="0" w:line="155" w:lineRule="exact"/>
              <w:rPr>
                <w:sz w:val="20"/>
                <w:szCs w:val="20"/>
                <w:color w:val="auto"/>
              </w:rPr>
            </w:pPr>
            <w:r>
              <w:rPr>
                <w:rFonts w:ascii="Arial" w:cs="Arial" w:eastAsia="Arial" w:hAnsi="Arial"/>
                <w:sz w:val="14"/>
                <w:szCs w:val="14"/>
                <w:b w:val="1"/>
                <w:bCs w:val="1"/>
                <w:color w:val="auto"/>
                <w:w w:val="86"/>
              </w:rPr>
              <w:t>($ in millions)</w:t>
            </w:r>
          </w:p>
        </w:tc>
        <w:tc>
          <w:tcPr>
            <w:tcW w:w="7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jc w:val="right"/>
              <w:ind w:right="2452"/>
              <w:spacing w:after="0"/>
              <w:rPr>
                <w:sz w:val="20"/>
                <w:szCs w:val="20"/>
                <w:color w:val="auto"/>
              </w:rPr>
            </w:pPr>
            <w:r>
              <w:rPr>
                <w:rFonts w:ascii="Arial" w:cs="Arial" w:eastAsia="Arial" w:hAnsi="Arial"/>
                <w:sz w:val="18"/>
                <w:szCs w:val="18"/>
                <w:color w:val="auto"/>
                <w:w w:val="85"/>
              </w:rPr>
              <w:t>Senior Debt:</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jc w:val="right"/>
              <w:ind w:right="2452"/>
              <w:spacing w:after="0"/>
              <w:rPr>
                <w:sz w:val="20"/>
                <w:szCs w:val="20"/>
                <w:color w:val="auto"/>
              </w:rPr>
            </w:pPr>
            <w:r>
              <w:rPr>
                <w:rFonts w:ascii="Arial" w:cs="Arial" w:eastAsia="Arial" w:hAnsi="Arial"/>
                <w:sz w:val="18"/>
                <w:szCs w:val="18"/>
                <w:color w:val="auto"/>
              </w:rPr>
              <w:t>6.85%</w:t>
            </w:r>
          </w:p>
        </w:tc>
        <w:tc>
          <w:tcPr>
            <w:tcW w:w="3920" w:type="dxa"/>
            <w:vAlign w:val="bottom"/>
            <w:gridSpan w:val="2"/>
          </w:tcPr>
          <w:p>
            <w:pPr>
              <w:ind w:left="3500"/>
              <w:spacing w:after="0"/>
              <w:rPr>
                <w:sz w:val="20"/>
                <w:szCs w:val="20"/>
                <w:color w:val="auto"/>
              </w:rPr>
            </w:pPr>
            <w:r>
              <w:rPr>
                <w:rFonts w:ascii="Arial" w:cs="Arial" w:eastAsia="Arial" w:hAnsi="Arial"/>
                <w:sz w:val="18"/>
                <w:szCs w:val="18"/>
                <w:color w:val="auto"/>
                <w:w w:val="99"/>
              </w:rPr>
              <w:t>2017</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$ 98.4</w:t>
            </w:r>
          </w:p>
        </w:tc>
        <w:tc>
          <w:tcPr>
            <w:tcW w:w="2080" w:type="dxa"/>
            <w:vAlign w:val="bottom"/>
            <w:gridSpan w:val="3"/>
          </w:tcPr>
          <w:p>
            <w:pPr>
              <w:jc w:val="right"/>
              <w:ind w:right="740"/>
              <w:spacing w:after="0"/>
              <w:rPr>
                <w:sz w:val="20"/>
                <w:szCs w:val="20"/>
                <w:color w:val="auto"/>
              </w:rPr>
            </w:pPr>
            <w:r>
              <w:rPr>
                <w:rFonts w:ascii="Arial" w:cs="Arial" w:eastAsia="Arial" w:hAnsi="Arial"/>
                <w:sz w:val="18"/>
                <w:szCs w:val="18"/>
                <w:color w:val="auto"/>
              </w:rPr>
              <w:t>$  548.4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jc w:val="right"/>
              <w:ind w:right="2452"/>
              <w:spacing w:after="0"/>
              <w:rPr>
                <w:sz w:val="20"/>
                <w:szCs w:val="20"/>
                <w:color w:val="auto"/>
              </w:rPr>
            </w:pPr>
            <w:r>
              <w:rPr>
                <w:rFonts w:ascii="Arial" w:cs="Arial" w:eastAsia="Arial" w:hAnsi="Arial"/>
                <w:sz w:val="18"/>
                <w:szCs w:val="18"/>
                <w:color w:val="auto"/>
              </w:rPr>
              <w:t>4.25%</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20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jc w:val="right"/>
              <w:ind w:right="2452"/>
              <w:spacing w:after="0"/>
              <w:rPr>
                <w:sz w:val="20"/>
                <w:szCs w:val="20"/>
                <w:color w:val="auto"/>
              </w:rPr>
            </w:pPr>
            <w:r>
              <w:rPr>
                <w:rFonts w:ascii="Arial" w:cs="Arial" w:eastAsia="Arial" w:hAnsi="Arial"/>
                <w:sz w:val="18"/>
                <w:szCs w:val="18"/>
                <w:color w:val="auto"/>
              </w:rPr>
              <w:t>3.75%</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2025</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jc w:val="right"/>
              <w:ind w:right="2092"/>
              <w:spacing w:after="0"/>
              <w:rPr>
                <w:sz w:val="20"/>
                <w:szCs w:val="20"/>
                <w:color w:val="auto"/>
              </w:rPr>
            </w:pPr>
            <w:r>
              <w:rPr>
                <w:rFonts w:ascii="Arial" w:cs="Arial" w:eastAsia="Arial" w:hAnsi="Arial"/>
                <w:sz w:val="18"/>
                <w:szCs w:val="18"/>
                <w:color w:val="auto"/>
                <w:w w:val="87"/>
              </w:rPr>
              <w:t>Total Senior Debt</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998.4</w:t>
            </w:r>
          </w:p>
        </w:tc>
        <w:tc>
          <w:tcPr>
            <w:tcW w:w="20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1,048.4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380" w:type="dxa"/>
            <w:vAlign w:val="bottom"/>
            <w:vMerge w:val="restart"/>
          </w:tcPr>
          <w:p>
            <w:pPr>
              <w:jc w:val="right"/>
              <w:ind w:right="932"/>
              <w:spacing w:after="0"/>
              <w:rPr>
                <w:sz w:val="20"/>
                <w:szCs w:val="20"/>
                <w:color w:val="auto"/>
              </w:rPr>
            </w:pPr>
            <w:r>
              <w:rPr>
                <w:rFonts w:ascii="Arial" w:cs="Arial" w:eastAsia="Arial" w:hAnsi="Arial"/>
                <w:sz w:val="18"/>
                <w:szCs w:val="18"/>
                <w:color w:val="auto"/>
              </w:rPr>
              <w:t>58</w:t>
            </w: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During February 2015, Lazard Group completed an offering of the 2025 Notes. Lazard Group used the net proceeds of the 2025 Notes, together with cash on hand, to redeem or otherwise retire $450 million of the 2017 Notes, which, including the recognition of unamortized issuance costs, resulted in a loss on debt extinguishment in connection with the redemption of such 2017 Notes of approximately $60 million.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85"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w:t>
      </w:r>
    </w:p>
    <w:p>
      <w:pPr>
        <w:spacing w:after="0" w:line="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12-month period ending on the last day of any fiscal quarter to be less than 3.00 to 1.00. For the 12-month period ended December 31, 2015, Lazard Group was in compliance with such ratios, with its Consolidated Leverage Ratio being 1.10 to 1.00 and its Consolidated Interest Coverage Ratio being 21.03 to 1.00. In any event, no amounts were outstanding under the Amended and Restated Credit Agreement as of December 31, 2015.</w:t>
      </w:r>
    </w:p>
    <w:p>
      <w:pPr>
        <w:spacing w:after="0" w:line="109"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December 31, 2015,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11 of Notes to Consolidated Financial Statements for additional information regarding senior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At December 31, 2015, total stockholders’ equity was $1,367 million, as compared to $770 million and $630 million at December 31, 2014 and 2013, respectively, including $1,313 million, $707 million and $560 million attributable to Lazard Ltd on the respective dates. The net activity in stockholders’ equity during the years ended December 31, 2015 and 2014 is reflected in the table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2015</w:t>
            </w:r>
          </w:p>
        </w:tc>
        <w:tc>
          <w:tcPr>
            <w:tcW w:w="8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jc w:val="right"/>
              <w:ind w:right="63"/>
              <w:spacing w:after="0" w:line="155" w:lineRule="exact"/>
              <w:rPr>
                <w:sz w:val="20"/>
                <w:szCs w:val="20"/>
                <w:color w:val="auto"/>
              </w:rPr>
            </w:pPr>
            <w:r>
              <w:rPr>
                <w:rFonts w:ascii="Arial" w:cs="Arial" w:eastAsia="Arial" w:hAnsi="Arial"/>
                <w:sz w:val="14"/>
                <w:szCs w:val="14"/>
                <w:b w:val="1"/>
                <w:bCs w:val="1"/>
                <w:color w:val="auto"/>
                <w:w w:val="86"/>
              </w:rPr>
              <w:t>($ in millions)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Equity—Beginning of Year</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770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83"/>
        </w:trPr>
        <w:tc>
          <w:tcPr>
            <w:tcW w:w="8280" w:type="dxa"/>
            <w:vAlign w:val="bottom"/>
            <w:gridSpan w:val="3"/>
          </w:tcPr>
          <w:p>
            <w:pPr>
              <w:ind w:left="460"/>
              <w:spacing w:after="0"/>
              <w:rPr>
                <w:sz w:val="20"/>
                <w:szCs w:val="20"/>
                <w:color w:val="auto"/>
              </w:rPr>
            </w:pPr>
            <w:r>
              <w:rPr>
                <w:rFonts w:ascii="Arial" w:cs="Arial" w:eastAsia="Arial" w:hAnsi="Arial"/>
                <w:sz w:val="18"/>
                <w:szCs w:val="18"/>
                <w:color w:val="auto"/>
              </w:rPr>
              <w:t>Increase (decrease) due to:</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993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Other comprehensive loss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72"/>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Purchase of Class A common stock</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72"/>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4"/>
              </w:rPr>
              <w:t>Settlement of share-based incentive compensation, net of related tax benefit of $13 million and $5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7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million for the years ended December 31, 2015 and 2014, respectively(a)</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Class A common stock dividends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72"/>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Distributions to noncontrolling interests, net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Other—net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72"/>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7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Equity—End of Year</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1,367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The tax withholding portion of share-based compensation is settled in cash, not shares.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w:t>
      </w:r>
      <w:r>
        <w:rPr>
          <w:rFonts w:ascii="Arial" w:cs="Arial" w:eastAsia="Arial" w:hAnsi="Arial"/>
          <w:sz w:val="18"/>
          <w:szCs w:val="18"/>
          <w:i w:val="1"/>
          <w:iCs w:val="1"/>
          <w:color w:val="auto"/>
        </w:rPr>
        <w:t>.</w:t>
      </w:r>
      <w:r>
        <w:rPr>
          <w:rFonts w:ascii="Arial" w:cs="Arial" w:eastAsia="Arial" w:hAnsi="Arial"/>
          <w:sz w:val="18"/>
          <w:szCs w:val="18"/>
          <w:color w:val="auto"/>
        </w:rPr>
        <w:t xml:space="preserve"> The rate at which the Company purchases shares in connection with this annual objective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Number of</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Per</w:t>
            </w:r>
          </w:p>
        </w:tc>
      </w:t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r>
      <w:tr>
        <w:trPr>
          <w:trHeight w:val="129"/>
        </w:trPr>
        <w:tc>
          <w:tcPr>
            <w:tcW w:w="20" w:type="dxa"/>
            <w:vAlign w:val="bottom"/>
          </w:tcPr>
          <w:p>
            <w:pPr>
              <w:spacing w:after="0"/>
              <w:rPr>
                <w:sz w:val="11"/>
                <w:szCs w:val="11"/>
                <w:color w:val="auto"/>
              </w:rPr>
            </w:pPr>
          </w:p>
        </w:tc>
        <w:tc>
          <w:tcPr>
            <w:tcW w:w="170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Years Ended December 31:</w:t>
            </w:r>
          </w:p>
        </w:tc>
        <w:tc>
          <w:tcPr>
            <w:tcW w:w="79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CCEEFF"/>
            </w:tcBorders>
            <w:shd w:val="clear" w:color="auto" w:fill="CCEEFF"/>
          </w:tcPr>
          <w:p>
            <w:pPr>
              <w:spacing w:after="0"/>
              <w:rPr>
                <w:sz w:val="11"/>
                <w:szCs w:val="11"/>
                <w:color w:val="auto"/>
              </w:rPr>
            </w:pPr>
          </w:p>
        </w:tc>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2013</w:t>
            </w:r>
          </w:p>
        </w:tc>
        <w:tc>
          <w:tcPr>
            <w:tcW w:w="9100" w:type="dxa"/>
            <w:vAlign w:val="bottom"/>
            <w:gridSpan w:val="3"/>
          </w:tcPr>
          <w:p>
            <w:pPr>
              <w:ind w:left="7980"/>
              <w:spacing w:after="0"/>
              <w:rPr>
                <w:sz w:val="20"/>
                <w:szCs w:val="20"/>
                <w:color w:val="auto"/>
              </w:rPr>
            </w:pPr>
            <w:r>
              <w:rPr>
                <w:rFonts w:ascii="Arial" w:cs="Arial" w:eastAsia="Arial" w:hAnsi="Arial"/>
                <w:sz w:val="18"/>
                <w:szCs w:val="18"/>
                <w:color w:val="auto"/>
              </w:rPr>
              <w:t>3,488,101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$37.98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9100" w:type="dxa"/>
            <w:vAlign w:val="bottom"/>
            <w:gridSpan w:val="3"/>
            <w:shd w:val="clear" w:color="auto" w:fill="CCEEFF"/>
          </w:tcPr>
          <w:p>
            <w:pPr>
              <w:ind w:left="7980"/>
              <w:spacing w:after="0"/>
              <w:rPr>
                <w:sz w:val="20"/>
                <w:szCs w:val="20"/>
                <w:color w:val="auto"/>
              </w:rPr>
            </w:pPr>
            <w:r>
              <w:rPr>
                <w:rFonts w:ascii="Arial" w:cs="Arial" w:eastAsia="Arial" w:hAnsi="Arial"/>
                <w:sz w:val="18"/>
                <w:szCs w:val="18"/>
                <w:color w:val="auto"/>
              </w:rPr>
              <w:t>4,114,206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$46.83</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2015</w:t>
            </w:r>
          </w:p>
        </w:tc>
        <w:tc>
          <w:tcPr>
            <w:tcW w:w="9100" w:type="dxa"/>
            <w:vAlign w:val="bottom"/>
            <w:gridSpan w:val="3"/>
          </w:tcPr>
          <w:p>
            <w:pPr>
              <w:ind w:left="7980"/>
              <w:spacing w:after="0"/>
              <w:rPr>
                <w:sz w:val="20"/>
                <w:szCs w:val="20"/>
                <w:color w:val="auto"/>
              </w:rPr>
            </w:pPr>
            <w:r>
              <w:rPr>
                <w:rFonts w:ascii="Arial" w:cs="Arial" w:eastAsia="Arial" w:hAnsi="Arial"/>
                <w:sz w:val="18"/>
                <w:szCs w:val="18"/>
                <w:color w:val="auto"/>
              </w:rPr>
              <w:t>3,438,789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$50.24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December 31, 2015, a total of $106 million of share repurchase authorization remained available under the Company’s share repurchase program, which will expire on December 31, 2016.</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on January 27, 2016, the Board of Directors of Lazard authorized the repurchase of up to $200 million of additional shares of Class A common stock, which authorization will expire on December 31, 2017.</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year ended December 31, 2015, the Company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February 1, 2016, the Board of Directors of Lazard declared a special dividend of $1.20 per share, as well as a quarterly dividend of $0.35 per share, on our Class A common stock, payable on February 26, 2016, to stockholders of record on February 11, 2016.</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See Notes 13 and 14 of Notes to Consolidated Financial Statements for additional information regarding Lazard’s stockholders’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See Note 19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this Form 10-K and Note 19 of Notes to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December 31,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Less than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1 Year</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3-5 Years</w:t>
            </w:r>
          </w:p>
        </w:tc>
        <w:tc>
          <w:tcPr>
            <w:tcW w:w="4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$ 1,256,497</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42,987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$ 174,218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$ 572,500</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$ 466,792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Operating Leases (exclusive of $63,843 of committed sublease income)</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869,908</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77,651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141,002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123,257</w:t>
            </w: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527,998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9,632</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9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10,242</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10,242</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$ 2,146,279</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$ 132,940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$ 322,766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$ 695,783</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$ 994,790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Note 11 of Notes to Consolidated Financial Statements.</w:t>
      </w:r>
    </w:p>
    <w:p>
      <w:pPr>
        <w:spacing w:after="0" w:line="15"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$5,501 are excluded. Such commitments are required to be funded by capital contributions from noncontrolling interest holders. See Note 6 of Notes to Consolidated Financial Statements. These amounts are generally due on demand and therefore are presented in the “less than 1 year” category.</w:t>
      </w:r>
    </w:p>
    <w:p>
      <w:pPr>
        <w:spacing w:after="0" w:line="1" w:lineRule="exact"/>
        <w:rPr>
          <w:rFonts w:ascii="Arial" w:cs="Arial" w:eastAsia="Arial" w:hAnsi="Arial"/>
          <w:sz w:val="18"/>
          <w:szCs w:val="18"/>
          <w:color w:val="auto"/>
        </w:rPr>
      </w:pPr>
    </w:p>
    <w:p>
      <w:pPr>
        <w:ind w:left="460" w:right="40" w:hanging="452"/>
        <w:spacing w:after="0" w:line="290"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and payments pursuant to the Company’s tax receivable agreement, given the inability to make a reasonably reliable estimate of the timing of the amounts of any such payments. At December 31, 2015, a tax receivable agreement obligation of $523,962 was recorded on the consolidated statements of financial condition, of which the Company currently expects that approximately $10,086 will be paid within the next 12 months. See “Critical Accounting Policies and Estimates—Income Taxes” below. See also Notes 12, 14, 15 and 17 of Notes to Consolidated Financial Statements regarding information in connection with commitments, incentive plans, employee benefit plans, tax receivable agreement obligations and income taxes,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 markets or general macroeconomic conditions, it may adversely affect our financial position and results of operations by reducing AUM, net revenue or otherwise. See Item 1A, “Risk Factors—Other Business Risks—Difficult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is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assets and liabilities. On an ongoing basis, Lazard evaluates its estimates, including those related to revenue recognition, income taxes (including the impact on the tax receivable agreement obligation),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jurisdictions.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2015, on a consolidated basis, we recorded gross deferred tax assets of approximately $1.28 billion with such amount partially offset by a valuation allowance of approximately $89.3 million.</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212"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December 31, 2014, the Company had a valuation allowance on substantially all of our deferred tax assets. Certain of our tax-paying entities at which we have historically recorded significant valuation allowances were profitable on a cumulative basis for the three year periods ended June 30, 2015. In assessing our valuation allowance as of June 30, 2015, we considered all available information, including the magnitude of recent and current operating results, the relatively long duration of statutory carryforward periods, our historical experience utilizing tax attributes prior to their expiration dates, the historical volatility of operating results of these entities and our assessment regarding the sustainability of their profitability. At that time, we concluded that there was a sufficient history of sustained profitability at these entities that it was more likely than not that these entities would be able to realize deferred tax assets. Accordingly, during the period ended June 30, 2015, we released substantially all of the valuation allowance against the deferred tax assets held by these entities.</w:t>
      </w:r>
    </w:p>
    <w:p>
      <w:pPr>
        <w:spacing w:after="0" w:line="11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As a result, during the year ended December 31, 2015, we recorded a deferred tax benefit of approximately $878 million. We also recorded a separate deferred tax benefit of $378 million that reflected the tax deductibility of payments under the tax receivable agreement. In addition, we recorded a deferred tax expense of approximately $161 million relating to the reduction of a deferred tax asset as a result of the partial extinguishment of our tax</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receivable agreement obligation. See “—Amended and Restated Tax Receivable Agreement” below for more information regarding our accrual under the tax receivable agreement in the second quarter of 2015 and the partial extinguishment of our tax receivable agreement obligation in the third quarter of 2015.</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a result of the release of our valuation allowance during 2015, we expect that, beginning in 2016, our effective tax rate, with all other factors being held constant, could be significantly higher than our effective tax rate for the year ended December 31, 2014. In such a situation, with all other factors being held constant, an increase in our effective tax rate as a result of the reduction in the valuation allowance would not impact the amount of cash income taxes we would pay to taxing authorities. However, as described below, payments under the Amended and Restated Tax Receivable Agreement may be required in subsequent periods.</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1A, “Risk Factors” and Note 17 of Notes to Consolidated Financial Statements for additional information related to income taxes.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Amended and Restated Tax Receivable Agreement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described above, during the period ended June 30, 2015, we released substantially all of our valuation allowance against deferred tax assets. As a result, we accrued a corresponding liability of $962 million during the quarter ended June 30, 2015 for amounts relating to the Amended and Restated Tax Receivable Agreement, dated as of June 16, 2015, among Lazard, LMDC Holdings LLC and LTBP Trust (the “Trust”), as amended by the Second Amended and Restated Tax Receivable Agreement, dated as of October 26, 2015 (the “Amended and Restated Tax Receivable Agreement”), between Lazard and the Trust. See Note 17 of Notes to Consolidated Financial Statements for additional information regarding the Amended and Restated Tax Receivable Agreement.</w:t>
      </w:r>
    </w:p>
    <w:p>
      <w:pPr>
        <w:spacing w:after="0" w:line="116"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consolidated statement of operations. Adjustments, if necessary, to the related deferred tax assets would be recorded through income tax expense.</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July 2015, we purchased approximately 47% of the then-outstanding beneficial interests in the Trust from certain owners of the Trust for $42 million in cash, which resulted in the automatic cancellation of such beneficial interests and the extinguishment of a significant portion of our payment obligations under the Amended and Restated Tax Receivable Agreement. The extinguishment of these payment obligations resulted in a pre-tax gain of $421 million recorded in “provision (benefit) pursuant to tax receivable agreement” on the consolidated statement of operations for the year ended December 31, 2015. In addition, the extinguishment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these payment obligations resulted in a reduction of the tax benefits that would have been attributable to the actual payments and, accordingly, we recorded a deferred tax expense of $161 million on the consolidated statement of operations for the year ended December 31, 2015.</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cumulative liability relating to our obligations under the Amended and Restated Tax Receivable Agreement recorded as of December 31, 2015 was $524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investments, with the exception of interest-bearing deposits and equity method investments, are carried at fair value on the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Consolidated Financial Statements for additional information on the measurement of the fair value of investments.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investments is set forth below:</w:t>
      </w:r>
    </w:p>
    <w:p>
      <w:pPr>
        <w:spacing w:after="0" w:line="30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ind w:lef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3"/>
          </w:tcPr>
          <w:p>
            <w:pPr>
              <w:jc w:val="right"/>
              <w:ind w:right="452"/>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Seed investments by asset class: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Equities (a)</w:t>
            </w: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85,419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$ 121,611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26,728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2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56,505</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seed investments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157,343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2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(b)</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Interest-bearing deposits (c)</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54,885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84,575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and other</w:t>
            </w:r>
          </w:p>
        </w:tc>
        <w:tc>
          <w:tcPr>
            <w:tcW w:w="27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21,872</w:t>
            </w:r>
          </w:p>
        </w:tc>
        <w:tc>
          <w:tcPr>
            <w:tcW w:w="6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Total other investments owned</w:t>
            </w:r>
          </w:p>
        </w:tc>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160,486</w:t>
            </w:r>
          </w:p>
        </w:tc>
        <w:tc>
          <w:tcPr>
            <w:tcW w:w="6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317,829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392,966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Add:</w:t>
            </w:r>
          </w:p>
        </w:tc>
        <w:tc>
          <w:tcPr>
            <w:tcW w:w="2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(d)</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Private equity consolidated, not owned (e)</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16,490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LFI (f)</w:t>
            </w:r>
          </w:p>
        </w:tc>
        <w:tc>
          <w:tcPr>
            <w:tcW w:w="2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198,675</w:t>
            </w:r>
          </w:p>
        </w:tc>
        <w:tc>
          <w:tcPr>
            <w:tcW w:w="6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541,911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$ 620,352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760" w:type="dxa"/>
            <w:vAlign w:val="bottom"/>
            <w:vMerge w:val="restart"/>
          </w:tcPr>
          <w:p>
            <w:pPr>
              <w:jc w:val="right"/>
              <w:ind w:right="2072"/>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December 31, 2015 and 2014, seed investments in directly owned equity securities were invested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6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196"/>
        </w:trPr>
        <w:tc>
          <w:tcPr>
            <w:tcW w:w="860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Financials</w:t>
            </w:r>
          </w:p>
        </w:tc>
        <w:tc>
          <w:tcPr>
            <w:tcW w:w="1300" w:type="dxa"/>
            <w:vAlign w:val="bottom"/>
            <w:gridSpan w:val="2"/>
          </w:tcPr>
          <w:p>
            <w:pPr>
              <w:jc w:val="right"/>
              <w:ind w:right="692"/>
              <w:spacing w:after="0"/>
              <w:rPr>
                <w:sz w:val="20"/>
                <w:szCs w:val="20"/>
                <w:color w:val="auto"/>
              </w:rPr>
            </w:pPr>
            <w:r>
              <w:rPr>
                <w:rFonts w:ascii="Arial" w:cs="Arial" w:eastAsia="Arial" w:hAnsi="Arial"/>
                <w:sz w:val="18"/>
                <w:szCs w:val="18"/>
                <w:color w:val="auto"/>
              </w:rPr>
              <w:t>33%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Consumer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Technology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Energy</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22"/>
        </w:trPr>
        <w:tc>
          <w:tcPr>
            <w:tcW w:w="8600" w:type="dxa"/>
            <w:vAlign w:val="bottom"/>
          </w:tcPr>
          <w:p>
            <w:pPr>
              <w:ind w:left="1900"/>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right"/>
              <w:ind w:right="692"/>
              <w:spacing w:after="0"/>
              <w:rPr>
                <w:sz w:val="20"/>
                <w:szCs w:val="20"/>
                <w:color w:val="auto"/>
              </w:rPr>
            </w:pPr>
            <w:r>
              <w:rPr>
                <w:rFonts w:ascii="Arial" w:cs="Arial" w:eastAsia="Arial" w:hAnsi="Arial"/>
                <w:sz w:val="18"/>
                <w:szCs w:val="18"/>
                <w:color w:val="auto"/>
              </w:rPr>
              <w:t>100%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48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$30 million and $25 million as of December 31, 2015 and 2014, respectively.</w:t>
      </w:r>
    </w:p>
    <w:p>
      <w:pPr>
        <w:spacing w:after="0" w:line="4" w:lineRule="exact"/>
        <w:rPr>
          <w:rFonts w:ascii="Arial" w:cs="Arial" w:eastAsia="Arial" w:hAnsi="Arial"/>
          <w:sz w:val="16"/>
          <w:szCs w:val="16"/>
          <w:color w:val="auto"/>
        </w:rPr>
      </w:pPr>
    </w:p>
    <w:p>
      <w:pPr>
        <w:ind w:left="460" w:right="140" w:hanging="452"/>
        <w:spacing w:after="0" w:line="256"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Short to medium term interest rates generally turned negative in Europe during 2014 and remain very low in many other countries and regions throughout the world. In the normal course of asset and liability management activities,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90" w:lineRule="exact"/>
        <w:rPr>
          <w:rFonts w:ascii="Arial" w:cs="Arial" w:eastAsia="Arial" w:hAnsi="Arial"/>
          <w:sz w:val="18"/>
          <w:szCs w:val="18"/>
          <w:color w:val="auto"/>
        </w:rPr>
      </w:pPr>
    </w:p>
    <w:p>
      <w:pPr>
        <w:ind w:left="460" w:right="14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private equity investments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4" w:lineRule="exact"/>
        <w:rPr>
          <w:rFonts w:ascii="Arial" w:cs="Arial" w:eastAsia="Arial" w:hAnsi="Arial"/>
          <w:sz w:val="16"/>
          <w:szCs w:val="16"/>
          <w:color w:val="auto"/>
        </w:rPr>
      </w:pPr>
    </w:p>
    <w:p>
      <w:pPr>
        <w:ind w:left="460" w:right="80" w:hanging="452"/>
        <w:spacing w:after="0" w:line="256"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December 31, 2015 and 2014, total investments with a fair value of $478 million and $528 million, respectively, included $1 million and $1 million, respectively, or less than 1%, respectively, of investments that were classified as Level 3 investments and $123 million and $149 million, respectively, or 26% and 28%, respectively, of investments that were classified using NAV or its equivalent as a practical expedient. See Notes 5 and 6 of Notes to Consolidated Financial Statements for additional information regarding investments measured at fair value, including the levels of fair value within which such measurements of fair value fall.</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As of December 31, 2015 and 2014, the Company held seed investments of approximately $157 million and $175 million, respectively. Seed investments held in entities in which the Company maintained a controlling interest were $60 million in twelve entities as of December 31, 2015, as compared to $54 million in eight entities as of December 31, 2014.</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the year ended December 31, 2015, the Company did not consolidate or deconsolidate any seed investment entities. As such, 100% of the recorded balance of seed investments as of December 31, 2015 represented the Company’s economic interest in the seed investments. See “—Consolidation of Variable Interest Entities” below for more information on the Company’s policy regarding the consolidation of seed investment entities.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9 of Notes to Consolidated Financial Statements for additional information regarding goodwill.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9" w:lineRule="exact"/>
        <w:rPr>
          <w:sz w:val="20"/>
          <w:szCs w:val="20"/>
          <w:color w:val="auto"/>
        </w:rPr>
      </w:pPr>
    </w:p>
    <w:p>
      <w:pPr>
        <w:ind w:left="900" w:right="140" w:hanging="325"/>
        <w:spacing w:after="0" w:line="29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either holds a majority of the voting interest in such entity or is the general partner in such entity and the third-party investors do not have the right to replace the general partner.</w:t>
      </w:r>
    </w:p>
    <w:p>
      <w:pPr>
        <w:spacing w:after="0" w:line="31"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through our variable interests, we absorb a majority of the expected losses, expected residual returns, or both, of such entity.</w:t>
      </w:r>
    </w:p>
    <w:p>
      <w:pPr>
        <w:spacing w:after="0" w:line="10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Lazard makes seed investments in certain entities that are considered VOEs and often require consolidation as a result of our investment. The impact of seed investment entities that require consolidation on the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98"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Equity Market Price Risk—At December 31, 2015 and 2014, the Company’s exposure to equity market price risk in its investment portfolio, which primarily relates to investments in equity securities, equity funds and hedge funds, was approximately $129 million and $131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$1.8 million and $2.0 million in the carrying value of such investments as of December 31, 2015 and 2014, respectively, including the effect of the hedging transactions.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Rate/Credit Spread Risk—At December 31, 2015 and 2014, the Company’s exposure to interest rate and credit spread risk in its investment portfolio related to investments in debt securities or funds which invest primarily in debt securities was $50 million and $54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$0.8 million and $1.0 million in the carrying value of such investments as of December 31, 2015 and 2014, respectively, including the effect of the hedging transactions.</w:t>
      </w:r>
    </w:p>
    <w:p>
      <w:pPr>
        <w:spacing w:after="0" w:line="11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Foreign Exchange Rate Risk—At December 31, 2015 and 2014, the Company’s exposure to foreign exchange rate risk in its investment portfolio, which primarily relates to investments in foreign currency denominated equity and debt securities, was $64 million and $68 million, respectively. A significant portion of the Company’s foreign currency exposure related to our equity and debt investment portfolios is hedged through the aforementioned total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return swaps. The Company estimates that a 10% adverse change in foreign exchange rates versus the U.S. dollar would result in a decrease of approximately $1.0 million and $0.6 million in the carrying value of such investments as of December 31, 2015 and 2014, respectively, including the effect of the hedging transactions.</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At December 31, 2015 and 2014, the Company’s exposure to changes in fair value of such investments was approximately $84 million and $108 million, respectively. The Company estimates that a hypothetical 10% adverse change in fair value would result in a decrease of approximately $8.4 million and $10.8 million in the carrying value of such investments as of December 31, 2015 and 2014,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December 31, 2015, total receivables amounted to $497 million, net of an allowance for doubtful accounts of</w:t>
      </w:r>
    </w:p>
    <w:p>
      <w:pPr>
        <w:spacing w:after="0" w:line="1"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$13 million. As of that date, Financial Advisory and Asset Management fees, and customer receivables comprised 85% and 15% of total receivables, respectively. At December 31, 2014, total receivables amounted to $558 million, net of an allowance for doubtful accounts of $24 million. As of that date, Financial Advisory and Asset Management fees, and customer receivables comprised 87% and 13% of total receivables, respectively. At December 31, 2015 and 2014, the Company had receivables past due or deemed uncollectible of approximately $20 million and $25 million, respectively. See also “Critical Accounting Policies and Estimates—Revenue Recognition” above and Note 4 of Notes to Consolidated Financial Statements for additional information regarding receivables.</w:t>
      </w:r>
    </w:p>
    <w:p>
      <w:pPr>
        <w:spacing w:after="0" w:line="10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December 31, 2015 and 2014, customer receivables included $38 million and $35 million of LFB loans, respectively, with such loans being fully collateralized and closely monitored for counterparty creditworthiness.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$1 million and $2 million at December 31, 2015 and 2014, respectively, and derivative liabilities, excluding the derivative liability arising from the Company’s obligation pertaining to LFI and other similar deferred compensation arrangements, amounted to $2 million and $0.8 million at such respective dates.</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$194 million and $207 million at December 31, 2015 and 2014,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December 31, 2015, Lazard estimates that its annual operating income relating to cash and cash equivalents would increase by approximately $11 million in the event interest rates were to increase by 1% and decrease by approximately $11 million if rates were to decrease by 1%.</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of December 31, 2015, the Company’s cash and cash equivalents totaled approximately $1.1 billion.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and (iii)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 See Item 1A, “Risk Factors” above for more information regarding operational risk in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3 of Notes to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gridSpan w:val="16"/>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1"/>
        </w:trPr>
        <w:tc>
          <w:tcPr>
            <w:tcW w:w="10820" w:type="dxa"/>
            <w:vAlign w:val="bottom"/>
            <w:gridSpan w:val="18"/>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r>
      <w:tr>
        <w:trPr>
          <w:trHeight w:val="156"/>
        </w:trPr>
        <w:tc>
          <w:tcPr>
            <w:tcW w:w="440" w:type="dxa"/>
            <w:vAlign w:val="bottom"/>
          </w:tcPr>
          <w:p>
            <w:pPr>
              <w:spacing w:after="0"/>
              <w:rPr>
                <w:sz w:val="13"/>
                <w:szCs w:val="13"/>
                <w:color w:val="auto"/>
              </w:rPr>
            </w:pPr>
          </w:p>
        </w:tc>
        <w:tc>
          <w:tcPr>
            <w:tcW w:w="10380" w:type="dxa"/>
            <w:vAlign w:val="bottom"/>
            <w:gridSpan w:val="17"/>
          </w:tcPr>
          <w:p>
            <w:pPr>
              <w:spacing w:after="0" w:line="136" w:lineRule="exact"/>
              <w:rPr>
                <w:rFonts w:ascii="Arial" w:cs="Arial" w:eastAsia="Arial" w:hAnsi="Arial"/>
                <w:sz w:val="15"/>
                <w:szCs w:val="15"/>
                <w:color w:val="0000EE"/>
              </w:rPr>
            </w:pPr>
            <w:hyperlink w:anchor="page74">
              <w:r>
                <w:rPr>
                  <w:rFonts w:ascii="Arial" w:cs="Arial" w:eastAsia="Arial" w:hAnsi="Arial"/>
                  <w:sz w:val="15"/>
                  <w:szCs w:val="15"/>
                  <w:color w:val="0000EE"/>
                </w:rPr>
                <w:t>Management’s Report On Internal Control Over Financial Reporting</w:t>
              </w:r>
            </w:hyperlink>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72</w:t>
            </w:r>
          </w:p>
        </w:tc>
        <w:tc>
          <w:tcPr>
            <w:tcW w:w="20" w:type="dxa"/>
            <w:vAlign w:val="bottom"/>
          </w:tcPr>
          <w:p>
            <w:pPr>
              <w:spacing w:after="0"/>
              <w:rPr>
                <w:sz w:val="13"/>
                <w:szCs w:val="13"/>
                <w:color w:val="auto"/>
              </w:rPr>
            </w:pPr>
          </w:p>
        </w:tc>
      </w:tr>
      <w:tr>
        <w:trPr>
          <w:trHeight w:val="318"/>
        </w:trPr>
        <w:tc>
          <w:tcPr>
            <w:tcW w:w="440" w:type="dxa"/>
            <w:vAlign w:val="bottom"/>
          </w:tcPr>
          <w:p>
            <w:pPr>
              <w:spacing w:after="0"/>
              <w:rPr>
                <w:sz w:val="24"/>
                <w:szCs w:val="24"/>
                <w:color w:val="auto"/>
              </w:rPr>
            </w:pPr>
          </w:p>
        </w:tc>
        <w:tc>
          <w:tcPr>
            <w:tcW w:w="4820" w:type="dxa"/>
            <w:vAlign w:val="bottom"/>
            <w:tcBorders>
              <w:top w:val="single" w:sz="8" w:color="0000EE"/>
            </w:tcBorders>
            <w:gridSpan w:val="7"/>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Reports of Independent Registered Public Accounting Firm</w:t>
              </w:r>
            </w:hyperlink>
          </w:p>
        </w:tc>
        <w:tc>
          <w:tcPr>
            <w:tcW w:w="5560" w:type="dxa"/>
            <w:vAlign w:val="bottom"/>
            <w:gridSpan w:val="10"/>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73-74</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8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77">
              <w:r>
                <w:rPr>
                  <w:rFonts w:ascii="Arial" w:cs="Arial" w:eastAsia="Arial" w:hAnsi="Arial"/>
                  <w:sz w:val="18"/>
                  <w:szCs w:val="18"/>
                  <w:color w:val="0000EE"/>
                  <w:w w:val="87"/>
                </w:rPr>
                <w:t>Consolidated Statements of Financial Condition as of December 31, 2015 and 2014</w:t>
              </w:r>
            </w:hyperlink>
          </w:p>
        </w:tc>
        <w:tc>
          <w:tcPr>
            <w:tcW w:w="4500" w:type="dxa"/>
            <w:vAlign w:val="bottom"/>
            <w:gridSpan w:val="8"/>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Consolidated Statements of Operations for the years ended December 31, 2015, 2014 and 2013</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Comprehensive Income for the years ended December 31, 2015, 2014 and 2013</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304"/>
        </w:trPr>
        <w:tc>
          <w:tcPr>
            <w:tcW w:w="440" w:type="dxa"/>
            <w:vAlign w:val="bottom"/>
          </w:tcPr>
          <w:p>
            <w:pPr>
              <w:spacing w:after="0"/>
              <w:rPr>
                <w:sz w:val="24"/>
                <w:szCs w:val="24"/>
                <w:color w:val="auto"/>
              </w:rPr>
            </w:pPr>
          </w:p>
        </w:tc>
        <w:tc>
          <w:tcPr>
            <w:tcW w:w="67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6"/>
              </w:rPr>
            </w:pPr>
            <w:hyperlink w:anchor="page81">
              <w:r>
                <w:rPr>
                  <w:rFonts w:ascii="Arial" w:cs="Arial" w:eastAsia="Arial" w:hAnsi="Arial"/>
                  <w:sz w:val="18"/>
                  <w:szCs w:val="18"/>
                  <w:color w:val="0000EE"/>
                  <w:w w:val="86"/>
                </w:rPr>
                <w:t>Consolidated Statements of Cash Flows for the years ended December 31, 2015, 2014 and 2013</w:t>
              </w:r>
            </w:hyperlink>
          </w:p>
        </w:tc>
        <w:tc>
          <w:tcPr>
            <w:tcW w:w="840" w:type="dxa"/>
            <w:vAlign w:val="bottom"/>
            <w:tcBorders>
              <w:top w:val="single" w:sz="8" w:color="0000EE"/>
            </w:tcBorders>
            <w:gridSpan w:val="2"/>
          </w:tcPr>
          <w:p>
            <w:pPr>
              <w:spacing w:after="0"/>
              <w:rPr>
                <w:sz w:val="24"/>
                <w:szCs w:val="24"/>
                <w:color w:val="auto"/>
              </w:rPr>
            </w:pPr>
          </w:p>
        </w:tc>
        <w:tc>
          <w:tcPr>
            <w:tcW w:w="2800" w:type="dxa"/>
            <w:vAlign w:val="bottom"/>
            <w:gridSpan w:val="2"/>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304"/>
        </w:trPr>
        <w:tc>
          <w:tcPr>
            <w:tcW w:w="440" w:type="dxa"/>
            <w:vAlign w:val="bottom"/>
          </w:tcPr>
          <w:p>
            <w:pPr>
              <w:spacing w:after="0"/>
              <w:rPr>
                <w:sz w:val="24"/>
                <w:szCs w:val="24"/>
                <w:color w:val="auto"/>
              </w:rPr>
            </w:pPr>
          </w:p>
        </w:tc>
        <w:tc>
          <w:tcPr>
            <w:tcW w:w="82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82">
              <w:r>
                <w:rPr>
                  <w:rFonts w:ascii="Arial" w:cs="Arial" w:eastAsia="Arial" w:hAnsi="Arial"/>
                  <w:sz w:val="18"/>
                  <w:szCs w:val="18"/>
                  <w:color w:val="0000EE"/>
                  <w:w w:val="88"/>
                </w:rPr>
                <w:t>Consolidated Statements of Changes in Stockholders’ Equity for the years ended December 31, 2015, 2014 and 2013</w:t>
              </w:r>
            </w:hyperlink>
          </w:p>
        </w:tc>
        <w:tc>
          <w:tcPr>
            <w:tcW w:w="21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304"/>
        </w:trPr>
        <w:tc>
          <w:tcPr>
            <w:tcW w:w="440" w:type="dxa"/>
            <w:vAlign w:val="bottom"/>
          </w:tcPr>
          <w:p>
            <w:pPr>
              <w:spacing w:after="0"/>
              <w:rPr>
                <w:sz w:val="24"/>
                <w:szCs w:val="24"/>
                <w:color w:val="auto"/>
              </w:rPr>
            </w:pPr>
          </w:p>
        </w:tc>
        <w:tc>
          <w:tcPr>
            <w:tcW w:w="30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85">
              <w:r>
                <w:rPr>
                  <w:rFonts w:ascii="Arial" w:cs="Arial" w:eastAsia="Arial" w:hAnsi="Arial"/>
                  <w:sz w:val="18"/>
                  <w:szCs w:val="18"/>
                  <w:color w:val="0000EE"/>
                  <w:w w:val="87"/>
                </w:rPr>
                <w:t>Notes to Consolidated Financial Statements</w:t>
              </w:r>
            </w:hyperlink>
          </w:p>
        </w:tc>
        <w:tc>
          <w:tcPr>
            <w:tcW w:w="7300" w:type="dxa"/>
            <w:vAlign w:val="bottom"/>
            <w:gridSpan w:val="12"/>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r>
        <w:trPr>
          <w:trHeight w:val="264"/>
        </w:trPr>
        <w:tc>
          <w:tcPr>
            <w:tcW w:w="10820" w:type="dxa"/>
            <w:vAlign w:val="bottom"/>
            <w:gridSpan w:val="18"/>
          </w:tcPr>
          <w:p>
            <w:pPr>
              <w:spacing w:after="0"/>
              <w:rPr>
                <w:rFonts w:ascii="Arial" w:cs="Arial" w:eastAsia="Arial" w:hAnsi="Arial"/>
                <w:sz w:val="18"/>
                <w:szCs w:val="18"/>
                <w:b w:val="1"/>
                <w:bCs w:val="1"/>
                <w:color w:val="0000EE"/>
              </w:rPr>
            </w:pPr>
            <w:hyperlink w:anchor="page134">
              <w:r>
                <w:rPr>
                  <w:rFonts w:ascii="Arial" w:cs="Arial" w:eastAsia="Arial" w:hAnsi="Arial"/>
                  <w:sz w:val="18"/>
                  <w:szCs w:val="18"/>
                  <w:b w:val="1"/>
                  <w:bCs w:val="1"/>
                  <w:color w:val="0000EE"/>
                </w:rPr>
                <w:t>Supplemental Financial Information</w:t>
              </w:r>
            </w:hyperlink>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12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34">
              <w:r>
                <w:rPr>
                  <w:rFonts w:ascii="Arial" w:cs="Arial" w:eastAsia="Arial" w:hAnsi="Arial"/>
                  <w:sz w:val="18"/>
                  <w:szCs w:val="18"/>
                  <w:color w:val="0000EE"/>
                  <w:w w:val="87"/>
                </w:rPr>
                <w:t>Quarterly Results</w:t>
              </w:r>
            </w:hyperlink>
          </w:p>
        </w:tc>
        <w:tc>
          <w:tcPr>
            <w:tcW w:w="1060" w:type="dxa"/>
            <w:vAlign w:val="bottom"/>
            <w:tcBorders>
              <w:top w:val="single" w:sz="8" w:color="0000EE"/>
            </w:tcBorders>
          </w:tcPr>
          <w:p>
            <w:pPr>
              <w:spacing w:after="0"/>
              <w:rPr>
                <w:sz w:val="24"/>
                <w:szCs w:val="24"/>
                <w:color w:val="auto"/>
              </w:rPr>
            </w:pPr>
          </w:p>
        </w:tc>
        <w:tc>
          <w:tcPr>
            <w:tcW w:w="8080" w:type="dxa"/>
            <w:vAlign w:val="bottom"/>
            <w:gridSpan w:val="14"/>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r>
      <w:tr>
        <w:trPr>
          <w:trHeight w:val="302"/>
        </w:trPr>
        <w:tc>
          <w:tcPr>
            <w:tcW w:w="10820" w:type="dxa"/>
            <w:vAlign w:val="bottom"/>
            <w:gridSpan w:val="18"/>
          </w:tcPr>
          <w:p>
            <w:pPr>
              <w:spacing w:after="0"/>
              <w:rPr>
                <w:sz w:val="20"/>
                <w:szCs w:val="20"/>
                <w:color w:val="auto"/>
              </w:rPr>
            </w:pPr>
            <w:r>
              <w:rPr>
                <w:rFonts w:ascii="Arial" w:cs="Arial" w:eastAsia="Arial" w:hAnsi="Arial"/>
                <w:sz w:val="18"/>
                <w:szCs w:val="18"/>
                <w:b w:val="1"/>
                <w:bCs w:val="1"/>
                <w:color w:val="auto"/>
              </w:rPr>
              <w:t>Financial Statement Schedules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10820" w:type="dxa"/>
            <w:vAlign w:val="bottom"/>
            <w:gridSpan w:val="18"/>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Condensed Statements of Financial Condition as of December 31, 2015 and 2014</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r>
      <w:tr>
        <w:trPr>
          <w:trHeight w:val="20"/>
        </w:trPr>
        <w:tc>
          <w:tcPr>
            <w:tcW w:w="44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5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145">
              <w:r>
                <w:rPr>
                  <w:rFonts w:ascii="Arial" w:cs="Arial" w:eastAsia="Arial" w:hAnsi="Arial"/>
                  <w:sz w:val="18"/>
                  <w:szCs w:val="18"/>
                  <w:color w:val="0000EE"/>
                  <w:w w:val="86"/>
                </w:rPr>
                <w:t>Condensed Statements of Operations for the years ended December 31, 2015, 2014 and 2013</w:t>
              </w:r>
            </w:hyperlink>
          </w:p>
        </w:tc>
        <w:tc>
          <w:tcPr>
            <w:tcW w:w="3840" w:type="dxa"/>
            <w:vAlign w:val="bottom"/>
            <w:gridSpan w:val="7"/>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Condensed Statements of Comprehensive Income for the years ended December 31, 2015, 2014 and 2013</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r>
      <w:tr>
        <w:trPr>
          <w:trHeight w:val="304"/>
        </w:trPr>
        <w:tc>
          <w:tcPr>
            <w:tcW w:w="440" w:type="dxa"/>
            <w:vAlign w:val="bottom"/>
          </w:tcPr>
          <w:p>
            <w:pPr>
              <w:spacing w:after="0"/>
              <w:rPr>
                <w:sz w:val="24"/>
                <w:szCs w:val="24"/>
                <w:color w:val="auto"/>
              </w:rPr>
            </w:pPr>
          </w:p>
        </w:tc>
        <w:tc>
          <w:tcPr>
            <w:tcW w:w="66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6"/>
              </w:rPr>
            </w:pPr>
            <w:hyperlink w:anchor="page147">
              <w:r>
                <w:rPr>
                  <w:rFonts w:ascii="Arial" w:cs="Arial" w:eastAsia="Arial" w:hAnsi="Arial"/>
                  <w:sz w:val="18"/>
                  <w:szCs w:val="18"/>
                  <w:color w:val="0000EE"/>
                  <w:w w:val="86"/>
                </w:rPr>
                <w:t>Condensed Statements of Cash Flows for the years ended December 31, 2015, 2014 and 2013</w:t>
              </w:r>
            </w:hyperlink>
          </w:p>
        </w:tc>
        <w:tc>
          <w:tcPr>
            <w:tcW w:w="840" w:type="dxa"/>
            <w:vAlign w:val="bottom"/>
            <w:tcBorders>
              <w:top w:val="single" w:sz="8" w:color="0000EE"/>
            </w:tcBorders>
            <w:gridSpan w:val="3"/>
          </w:tcPr>
          <w:p>
            <w:pPr>
              <w:spacing w:after="0"/>
              <w:rPr>
                <w:sz w:val="24"/>
                <w:szCs w:val="24"/>
                <w:color w:val="auto"/>
              </w:rPr>
            </w:pPr>
          </w:p>
        </w:tc>
        <w:tc>
          <w:tcPr>
            <w:tcW w:w="2940" w:type="dxa"/>
            <w:vAlign w:val="bottom"/>
            <w:gridSpan w:val="3"/>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Notes to Condensed Financial Statements</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F-6</w:t>
            </w:r>
          </w:p>
        </w:tc>
      </w:tr>
      <w:tr>
        <w:trPr>
          <w:trHeight w:val="383"/>
        </w:trPr>
        <w:tc>
          <w:tcPr>
            <w:tcW w:w="4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gridSpan w:val="3"/>
          </w:tcPr>
          <w:p>
            <w:pPr>
              <w:spacing w:after="0"/>
              <w:rPr>
                <w:sz w:val="24"/>
                <w:szCs w:val="24"/>
                <w:color w:val="auto"/>
              </w:rPr>
            </w:pPr>
          </w:p>
        </w:tc>
        <w:tc>
          <w:tcPr>
            <w:tcW w:w="2800" w:type="dxa"/>
            <w:vAlign w:val="bottom"/>
            <w:gridSpan w:val="4"/>
          </w:tcPr>
          <w:p>
            <w:pPr>
              <w:jc w:val="right"/>
              <w:ind w:right="36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Management of Lazard Ltd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consolidated financial statements for external purposes in accordance with U.S. generally accepted accounting principles.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90" w:lineRule="exact"/>
        <w:rPr>
          <w:sz w:val="20"/>
          <w:szCs w:val="20"/>
          <w:color w:val="auto"/>
        </w:rPr>
      </w:pPr>
    </w:p>
    <w:p>
      <w:pPr>
        <w:ind w:left="900" w:right="44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consolidated financial statements in accordance with U.S. generally accepted accounting principles, and that our receipts and expenditures are being made only in accordance with authorizations of the Company’s management and directors; and</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2015.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Based on management’s assessment and those criteria, management concluded that the Company maintained effective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as of December 31, 2015.</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Deloitte &amp; Touche LLP, audited the Company’s internal control over financial reporting as of December 31, 2015, as stated in their report which appears under “Report of Independent Registered Public Accounting Firm.”</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Lazard Ltd:</w:t>
      </w:r>
    </w:p>
    <w:p>
      <w:pPr>
        <w:spacing w:after="0" w:line="2"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Lazard Ltd and subsidiaries (the “Company”) as of December 31, 2015,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2015, based on the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and financial statement schedule as listed in the Index at Item 8 as of and for the year ended December 31, 2015 of the Company, and our report dated February 25, 2016, expressed an unqualified opinion on those consolidated financial statements and financial statement schedule.</w:t>
      </w:r>
    </w:p>
    <w:p>
      <w:pPr>
        <w:spacing w:after="0" w:line="1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6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Lazard Ltd:</w:t>
      </w:r>
    </w:p>
    <w:p>
      <w:pPr>
        <w:spacing w:after="0" w:line="2" w:lineRule="exact"/>
        <w:rPr>
          <w:sz w:val="20"/>
          <w:szCs w:val="20"/>
          <w:color w:val="auto"/>
        </w:rPr>
      </w:pPr>
    </w:p>
    <w:p>
      <w:pPr>
        <w:jc w:val="both"/>
        <w:ind w:right="280" w:firstLine="456"/>
        <w:spacing w:after="0" w:line="294" w:lineRule="auto"/>
        <w:rPr>
          <w:sz w:val="20"/>
          <w:szCs w:val="20"/>
          <w:color w:val="auto"/>
        </w:rPr>
      </w:pPr>
      <w:r>
        <w:rPr>
          <w:rFonts w:ascii="Arial" w:cs="Arial" w:eastAsia="Arial" w:hAnsi="Arial"/>
          <w:sz w:val="16"/>
          <w:szCs w:val="16"/>
          <w:color w:val="auto"/>
        </w:rPr>
        <w:t>We have audited the accompanying consolidated statements of financial condition of Lazard Ltd and subsidiaries (the “Company”) as of December 31, 2015 and 2014, and the related consolidated statements of operations, comprehensive income, cash flows, and changes in stockholders’ equity for each of the three years in the period ended December 31, 2015. Our audits also included the financial statement schedule listed in the Index at Item 8.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In our opinion, such consolidated financial statements present fairly, in all material respects, the financial position of Lazard Ltd and subsidiaries at December 31, 2015 and 2014, and the results of their operations and their cash flows for each of the three years in the period ended December 31, 2015,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98"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2015,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February 25, 2016, expressed an unqualified opinion on the Company’s internal control over financial reporting.</w:t>
      </w:r>
    </w:p>
    <w:p>
      <w:pPr>
        <w:spacing w:after="0" w:line="1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$ 1,132,083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$ 1,066,580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 and short-term investments</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389,861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207,760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34,948</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43,290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0"/>
              </w:rPr>
              <w:t>Receivables (net of allowance for doubtful accounts of $12,882 and $23,540 at December 31, 2015 and 2014, respectively):</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Fees</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423,817</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483,681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2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497,213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557,596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541,911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620,352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3"/>
              </w:rPr>
              <w:t>Property (net of accumulated amortization and depreciation of $265,506 and $256,286 at December 31, 2015 and 2014,</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207,165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222,569</w:t>
            </w:r>
          </w:p>
        </w:tc>
        <w:tc>
          <w:tcPr>
            <w:tcW w:w="0" w:type="dxa"/>
            <w:vAlign w:val="bottom"/>
          </w:tcPr>
          <w:p>
            <w:pPr>
              <w:spacing w:after="0"/>
              <w:rPr>
                <w:sz w:val="1"/>
                <w:szCs w:val="1"/>
                <w:color w:val="auto"/>
              </w:rPr>
            </w:pPr>
          </w:p>
        </w:tc>
      </w:tr>
      <w:tr>
        <w:trPr>
          <w:trHeight w:val="316"/>
        </w:trPr>
        <w:tc>
          <w:tcPr>
            <w:tcW w:w="8980" w:type="dxa"/>
            <w:vAlign w:val="bottom"/>
            <w:gridSpan w:val="2"/>
          </w:tcPr>
          <w:p>
            <w:pPr>
              <w:spacing w:after="0"/>
              <w:rPr>
                <w:sz w:val="20"/>
                <w:szCs w:val="20"/>
                <w:color w:val="auto"/>
              </w:rPr>
            </w:pPr>
            <w:r>
              <w:rPr>
                <w:rFonts w:ascii="Arial" w:cs="Arial" w:eastAsia="Arial" w:hAnsi="Arial"/>
                <w:sz w:val="18"/>
                <w:szCs w:val="18"/>
                <w:color w:val="auto"/>
                <w:w w:val="92"/>
              </w:rPr>
              <w:t>Goodwill and other intangible assets (net of accumulated amortization of $57,561 and $51,754 at December 31, 2015 and</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2014, respectively)</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326,976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347,438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1,130,595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226,014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4,486,766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$ 3,332,236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506,665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316,601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998,350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1,048,350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receivable agreement obligation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499,942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3,119,460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2,562,179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A - 7,921 shares issued and outstanding at December 31, 2015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and 2014</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Class A, par value $.01 per share (500,000,000 shares authorized;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1060"/>
              <w:spacing w:after="0"/>
              <w:rPr>
                <w:sz w:val="20"/>
                <w:szCs w:val="20"/>
                <w:color w:val="auto"/>
              </w:rPr>
            </w:pPr>
            <w:r>
              <w:rPr>
                <w:rFonts w:ascii="Arial" w:cs="Arial" w:eastAsia="Arial" w:hAnsi="Arial"/>
                <w:sz w:val="18"/>
                <w:szCs w:val="18"/>
                <w:color w:val="auto"/>
                <w:w w:val="89"/>
              </w:rPr>
              <w:t>129,766,091 shares issued at December 31, 2015 and 2014, including shares held by subsidiaries as indicated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1060"/>
              <w:spacing w:after="0"/>
              <w:rPr>
                <w:sz w:val="20"/>
                <w:szCs w:val="20"/>
                <w:color w:val="auto"/>
              </w:rPr>
            </w:pPr>
            <w:r>
              <w:rPr>
                <w:rFonts w:ascii="Arial" w:cs="Arial" w:eastAsia="Arial" w:hAnsi="Arial"/>
                <w:sz w:val="18"/>
                <w:szCs w:val="18"/>
                <w:color w:val="auto"/>
              </w:rPr>
              <w:t>below)</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paid-in-capital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600,034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1,123,728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464,655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(234,356)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(200,766)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1,490,704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967,987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Class A common stock held by subsidiaries, at cost (4,253,381 and 7,450,745 shares at December 31, 2015 and 2014,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(177,249)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(261,243)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Lazard Ltd Stockholders’ Equity</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1,313,455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1,367,306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4,486,766</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3,332,236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0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640" w:type="dxa"/>
            <w:vAlign w:val="bottom"/>
            <w:gridSpan w:val="2"/>
            <w:vMerge w:val="continue"/>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$1,276,096</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$1,201,424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Asset management fees</w:t>
            </w:r>
          </w:p>
        </w:tc>
        <w:tc>
          <w:tcPr>
            <w:tcW w:w="1060" w:type="dxa"/>
            <w:vAlign w:val="bottom"/>
          </w:tcPr>
          <w:p>
            <w:pPr>
              <w:jc w:val="right"/>
              <w:spacing w:after="0"/>
              <w:rPr>
                <w:sz w:val="20"/>
                <w:szCs w:val="20"/>
                <w:color w:val="auto"/>
              </w:rPr>
            </w:pPr>
            <w:r>
              <w:rPr>
                <w:rFonts w:ascii="Arial" w:cs="Arial" w:eastAsia="Arial" w:hAnsi="Arial"/>
                <w:sz w:val="18"/>
                <w:szCs w:val="18"/>
                <w:color w:val="auto"/>
              </w:rPr>
              <w:t>1,036,821</w:t>
            </w:r>
          </w:p>
        </w:tc>
        <w:tc>
          <w:tcPr>
            <w:tcW w:w="2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1,080,842</w:t>
            </w:r>
          </w:p>
        </w:tc>
        <w:tc>
          <w:tcPr>
            <w:tcW w:w="1080" w:type="dxa"/>
            <w:vAlign w:val="bottom"/>
          </w:tcPr>
          <w:p>
            <w:pPr>
              <w:jc w:val="right"/>
              <w:spacing w:after="0"/>
              <w:rPr>
                <w:sz w:val="20"/>
                <w:szCs w:val="20"/>
                <w:color w:val="auto"/>
              </w:rPr>
            </w:pPr>
            <w:r>
              <w:rPr>
                <w:rFonts w:ascii="Arial" w:cs="Arial" w:eastAsia="Arial" w:hAnsi="Arial"/>
                <w:sz w:val="18"/>
                <w:szCs w:val="18"/>
                <w:color w:val="auto"/>
              </w:rPr>
              <w:t>994,707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Other</w:t>
            </w:r>
          </w:p>
        </w:tc>
        <w:tc>
          <w:tcPr>
            <w:tcW w:w="1060" w:type="dxa"/>
            <w:vAlign w:val="bottom"/>
          </w:tcPr>
          <w:p>
            <w:pPr>
              <w:jc w:val="right"/>
              <w:spacing w:after="0"/>
              <w:rPr>
                <w:sz w:val="20"/>
                <w:szCs w:val="20"/>
                <w:color w:val="auto"/>
              </w:rPr>
            </w:pPr>
            <w:r>
              <w:rPr>
                <w:rFonts w:ascii="Arial" w:cs="Arial" w:eastAsia="Arial" w:hAnsi="Arial"/>
                <w:sz w:val="18"/>
                <w:szCs w:val="18"/>
                <w:color w:val="auto"/>
              </w:rPr>
              <w:t>86,564</w:t>
            </w:r>
          </w:p>
        </w:tc>
        <w:tc>
          <w:tcPr>
            <w:tcW w:w="2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75,391</w:t>
            </w:r>
          </w:p>
        </w:tc>
        <w:tc>
          <w:tcPr>
            <w:tcW w:w="1080" w:type="dxa"/>
            <w:vAlign w:val="bottom"/>
          </w:tcPr>
          <w:p>
            <w:pPr>
              <w:jc w:val="right"/>
              <w:spacing w:after="0"/>
              <w:rPr>
                <w:sz w:val="20"/>
                <w:szCs w:val="20"/>
                <w:color w:val="auto"/>
              </w:rPr>
            </w:pPr>
            <w:r>
              <w:rPr>
                <w:rFonts w:ascii="Arial" w:cs="Arial" w:eastAsia="Arial" w:hAnsi="Arial"/>
                <w:sz w:val="18"/>
                <w:szCs w:val="18"/>
                <w:color w:val="auto"/>
              </w:rPr>
              <w:t>92,788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2,404,767</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2,363,017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51,159</w:t>
            </w:r>
          </w:p>
        </w:tc>
        <w:tc>
          <w:tcPr>
            <w:tcW w:w="2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62,570</w:t>
            </w:r>
          </w:p>
        </w:tc>
        <w:tc>
          <w:tcPr>
            <w:tcW w:w="1080" w:type="dxa"/>
            <w:vAlign w:val="bottom"/>
          </w:tcPr>
          <w:p>
            <w:pPr>
              <w:jc w:val="right"/>
              <w:spacing w:after="0"/>
              <w:rPr>
                <w:sz w:val="20"/>
                <w:szCs w:val="20"/>
                <w:color w:val="auto"/>
              </w:rPr>
            </w:pPr>
            <w:r>
              <w:rPr>
                <w:rFonts w:ascii="Arial" w:cs="Arial" w:eastAsia="Arial" w:hAnsi="Arial"/>
                <w:sz w:val="18"/>
                <w:szCs w:val="18"/>
                <w:color w:val="auto"/>
              </w:rPr>
              <w:t>79,381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2,353,608</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2,300,447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1,319,746</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1,313,606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1,278,534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1060" w:type="dxa"/>
            <w:vAlign w:val="bottom"/>
          </w:tcPr>
          <w:p>
            <w:pPr>
              <w:jc w:val="right"/>
              <w:spacing w:after="0"/>
              <w:rPr>
                <w:sz w:val="20"/>
                <w:szCs w:val="20"/>
                <w:color w:val="auto"/>
              </w:rPr>
            </w:pPr>
            <w:r>
              <w:rPr>
                <w:rFonts w:ascii="Arial" w:cs="Arial" w:eastAsia="Arial" w:hAnsi="Arial"/>
                <w:sz w:val="18"/>
                <w:szCs w:val="18"/>
                <w:color w:val="auto"/>
              </w:rPr>
              <w:t>109,867</w:t>
            </w:r>
          </w:p>
        </w:tc>
        <w:tc>
          <w:tcPr>
            <w:tcW w:w="2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111,550</w:t>
            </w:r>
          </w:p>
        </w:tc>
        <w:tc>
          <w:tcPr>
            <w:tcW w:w="1080" w:type="dxa"/>
            <w:vAlign w:val="bottom"/>
          </w:tcPr>
          <w:p>
            <w:pPr>
              <w:jc w:val="right"/>
              <w:spacing w:after="0"/>
              <w:rPr>
                <w:sz w:val="20"/>
                <w:szCs w:val="20"/>
                <w:color w:val="auto"/>
              </w:rPr>
            </w:pPr>
            <w:r>
              <w:rPr>
                <w:rFonts w:ascii="Arial" w:cs="Arial" w:eastAsia="Arial" w:hAnsi="Arial"/>
                <w:sz w:val="18"/>
                <w:szCs w:val="18"/>
                <w:color w:val="auto"/>
              </w:rPr>
              <w:t>122,926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81,541</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88,029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1060" w:type="dxa"/>
            <w:vAlign w:val="bottom"/>
          </w:tcPr>
          <w:p>
            <w:pPr>
              <w:jc w:val="right"/>
              <w:spacing w:after="0"/>
              <w:rPr>
                <w:sz w:val="20"/>
                <w:szCs w:val="20"/>
                <w:color w:val="auto"/>
              </w:rPr>
            </w:pPr>
            <w:r>
              <w:rPr>
                <w:rFonts w:ascii="Arial" w:cs="Arial" w:eastAsia="Arial" w:hAnsi="Arial"/>
                <w:sz w:val="18"/>
                <w:szCs w:val="18"/>
                <w:color w:val="auto"/>
              </w:rPr>
              <w:t>95,528</w:t>
            </w:r>
          </w:p>
        </w:tc>
        <w:tc>
          <w:tcPr>
            <w:tcW w:w="2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91,120</w:t>
            </w:r>
          </w:p>
        </w:tc>
        <w:tc>
          <w:tcPr>
            <w:tcW w:w="1080" w:type="dxa"/>
            <w:vAlign w:val="bottom"/>
          </w:tcPr>
          <w:p>
            <w:pPr>
              <w:jc w:val="right"/>
              <w:spacing w:after="0"/>
              <w:rPr>
                <w:sz w:val="20"/>
                <w:szCs w:val="20"/>
                <w:color w:val="auto"/>
              </w:rPr>
            </w:pPr>
            <w:r>
              <w:rPr>
                <w:rFonts w:ascii="Arial" w:cs="Arial" w:eastAsia="Arial" w:hAnsi="Arial"/>
                <w:sz w:val="18"/>
                <w:szCs w:val="18"/>
                <w:color w:val="auto"/>
              </w:rPr>
              <w:t>89,289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49,529</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46,543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060" w:type="dxa"/>
            <w:vAlign w:val="bottom"/>
          </w:tcPr>
          <w:p>
            <w:pPr>
              <w:jc w:val="right"/>
              <w:spacing w:after="0"/>
              <w:rPr>
                <w:sz w:val="20"/>
                <w:szCs w:val="20"/>
                <w:color w:val="auto"/>
              </w:rPr>
            </w:pPr>
            <w:r>
              <w:rPr>
                <w:rFonts w:ascii="Arial" w:cs="Arial" w:eastAsia="Arial" w:hAnsi="Arial"/>
                <w:sz w:val="18"/>
                <w:szCs w:val="18"/>
                <w:color w:val="auto"/>
              </w:rPr>
              <w:t>61,363</w:t>
            </w:r>
          </w:p>
        </w:tc>
        <w:tc>
          <w:tcPr>
            <w:tcW w:w="2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65,457</w:t>
            </w:r>
          </w:p>
        </w:tc>
        <w:tc>
          <w:tcPr>
            <w:tcW w:w="1080" w:type="dxa"/>
            <w:vAlign w:val="bottom"/>
          </w:tcPr>
          <w:p>
            <w:pPr>
              <w:jc w:val="right"/>
              <w:spacing w:after="0"/>
              <w:rPr>
                <w:sz w:val="20"/>
                <w:szCs w:val="20"/>
                <w:color w:val="auto"/>
              </w:rPr>
            </w:pPr>
            <w:r>
              <w:rPr>
                <w:rFonts w:ascii="Arial" w:cs="Arial" w:eastAsia="Arial" w:hAnsi="Arial"/>
                <w:sz w:val="18"/>
                <w:szCs w:val="18"/>
                <w:color w:val="auto"/>
              </w:rPr>
              <w:t>59,298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Provision pursuant to tax receivable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547,691</w:t>
            </w:r>
          </w:p>
        </w:tc>
        <w:tc>
          <w:tcPr>
            <w:tcW w:w="2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18,307</w:t>
            </w:r>
          </w:p>
        </w:tc>
        <w:tc>
          <w:tcPr>
            <w:tcW w:w="1080" w:type="dxa"/>
            <w:vAlign w:val="bottom"/>
          </w:tcPr>
          <w:p>
            <w:pPr>
              <w:jc w:val="right"/>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99,142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39,983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vMerge w:val="continue"/>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2,370,228</w:t>
            </w:r>
          </w:p>
        </w:tc>
        <w:tc>
          <w:tcPr>
            <w:tcW w:w="2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1,780,982</w:t>
            </w:r>
          </w:p>
        </w:tc>
        <w:tc>
          <w:tcPr>
            <w:tcW w:w="1080" w:type="dxa"/>
            <w:vAlign w:val="bottom"/>
          </w:tcPr>
          <w:p>
            <w:pPr>
              <w:jc w:val="right"/>
              <w:spacing w:after="0"/>
              <w:rPr>
                <w:sz w:val="20"/>
                <w:szCs w:val="20"/>
                <w:color w:val="auto"/>
              </w:rPr>
            </w:pPr>
            <w:r>
              <w:rPr>
                <w:rFonts w:ascii="Arial" w:cs="Arial" w:eastAsia="Arial" w:hAnsi="Arial"/>
                <w:sz w:val="18"/>
                <w:szCs w:val="18"/>
                <w:color w:val="auto"/>
              </w:rPr>
              <w:t>1,768,545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3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(16,620)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519,465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Provision (benefit) for income taxes</w:t>
            </w:r>
          </w:p>
        </w:tc>
        <w:tc>
          <w:tcPr>
            <w:tcW w:w="1300" w:type="dxa"/>
            <w:vAlign w:val="bottom"/>
            <w:gridSpan w:val="2"/>
          </w:tcPr>
          <w:p>
            <w:pPr>
              <w:jc w:val="right"/>
              <w:ind w:right="112"/>
              <w:spacing w:after="0"/>
              <w:rPr>
                <w:sz w:val="20"/>
                <w:szCs w:val="20"/>
                <w:color w:val="auto"/>
              </w:rPr>
            </w:pPr>
            <w:r>
              <w:rPr>
                <w:rFonts w:ascii="Arial" w:cs="Arial" w:eastAsia="Arial" w:hAnsi="Arial"/>
                <w:sz w:val="18"/>
                <w:szCs w:val="18"/>
                <w:color w:val="auto"/>
              </w:rPr>
              <w:t>(1,009,552)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85,402</w:t>
            </w:r>
          </w:p>
        </w:tc>
        <w:tc>
          <w:tcPr>
            <w:tcW w:w="1080" w:type="dxa"/>
            <w:vAlign w:val="bottom"/>
          </w:tcPr>
          <w:p>
            <w:pPr>
              <w:jc w:val="right"/>
              <w:spacing w:after="0"/>
              <w:rPr>
                <w:sz w:val="20"/>
                <w:szCs w:val="20"/>
                <w:color w:val="auto"/>
              </w:rPr>
            </w:pPr>
            <w:r>
              <w:rPr>
                <w:rFonts w:ascii="Arial" w:cs="Arial" w:eastAsia="Arial" w:hAnsi="Arial"/>
                <w:sz w:val="18"/>
                <w:szCs w:val="18"/>
                <w:color w:val="auto"/>
              </w:rPr>
              <w:t>51,693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992,932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434,063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1060" w:type="dxa"/>
            <w:vAlign w:val="bottom"/>
          </w:tcPr>
          <w:p>
            <w:pPr>
              <w:jc w:val="right"/>
              <w:spacing w:after="0"/>
              <w:rPr>
                <w:sz w:val="20"/>
                <w:szCs w:val="20"/>
                <w:color w:val="auto"/>
              </w:rPr>
            </w:pPr>
            <w:r>
              <w:rPr>
                <w:rFonts w:ascii="Arial" w:cs="Arial" w:eastAsia="Arial" w:hAnsi="Arial"/>
                <w:sz w:val="18"/>
                <w:szCs w:val="18"/>
                <w:color w:val="auto"/>
              </w:rPr>
              <w:t>6,559</w:t>
            </w:r>
          </w:p>
        </w:tc>
        <w:tc>
          <w:tcPr>
            <w:tcW w:w="24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6,786</w:t>
            </w:r>
          </w:p>
        </w:tc>
        <w:tc>
          <w:tcPr>
            <w:tcW w:w="1080" w:type="dxa"/>
            <w:vAlign w:val="bottom"/>
          </w:tcPr>
          <w:p>
            <w:pPr>
              <w:jc w:val="right"/>
              <w:spacing w:after="0"/>
              <w:rPr>
                <w:sz w:val="20"/>
                <w:szCs w:val="20"/>
                <w:color w:val="auto"/>
              </w:rPr>
            </w:pPr>
            <w:r>
              <w:rPr>
                <w:rFonts w:ascii="Arial" w:cs="Arial" w:eastAsia="Arial" w:hAnsi="Arial"/>
                <w:sz w:val="18"/>
                <w:szCs w:val="18"/>
                <w:color w:val="auto"/>
              </w:rPr>
              <w:t>4,902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$986,373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$427,277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 LAZARD LTD CLASS A COMMON STOCKHOLDERS: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4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b w:val="1"/>
                <w:bCs w:val="1"/>
                <w:color w:val="auto"/>
              </w:rPr>
              <w:t>WEIGHTED AVERAGE SHARES OF COMMON STOCK</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20" w:type="dxa"/>
            <w:vAlign w:val="bottom"/>
          </w:tcPr>
          <w:p>
            <w:pPr>
              <w:ind w:left="420"/>
              <w:spacing w:after="0"/>
              <w:rPr>
                <w:sz w:val="20"/>
                <w:szCs w:val="20"/>
                <w:color w:val="auto"/>
              </w:rPr>
            </w:pPr>
            <w:r>
              <w:rPr>
                <w:rFonts w:ascii="Arial" w:cs="Arial" w:eastAsia="Arial" w:hAnsi="Arial"/>
                <w:sz w:val="18"/>
                <w:szCs w:val="18"/>
                <w:b w:val="1"/>
                <w:bCs w:val="1"/>
                <w:color w:val="auto"/>
              </w:rPr>
              <w:t>OUTSTANDING:</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125,366,272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122,351,836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120,854,267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ind w:left="640"/>
              <w:spacing w:after="0"/>
              <w:rPr>
                <w:sz w:val="20"/>
                <w:szCs w:val="20"/>
                <w:color w:val="auto"/>
              </w:rPr>
            </w:pPr>
            <w:r>
              <w:rPr>
                <w:rFonts w:ascii="Arial" w:cs="Arial" w:eastAsia="Arial" w:hAnsi="Arial"/>
                <w:sz w:val="18"/>
                <w:szCs w:val="18"/>
                <w:color w:val="auto"/>
              </w:rPr>
              <w:t>Diluted</w:t>
            </w:r>
          </w:p>
        </w:tc>
        <w:tc>
          <w:tcPr>
            <w:tcW w:w="1060" w:type="dxa"/>
            <w:vAlign w:val="bottom"/>
          </w:tcPr>
          <w:p>
            <w:pPr>
              <w:jc w:val="right"/>
              <w:spacing w:after="0"/>
              <w:rPr>
                <w:sz w:val="20"/>
                <w:szCs w:val="20"/>
                <w:color w:val="auto"/>
              </w:rPr>
            </w:pPr>
            <w:r>
              <w:rPr>
                <w:rFonts w:ascii="Arial" w:cs="Arial" w:eastAsia="Arial" w:hAnsi="Arial"/>
                <w:sz w:val="18"/>
                <w:szCs w:val="18"/>
                <w:color w:val="auto"/>
              </w:rPr>
              <w:t>133,244,546</w:t>
            </w:r>
          </w:p>
        </w:tc>
        <w:tc>
          <w:tcPr>
            <w:tcW w:w="2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133,813,123</w:t>
            </w:r>
          </w:p>
        </w:tc>
        <w:tc>
          <w:tcPr>
            <w:tcW w:w="1080" w:type="dxa"/>
            <w:vAlign w:val="bottom"/>
          </w:tcPr>
          <w:p>
            <w:pPr>
              <w:jc w:val="right"/>
              <w:spacing w:after="0"/>
              <w:rPr>
                <w:sz w:val="20"/>
                <w:szCs w:val="20"/>
                <w:color w:val="auto"/>
              </w:rPr>
            </w:pPr>
            <w:r>
              <w:rPr>
                <w:rFonts w:ascii="Arial" w:cs="Arial" w:eastAsia="Arial" w:hAnsi="Arial"/>
                <w:sz w:val="18"/>
                <w:szCs w:val="18"/>
                <w:color w:val="auto"/>
              </w:rPr>
              <w:t>133,737,079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620" w:type="dxa"/>
            <w:vAlign w:val="bottom"/>
          </w:tcPr>
          <w:p>
            <w:pPr>
              <w:ind w:left="200"/>
              <w:spacing w:after="0"/>
              <w:rPr>
                <w:sz w:val="20"/>
                <w:szCs w:val="20"/>
                <w:color w:val="auto"/>
              </w:rPr>
            </w:pPr>
            <w:r>
              <w:rPr>
                <w:rFonts w:ascii="Arial" w:cs="Arial" w:eastAsia="Arial" w:hAnsi="Arial"/>
                <w:sz w:val="18"/>
                <w:szCs w:val="18"/>
                <w:b w:val="1"/>
                <w:bCs w:val="1"/>
                <w:color w:val="auto"/>
              </w:rPr>
              <w:t>NET INCOME PER SHARE OF COMMON STOCK:</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vMerge w:val="restart"/>
          </w:tcPr>
          <w:p>
            <w:pPr>
              <w:ind w:left="640"/>
              <w:spacing w:after="0"/>
              <w:rPr>
                <w:sz w:val="20"/>
                <w:szCs w:val="20"/>
                <w:color w:val="auto"/>
              </w:rPr>
            </w:pPr>
            <w:r>
              <w:rPr>
                <w:rFonts w:ascii="Arial" w:cs="Arial" w:eastAsia="Arial" w:hAnsi="Arial"/>
                <w:sz w:val="18"/>
                <w:szCs w:val="18"/>
                <w:color w:val="auto"/>
              </w:rPr>
              <w:t>Diluted</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20" w:type="dxa"/>
            <w:vAlign w:val="bottom"/>
            <w:vMerge w:val="continue"/>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$7.40</w:t>
            </w:r>
          </w:p>
        </w:tc>
        <w:tc>
          <w:tcPr>
            <w:tcW w:w="2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 DECLARED PER SHARE OF COMMON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88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70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$ 992,932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$ 434,063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$ 165,114</w:t>
            </w:r>
          </w:p>
        </w:tc>
        <w:tc>
          <w:tcPr>
            <w:tcW w:w="120" w:type="dxa"/>
            <w:vAlign w:val="bottom"/>
            <w:tcBorders>
              <w:top w:val="single" w:sz="8" w:color="CCEEFF"/>
            </w:tcBorders>
            <w:shd w:val="clear" w:color="auto" w:fill="CCEEFF"/>
          </w:tcPr>
          <w:p>
            <w:pPr>
              <w:spacing w:after="0"/>
              <w:rPr>
                <w:sz w:val="18"/>
                <w:szCs w:val="18"/>
                <w:color w:val="auto"/>
              </w:rPr>
            </w:pP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(51,182)</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(49,971)</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(15,536)</w:t>
            </w: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w w:val="94"/>
              </w:rPr>
              <w:t>Actuarial gain (loss) (net of tax expense (benefit) of $5,644, $(9,045) and $(6,388) for the years ended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1060"/>
              <w:spacing w:after="0"/>
              <w:rPr>
                <w:sz w:val="20"/>
                <w:szCs w:val="20"/>
                <w:color w:val="auto"/>
              </w:rPr>
            </w:pPr>
            <w:r>
              <w:rPr>
                <w:rFonts w:ascii="Arial" w:cs="Arial" w:eastAsia="Arial" w:hAnsi="Arial"/>
                <w:sz w:val="18"/>
                <w:szCs w:val="18"/>
                <w:color w:val="auto"/>
              </w:rPr>
              <w:t>December 31, 2015, 2014 and 2013, respectively)</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11,283</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(21,983)</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(13,500)</w:t>
            </w:r>
          </w:p>
        </w:tc>
      </w:tr>
      <w:tr>
        <w:trPr>
          <w:trHeight w:val="209"/>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Adjustment for items reclassified to earnings (net of tax expense of $1,507, $1,923 and $1,929 for the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years ended December 31, 2015, 2014 and 2013, respectively)</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20" w:type="dxa"/>
            <w:vAlign w:val="bottom"/>
            <w:shd w:val="clear" w:color="auto" w:fill="CCEEFF"/>
          </w:tcPr>
          <w:p>
            <w:pPr>
              <w:spacing w:after="0"/>
              <w:rPr>
                <w:sz w:val="19"/>
                <w:szCs w:val="19"/>
                <w:color w:val="auto"/>
              </w:rPr>
            </w:pP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(33,590)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(67,205)</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(21,929)</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143,185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rPr>
              <w:t>LESS - COMPREHENSIVE INCOME ATTRIBUTABLE TO NONCONTROLLING INTERESTS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LTD</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$ 952,783</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$ 360,073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$ 138,416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6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5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992,932</w:t>
            </w:r>
          </w:p>
        </w:tc>
        <w:tc>
          <w:tcPr>
            <w:tcW w:w="120" w:type="dxa"/>
            <w:vAlign w:val="bottom"/>
          </w:tcPr>
          <w:p>
            <w:pPr>
              <w:spacing w:after="0"/>
              <w:rPr>
                <w:sz w:val="12"/>
                <w:szCs w:val="12"/>
                <w:color w:val="auto"/>
              </w:rPr>
            </w:pPr>
          </w:p>
        </w:tc>
        <w:tc>
          <w:tcPr>
            <w:tcW w:w="2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434,063</w:t>
            </w:r>
          </w:p>
        </w:tc>
        <w:tc>
          <w:tcPr>
            <w:tcW w:w="120" w:type="dxa"/>
            <w:vAlign w:val="bottom"/>
          </w:tcPr>
          <w:p>
            <w:pPr>
              <w:spacing w:after="0"/>
              <w:rPr>
                <w:sz w:val="12"/>
                <w:szCs w:val="12"/>
                <w:color w:val="auto"/>
              </w:rPr>
            </w:pP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165,114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 of property</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32,785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34,464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deferred expenses, share-based incentive compensation and interest rate hedge</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320,472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295,830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310,036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intangible assets related to acquisitions</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5,821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6,387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tax provision (benefit)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(1,100,785)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15,628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Provision pursuant to tax receivable agreement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547,691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18,307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Loss on extinguishment of debt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60,219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50,757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Gain on disposal of subsidiaries</w:t>
            </w: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(24,388)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operating assets: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Deposits with banks and short-term investments</w:t>
            </w: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(207,373)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8,544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58,570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deposited with clearing organizations and other segregated cash</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15,656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Receivables-net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33,145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(76,200)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Investments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(159,107)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(61,502)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(90,138)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(111,588)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(60,731)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Deposits and other payables</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225,008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74,801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Accrued compensation and benefits and other liabilities</w:t>
            </w: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20,839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179,232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35,229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540" w:type="dxa"/>
            <w:vAlign w:val="bottom"/>
          </w:tcPr>
          <w:p>
            <w:pPr>
              <w:ind w:left="12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887,296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736,017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526,697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420"/>
              <w:spacing w:after="0" w:line="149" w:lineRule="exact"/>
              <w:rPr>
                <w:sz w:val="20"/>
                <w:szCs w:val="20"/>
                <w:color w:val="auto"/>
              </w:rPr>
            </w:pPr>
            <w:r>
              <w:rPr>
                <w:rFonts w:ascii="Arial" w:cs="Arial" w:eastAsia="Arial" w:hAnsi="Arial"/>
                <w:sz w:val="14"/>
                <w:szCs w:val="14"/>
                <w:color w:val="auto"/>
              </w:rPr>
              <w:t>Additions to property</w:t>
            </w: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(26,629)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(22,184)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Disposals of property</w:t>
            </w: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2,085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540" w:type="dxa"/>
            <w:vAlign w:val="bottom"/>
          </w:tcPr>
          <w:p>
            <w:pPr>
              <w:ind w:left="1280"/>
              <w:spacing w:after="0" w:line="155" w:lineRule="exact"/>
              <w:rPr>
                <w:sz w:val="20"/>
                <w:szCs w:val="20"/>
                <w:color w:val="auto"/>
              </w:rPr>
            </w:pPr>
            <w:r>
              <w:rPr>
                <w:rFonts w:ascii="Arial" w:cs="Arial" w:eastAsia="Arial" w:hAnsi="Arial"/>
                <w:sz w:val="14"/>
                <w:szCs w:val="14"/>
                <w:color w:val="auto"/>
              </w:rPr>
              <w:t>Net cash used in investing activities</w:t>
            </w:r>
          </w:p>
        </w:tc>
        <w:tc>
          <w:tcPr>
            <w:tcW w:w="160" w:type="dxa"/>
            <w:vAlign w:val="bottom"/>
          </w:tcPr>
          <w:p>
            <w:pPr>
              <w:spacing w:after="0"/>
              <w:rPr>
                <w:sz w:val="14"/>
                <w:szCs w:val="14"/>
                <w:color w:val="auto"/>
              </w:rPr>
            </w:pPr>
          </w:p>
        </w:tc>
        <w:tc>
          <w:tcPr>
            <w:tcW w:w="7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(25,952)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(20,099)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(54,553)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420"/>
              <w:spacing w:after="0" w:line="149" w:lineRule="exact"/>
              <w:rPr>
                <w:sz w:val="20"/>
                <w:szCs w:val="20"/>
                <w:color w:val="auto"/>
              </w:rPr>
            </w:pPr>
            <w:r>
              <w:rPr>
                <w:rFonts w:ascii="Arial" w:cs="Arial" w:eastAsia="Arial" w:hAnsi="Arial"/>
                <w:sz w:val="14"/>
                <w:szCs w:val="14"/>
                <w:color w:val="auto"/>
              </w:rPr>
              <w:t>Proceeds from:</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Contributions from noncontrolling interests</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Issuance of senior debt, net of expenses</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396,272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493,398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Excess tax benefits from share-based incentive compensation</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420"/>
              <w:spacing w:after="0" w:line="149" w:lineRule="exact"/>
              <w:rPr>
                <w:sz w:val="20"/>
                <w:szCs w:val="20"/>
                <w:color w:val="auto"/>
              </w:rPr>
            </w:pPr>
            <w:r>
              <w:rPr>
                <w:rFonts w:ascii="Arial" w:cs="Arial" w:eastAsia="Arial" w:hAnsi="Arial"/>
                <w:sz w:val="14"/>
                <w:szCs w:val="14"/>
                <w:color w:val="auto"/>
              </w:rPr>
              <w:t>Payments for:</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Senior debt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(509,098)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(578,464)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Capital lease obligations</w:t>
            </w: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(1,826)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(2,171)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(16,296)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(13,458)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(14,367)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Payments under tax receivable agreement</w:t>
            </w: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Partial extinguishment of tax receivable agreement obligation</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(42,222)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Purchase of Class A common stock</w:t>
            </w: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(172,772)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(192,657)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(132,477)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Class A common stock dividends</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(290,684)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(146,241)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(121,620)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Settlement of vested share-based incentive compensation</w:t>
            </w: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(120,116)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(85,442)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(132,533)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(2,361)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vMerge w:val="restart"/>
          </w:tcPr>
          <w:p>
            <w:pPr>
              <w:ind w:left="128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(746,804)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(435,369)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(487,072)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EFFECT OF EXCHANGE RATE CHANGES ON CASH</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(49,037)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(55,451)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6,220</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65,503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225,098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(8,708)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EQUIVALENTS—January 1</w:t>
            </w: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1,066,580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841,482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850,190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EQUIVALENTS—December 31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1,132,083</w:t>
            </w:r>
          </w:p>
        </w:tc>
        <w:tc>
          <w:tcPr>
            <w:tcW w:w="120" w:type="dxa"/>
            <w:vAlign w:val="bottom"/>
          </w:tcPr>
          <w:p>
            <w:pPr>
              <w:spacing w:after="0"/>
              <w:rPr>
                <w:sz w:val="13"/>
                <w:szCs w:val="13"/>
                <w:color w:val="auto"/>
              </w:rPr>
            </w:pPr>
          </w:p>
        </w:tc>
        <w:tc>
          <w:tcPr>
            <w:tcW w:w="240" w:type="dxa"/>
            <w:vAlign w:val="bottom"/>
            <w:gridSpan w:val="2"/>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1,066,580</w:t>
            </w:r>
          </w:p>
        </w:tc>
        <w:tc>
          <w:tcPr>
            <w:tcW w:w="120" w:type="dxa"/>
            <w:vAlign w:val="bottom"/>
          </w:tcPr>
          <w:p>
            <w:pPr>
              <w:spacing w:after="0"/>
              <w:rPr>
                <w:sz w:val="13"/>
                <w:szCs w:val="13"/>
                <w:color w:val="auto"/>
              </w:rPr>
            </w:pPr>
          </w:p>
        </w:tc>
        <w:tc>
          <w:tcPr>
            <w:tcW w:w="2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841,482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5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line="149" w:lineRule="exact"/>
              <w:rPr>
                <w:sz w:val="20"/>
                <w:szCs w:val="20"/>
                <w:color w:val="auto"/>
              </w:rPr>
            </w:pPr>
            <w:r>
              <w:rPr>
                <w:rFonts w:ascii="Arial" w:cs="Arial" w:eastAsia="Arial" w:hAnsi="Arial"/>
                <w:sz w:val="14"/>
                <w:szCs w:val="14"/>
                <w:b w:val="1"/>
                <w:bCs w:val="1"/>
                <w:color w:val="auto"/>
              </w:rPr>
              <w:t>Cash paid during the year for:</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60,414</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vMerge w:val="restart"/>
          </w:tcPr>
          <w:p>
            <w:pPr>
              <w:ind w:left="420"/>
              <w:spacing w:after="0"/>
              <w:rPr>
                <w:sz w:val="20"/>
                <w:szCs w:val="20"/>
                <w:color w:val="auto"/>
              </w:rPr>
            </w:pPr>
            <w:r>
              <w:rPr>
                <w:rFonts w:ascii="Arial" w:cs="Arial" w:eastAsia="Arial" w:hAnsi="Arial"/>
                <w:sz w:val="14"/>
                <w:szCs w:val="14"/>
                <w:color w:val="auto"/>
              </w:rPr>
              <w:t>Income taxes, net of refunds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540" w:type="dxa"/>
            <w:vAlign w:val="bottom"/>
            <w:vMerge w:val="continue"/>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60,716</w:t>
            </w:r>
          </w:p>
        </w:tc>
        <w:tc>
          <w:tcPr>
            <w:tcW w:w="120" w:type="dxa"/>
            <w:vAlign w:val="bottom"/>
          </w:tcPr>
          <w:p>
            <w:pPr>
              <w:spacing w:after="0"/>
              <w:rPr>
                <w:sz w:val="12"/>
                <w:szCs w:val="12"/>
                <w:color w:val="auto"/>
              </w:rPr>
            </w:pPr>
          </w:p>
        </w:tc>
        <w:tc>
          <w:tcPr>
            <w:tcW w:w="240" w:type="dxa"/>
            <w:vAlign w:val="bottom"/>
            <w:gridSpan w:val="2"/>
          </w:tcPr>
          <w:p>
            <w:pPr>
              <w:jc w:val="right"/>
              <w:ind w:right="12"/>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49,235</w:t>
            </w:r>
          </w:p>
        </w:tc>
        <w:tc>
          <w:tcPr>
            <w:tcW w:w="120" w:type="dxa"/>
            <w:vAlign w:val="bottom"/>
          </w:tcPr>
          <w:p>
            <w:pPr>
              <w:spacing w:after="0"/>
              <w:rPr>
                <w:sz w:val="12"/>
                <w:szCs w:val="12"/>
                <w:color w:val="auto"/>
              </w:rPr>
            </w:pPr>
          </w:p>
        </w:tc>
        <w:tc>
          <w:tcPr>
            <w:tcW w:w="26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22,623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860" w:type="dxa"/>
            <w:vAlign w:val="bottom"/>
            <w:gridSpan w:val="4"/>
            <w:vMerge w:val="restart"/>
          </w:tcPr>
          <w:p>
            <w:pPr>
              <w:ind w:left="260"/>
              <w:spacing w:after="0" w:line="149" w:lineRule="exact"/>
              <w:rPr>
                <w:sz w:val="20"/>
                <w:szCs w:val="20"/>
                <w:color w:val="auto"/>
              </w:rPr>
            </w:pPr>
            <w:r>
              <w:rPr>
                <w:rFonts w:ascii="Arial" w:cs="Arial" w:eastAsia="Arial" w:hAnsi="Arial"/>
                <w:sz w:val="14"/>
                <w:szCs w:val="14"/>
                <w:b w:val="1"/>
                <w:bCs w:val="1"/>
                <w:color w:val="auto"/>
              </w:rPr>
              <w:t>Series A</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500" w:type="dxa"/>
            <w:vAlign w:val="bottom"/>
            <w:gridSpan w:val="5"/>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10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9"/>
              </w:rPr>
              <w:t>Preferred Stock</w:t>
            </w:r>
          </w:p>
        </w:tc>
        <w:tc>
          <w:tcPr>
            <w:tcW w:w="136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78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7"/>
              </w:rPr>
              <w:t>Held By Subsidiaries</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80" w:type="dxa"/>
            <w:vAlign w:val="bottom"/>
          </w:tcPr>
          <w:p>
            <w:pPr>
              <w:spacing w:after="0"/>
              <w:rPr>
                <w:sz w:val="9"/>
                <w:szCs w:val="9"/>
                <w:color w:val="auto"/>
              </w:rPr>
            </w:pPr>
          </w:p>
        </w:tc>
        <w:tc>
          <w:tcPr>
            <w:tcW w:w="1100" w:type="dxa"/>
            <w:vAlign w:val="bottom"/>
            <w:gridSpan w:val="6"/>
            <w:vMerge w:val="continue"/>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Paid-In-</w:t>
            </w:r>
          </w:p>
        </w:tc>
        <w:tc>
          <w:tcPr>
            <w:tcW w:w="64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Retained</w:t>
            </w:r>
          </w:p>
        </w:tc>
        <w:tc>
          <w:tcPr>
            <w:tcW w:w="60" w:type="dxa"/>
            <w:vAlign w:val="bottom"/>
          </w:tcPr>
          <w:p>
            <w:pPr>
              <w:spacing w:after="0"/>
              <w:rPr>
                <w:sz w:val="9"/>
                <w:szCs w:val="9"/>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500" w:type="dxa"/>
            <w:vAlign w:val="bottom"/>
            <w:gridSpan w:val="5"/>
            <w:vMerge w:val="continue"/>
          </w:tcPr>
          <w:p>
            <w:pPr>
              <w:spacing w:after="0"/>
              <w:rPr>
                <w:sz w:val="9"/>
                <w:szCs w:val="9"/>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8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Earnings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Net of Tax</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2013</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128,216,424</w:t>
            </w: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$1,282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846,050</w:t>
            </w:r>
          </w:p>
        </w:tc>
        <w:tc>
          <w:tcPr>
            <w:tcW w:w="1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$ 182,647</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(110,541)</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12,802,938</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$(349,782)</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569,656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81,884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651,540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Comprehensive income (loss):</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160,212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160,212</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4,902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165,114</w:t>
            </w:r>
          </w:p>
        </w:tc>
        <w:tc>
          <w:tcPr>
            <w:tcW w:w="0" w:type="dxa"/>
            <w:vAlign w:val="bottom"/>
          </w:tcPr>
          <w:p>
            <w:pPr>
              <w:spacing w:after="0"/>
              <w:rPr>
                <w:sz w:val="1"/>
                <w:szCs w:val="1"/>
                <w:color w:val="auto"/>
              </w:rPr>
            </w:pPr>
          </w:p>
        </w:tc>
      </w:tr>
      <w:tr>
        <w:trPr>
          <w:trHeight w:val="138"/>
        </w:trPr>
        <w:tc>
          <w:tcPr>
            <w:tcW w:w="2080" w:type="dxa"/>
            <w:vAlign w:val="bottom"/>
          </w:tcPr>
          <w:p>
            <w:pPr>
              <w:ind w:left="220"/>
              <w:spacing w:after="0" w:line="138" w:lineRule="exact"/>
              <w:rPr>
                <w:sz w:val="20"/>
                <w:szCs w:val="20"/>
                <w:color w:val="auto"/>
              </w:rPr>
            </w:pPr>
            <w:r>
              <w:rPr>
                <w:rFonts w:ascii="Arial" w:cs="Arial" w:eastAsia="Arial" w:hAnsi="Arial"/>
                <w:sz w:val="14"/>
                <w:szCs w:val="14"/>
                <w:color w:val="auto"/>
                <w:w w:val="94"/>
              </w:rPr>
              <w:t>Other comprehensive loss - net</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80" w:type="dxa"/>
            <w:vAlign w:val="bottom"/>
          </w:tcPr>
          <w:p>
            <w:pPr>
              <w:ind w:left="440"/>
              <w:spacing w:after="0" w:line="159" w:lineRule="exact"/>
              <w:rPr>
                <w:sz w:val="20"/>
                <w:szCs w:val="20"/>
                <w:color w:val="auto"/>
              </w:rPr>
            </w:pPr>
            <w:r>
              <w:rPr>
                <w:rFonts w:ascii="Arial" w:cs="Arial" w:eastAsia="Arial" w:hAnsi="Arial"/>
                <w:sz w:val="14"/>
                <w:szCs w:val="14"/>
                <w:color w:val="auto"/>
              </w:rPr>
              <w:t>of tax</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(21,796)</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(21,796)</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(133)</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(21,929)</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share-based</w:t>
            </w: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incentive compensation</w:t>
            </w: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234,608</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234,608</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1,290</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235,898</w:t>
            </w: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16,927</w:t>
            </w:r>
          </w:p>
        </w:tc>
        <w:tc>
          <w:tcPr>
            <w:tcW w:w="1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(17,215)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(288)</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(121,620)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(121,620)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(121,620)</w:t>
            </w: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w w:val="93"/>
              </w:rPr>
              <w:t>Purchase of Class A common stock</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3,488,101</w:t>
            </w: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(132,477)</w:t>
            </w: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(132,477)</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(132,477)</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Delivery of Class A common stock</w:t>
            </w: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1"/>
              </w:rPr>
              <w:t>in connection with shared-based</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incentive compensation and</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related tax benefit of $40</w:t>
            </w: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(357,858)</w:t>
            </w: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(609)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2"/>
              </w:rPr>
              <w:t>(7,745,699)</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225,974</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(132,493)</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(132,493)</w:t>
            </w:r>
          </w:p>
        </w:tc>
        <w:tc>
          <w:tcPr>
            <w:tcW w:w="0" w:type="dxa"/>
            <w:vAlign w:val="bottom"/>
          </w:tcPr>
          <w:p>
            <w:pPr>
              <w:spacing w:after="0"/>
              <w:rPr>
                <w:sz w:val="1"/>
                <w:szCs w:val="1"/>
                <w:color w:val="auto"/>
              </w:rPr>
            </w:pPr>
          </w:p>
        </w:tc>
      </w:tr>
      <w:tr>
        <w:trPr>
          <w:trHeight w:val="138"/>
        </w:trPr>
        <w:tc>
          <w:tcPr>
            <w:tcW w:w="2080" w:type="dxa"/>
            <w:vAlign w:val="bottom"/>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220"/>
              <w:spacing w:after="0" w:line="149" w:lineRule="exact"/>
              <w:rPr>
                <w:sz w:val="20"/>
                <w:szCs w:val="20"/>
                <w:color w:val="auto"/>
              </w:rPr>
            </w:pPr>
            <w:r>
              <w:rPr>
                <w:rFonts w:ascii="Arial" w:cs="Arial" w:eastAsia="Arial" w:hAnsi="Arial"/>
                <w:sz w:val="14"/>
                <w:szCs w:val="14"/>
                <w:color w:val="auto"/>
              </w:rPr>
              <w:t>exchange for Lazard Group</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80" w:type="dxa"/>
            <w:vAlign w:val="bottom"/>
          </w:tcPr>
          <w:p>
            <w:pPr>
              <w:ind w:left="220"/>
              <w:spacing w:after="0" w:line="159" w:lineRule="exact"/>
              <w:rPr>
                <w:sz w:val="20"/>
                <w:szCs w:val="20"/>
                <w:color w:val="auto"/>
              </w:rPr>
            </w:pPr>
            <w:r>
              <w:rPr>
                <w:rFonts w:ascii="Arial" w:cs="Arial" w:eastAsia="Arial" w:hAnsi="Arial"/>
                <w:sz w:val="14"/>
                <w:szCs w:val="14"/>
                <w:color w:val="auto"/>
                <w:w w:val="96"/>
              </w:rPr>
              <w:t>common membership interests</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839,658</w:t>
            </w:r>
          </w:p>
        </w:tc>
        <w:tc>
          <w:tcPr>
            <w:tcW w:w="5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(9)</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Business acquisitions and related</w:t>
            </w: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equity transactions:</w:t>
            </w: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80" w:type="dxa"/>
            <w:vAlign w:val="bottom"/>
          </w:tcPr>
          <w:p>
            <w:pPr>
              <w:ind w:left="220"/>
              <w:spacing w:after="0" w:line="138" w:lineRule="exact"/>
              <w:rPr>
                <w:sz w:val="20"/>
                <w:szCs w:val="20"/>
                <w:color w:val="auto"/>
              </w:rPr>
            </w:pPr>
            <w:r>
              <w:rPr>
                <w:rFonts w:ascii="Arial" w:cs="Arial" w:eastAsia="Arial" w:hAnsi="Arial"/>
                <w:sz w:val="14"/>
                <w:szCs w:val="14"/>
                <w:color w:val="auto"/>
                <w:w w:val="93"/>
              </w:rPr>
              <w:t>Class A common stock issuable</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440"/>
              <w:spacing w:after="0" w:line="149" w:lineRule="exact"/>
              <w:rPr>
                <w:sz w:val="20"/>
                <w:szCs w:val="20"/>
                <w:color w:val="auto"/>
              </w:rPr>
            </w:pPr>
            <w:r>
              <w:rPr>
                <w:rFonts w:ascii="Arial" w:cs="Arial" w:eastAsia="Arial" w:hAnsi="Arial"/>
                <w:sz w:val="14"/>
                <w:szCs w:val="14"/>
                <w:color w:val="auto"/>
              </w:rPr>
              <w:t>(including related</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80" w:type="dxa"/>
            <w:vAlign w:val="bottom"/>
          </w:tcPr>
          <w:p>
            <w:pPr>
              <w:ind w:left="440"/>
              <w:spacing w:after="0" w:line="159" w:lineRule="exact"/>
              <w:rPr>
                <w:sz w:val="20"/>
                <w:szCs w:val="20"/>
                <w:color w:val="auto"/>
              </w:rPr>
            </w:pPr>
            <w:r>
              <w:rPr>
                <w:rFonts w:ascii="Arial" w:cs="Arial" w:eastAsia="Arial" w:hAnsi="Arial"/>
                <w:sz w:val="14"/>
                <w:szCs w:val="14"/>
                <w:color w:val="auto"/>
              </w:rPr>
              <w:t>amortization)</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786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786</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Delivery of Class A common</w:t>
            </w: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stock (including dividend-</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equivalents)</w:t>
            </w: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(6,893)</w:t>
            </w: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(228,275)</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7,072</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80" w:type="dxa"/>
            <w:vAlign w:val="bottom"/>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80" w:type="dxa"/>
            <w:vAlign w:val="bottom"/>
          </w:tcPr>
          <w:p>
            <w:pPr>
              <w:ind w:left="220"/>
              <w:spacing w:after="0" w:line="159" w:lineRule="exact"/>
              <w:rPr>
                <w:sz w:val="20"/>
                <w:szCs w:val="20"/>
                <w:color w:val="auto"/>
              </w:rPr>
            </w:pPr>
            <w:r>
              <w:rPr>
                <w:rFonts w:ascii="Arial" w:cs="Arial" w:eastAsia="Arial" w:hAnsi="Arial"/>
                <w:sz w:val="14"/>
                <w:szCs w:val="14"/>
                <w:color w:val="auto"/>
              </w:rPr>
              <w:t>interests, net</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(13,535)</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(13,535)</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related to</w:t>
            </w: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noncontrolling interests</w:t>
            </w: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4,288</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(667)</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3,621</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(4,621)</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Balance – December 31, 2013</w:t>
            </w: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80" w:type="dxa"/>
            <w:vAlign w:val="bottom"/>
            <w:vMerge w:val="continue"/>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line="155" w:lineRule="exact"/>
              <w:rPr>
                <w:sz w:val="20"/>
                <w:szCs w:val="20"/>
                <w:color w:val="auto"/>
              </w:rPr>
            </w:pPr>
            <w:r>
              <w:rPr>
                <w:rFonts w:ascii="Arial" w:cs="Arial" w:eastAsia="Arial" w:hAnsi="Arial"/>
                <w:sz w:val="14"/>
                <w:szCs w:val="14"/>
                <w:b w:val="1"/>
                <w:bCs w:val="1"/>
                <w:color w:val="auto"/>
              </w:rPr>
              <w:t>$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129,056,082</w:t>
            </w:r>
          </w:p>
        </w:tc>
        <w:tc>
          <w:tcPr>
            <w:tcW w:w="14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1,291</w:t>
            </w:r>
          </w:p>
        </w:tc>
        <w:tc>
          <w:tcPr>
            <w:tcW w:w="1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737,899</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83"/>
              </w:rPr>
              <w:t>$ 203,236</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(133,004)</w:t>
            </w: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99"/>
              </w:rPr>
              <w:t>8,317,065</w:t>
            </w:r>
          </w:p>
        </w:tc>
        <w:tc>
          <w:tcPr>
            <w:tcW w:w="76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(249,213)</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560,209</w:t>
            </w: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69,789</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629,998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740" w:type="dxa"/>
            <w:vAlign w:val="bottom"/>
            <w:gridSpan w:val="4"/>
            <w:vMerge w:val="restart"/>
          </w:tcPr>
          <w:p>
            <w:pPr>
              <w:jc w:val="center"/>
              <w:ind w:left="132"/>
              <w:spacing w:after="0" w:line="149" w:lineRule="exact"/>
              <w:rPr>
                <w:sz w:val="20"/>
                <w:szCs w:val="20"/>
                <w:color w:val="auto"/>
              </w:rPr>
            </w:pPr>
            <w:r>
              <w:rPr>
                <w:rFonts w:ascii="Arial" w:cs="Arial" w:eastAsia="Arial" w:hAnsi="Arial"/>
                <w:sz w:val="14"/>
                <w:szCs w:val="14"/>
                <w:b w:val="1"/>
                <w:bCs w:val="1"/>
                <w:color w:val="auto"/>
                <w:w w:val="82"/>
              </w:rPr>
              <w:t>Series A</w:t>
            </w: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500" w:type="dxa"/>
            <w:vAlign w:val="bottom"/>
            <w:gridSpan w:val="5"/>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74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9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140" w:type="dxa"/>
            <w:vAlign w:val="bottom"/>
          </w:tcPr>
          <w:p>
            <w:pPr>
              <w:spacing w:after="0"/>
              <w:rPr>
                <w:sz w:val="4"/>
                <w:szCs w:val="4"/>
                <w:color w:val="auto"/>
              </w:rPr>
            </w:pPr>
          </w:p>
        </w:tc>
        <w:tc>
          <w:tcPr>
            <w:tcW w:w="1220" w:type="dxa"/>
            <w:vAlign w:val="bottom"/>
            <w:gridSpan w:val="3"/>
            <w:vMerge w:val="restart"/>
          </w:tcPr>
          <w:p>
            <w:pPr>
              <w:jc w:val="right"/>
              <w:ind w:right="92"/>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7"/>
              </w:rPr>
              <w:t>Held By Subsidiaries</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120" w:type="dxa"/>
            <w:vAlign w:val="bottom"/>
          </w:tcPr>
          <w:p>
            <w:pPr>
              <w:spacing w:after="0"/>
              <w:rPr>
                <w:sz w:val="9"/>
                <w:szCs w:val="9"/>
                <w:color w:val="auto"/>
              </w:rPr>
            </w:pPr>
          </w:p>
        </w:tc>
        <w:tc>
          <w:tcPr>
            <w:tcW w:w="94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Paid-In-</w:t>
            </w:r>
          </w:p>
        </w:tc>
        <w:tc>
          <w:tcPr>
            <w:tcW w:w="720" w:type="dxa"/>
            <w:vAlign w:val="bottom"/>
            <w:gridSpan w:val="2"/>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Retained</w:t>
            </w:r>
          </w:p>
        </w:tc>
        <w:tc>
          <w:tcPr>
            <w:tcW w:w="10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500" w:type="dxa"/>
            <w:vAlign w:val="bottom"/>
            <w:gridSpan w:val="5"/>
            <w:vMerge w:val="continue"/>
          </w:tcPr>
          <w:p>
            <w:pPr>
              <w:spacing w:after="0"/>
              <w:rPr>
                <w:sz w:val="9"/>
                <w:szCs w:val="9"/>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12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4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w w:val="97"/>
              </w:rPr>
              <w:t>Shares(*)</w:t>
            </w:r>
          </w:p>
        </w:tc>
        <w:tc>
          <w:tcPr>
            <w:tcW w:w="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Earnings</w:t>
            </w:r>
          </w:p>
        </w:tc>
        <w:tc>
          <w:tcPr>
            <w:tcW w:w="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 of Tax</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2014</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129,056,082</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$1,291</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737,899</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6"/>
              </w:rPr>
              <w:t>$ 203,236</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(133,004)</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8,317,065</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$(249,213)</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560,209</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69,789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629,998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Comprehensive income (loss):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427,277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427,277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6,786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434,063</w:t>
            </w:r>
          </w:p>
        </w:tc>
        <w:tc>
          <w:tcPr>
            <w:tcW w:w="0" w:type="dxa"/>
            <w:vAlign w:val="bottom"/>
          </w:tcPr>
          <w:p>
            <w:pPr>
              <w:spacing w:after="0"/>
              <w:rPr>
                <w:sz w:val="1"/>
                <w:szCs w:val="1"/>
                <w:color w:val="auto"/>
              </w:rPr>
            </w:pPr>
          </w:p>
        </w:tc>
      </w:tr>
      <w:tr>
        <w:trPr>
          <w:trHeight w:val="138"/>
        </w:trPr>
        <w:tc>
          <w:tcPr>
            <w:tcW w:w="2120" w:type="dxa"/>
            <w:vAlign w:val="bottom"/>
          </w:tcPr>
          <w:p>
            <w:pPr>
              <w:ind w:left="220"/>
              <w:spacing w:after="0" w:line="138" w:lineRule="exact"/>
              <w:rPr>
                <w:sz w:val="20"/>
                <w:szCs w:val="20"/>
                <w:color w:val="auto"/>
              </w:rPr>
            </w:pPr>
            <w:r>
              <w:rPr>
                <w:rFonts w:ascii="Arial" w:cs="Arial" w:eastAsia="Arial" w:hAnsi="Arial"/>
                <w:sz w:val="14"/>
                <w:szCs w:val="14"/>
                <w:color w:val="auto"/>
                <w:w w:val="89"/>
              </w:rPr>
              <w:t>Other comprehensive loss - net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20" w:type="dxa"/>
            <w:vAlign w:val="bottom"/>
          </w:tcPr>
          <w:p>
            <w:pPr>
              <w:ind w:left="440"/>
              <w:spacing w:after="0" w:line="159" w:lineRule="exact"/>
              <w:rPr>
                <w:sz w:val="20"/>
                <w:szCs w:val="20"/>
                <w:color w:val="auto"/>
              </w:rPr>
            </w:pPr>
            <w:r>
              <w:rPr>
                <w:rFonts w:ascii="Arial" w:cs="Arial" w:eastAsia="Arial" w:hAnsi="Arial"/>
                <w:sz w:val="14"/>
                <w:szCs w:val="14"/>
                <w:color w:val="auto"/>
              </w:rPr>
              <w:t>tax</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(67,204)</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(67,204)</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(67,205)</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Amortization of share-based incentive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compensation</w:t>
            </w: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206,195</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206,195</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206,195</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17,536</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(19,617)</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(2,081)</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(2,081)</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(146,241)</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(146,241)</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(146,241)</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w w:val="95"/>
              </w:rPr>
              <w:t>Purchase of Class A common stock</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4,114,206</w:t>
            </w: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(192,657)</w:t>
            </w: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(192,657)</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(192,657)</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Delivery of Class A common stock in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connection with shared-based</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incentive compensation and</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related tax benefit of $4,783</w:t>
            </w: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(258,798)</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2"/>
              </w:rPr>
              <w:t>(4,923,252)</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178,139</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(80,659)</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(80,659)</w:t>
            </w:r>
          </w:p>
        </w:tc>
        <w:tc>
          <w:tcPr>
            <w:tcW w:w="0" w:type="dxa"/>
            <w:vAlign w:val="bottom"/>
          </w:tcPr>
          <w:p>
            <w:pPr>
              <w:spacing w:after="0"/>
              <w:rPr>
                <w:sz w:val="1"/>
                <w:szCs w:val="1"/>
                <w:color w:val="auto"/>
              </w:rPr>
            </w:pPr>
          </w:p>
        </w:tc>
      </w:tr>
      <w:tr>
        <w:trPr>
          <w:trHeight w:val="138"/>
        </w:trPr>
        <w:tc>
          <w:tcPr>
            <w:tcW w:w="2120" w:type="dxa"/>
            <w:vAlign w:val="bottom"/>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4"/>
                <w:szCs w:val="14"/>
                <w:color w:val="auto"/>
              </w:rPr>
              <w:t>exchange for Lazard Group</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20" w:type="dxa"/>
            <w:vAlign w:val="bottom"/>
          </w:tcPr>
          <w:p>
            <w:pPr>
              <w:ind w:left="220"/>
              <w:spacing w:after="0" w:line="159" w:lineRule="exact"/>
              <w:rPr>
                <w:sz w:val="20"/>
                <w:szCs w:val="20"/>
                <w:color w:val="auto"/>
              </w:rPr>
            </w:pPr>
            <w:r>
              <w:rPr>
                <w:rFonts w:ascii="Arial" w:cs="Arial" w:eastAsia="Arial" w:hAnsi="Arial"/>
                <w:sz w:val="14"/>
                <w:szCs w:val="14"/>
                <w:color w:val="auto"/>
                <w:w w:val="98"/>
              </w:rPr>
              <w:t>common membership interests</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710,009</w:t>
            </w:r>
          </w:p>
        </w:tc>
        <w:tc>
          <w:tcPr>
            <w:tcW w:w="5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Business acquisitions and related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equity transactions:</w:t>
            </w: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20" w:type="dxa"/>
            <w:vAlign w:val="bottom"/>
          </w:tcPr>
          <w:p>
            <w:pPr>
              <w:ind w:left="220"/>
              <w:spacing w:after="0" w:line="138" w:lineRule="exact"/>
              <w:rPr>
                <w:sz w:val="20"/>
                <w:szCs w:val="20"/>
                <w:color w:val="auto"/>
              </w:rPr>
            </w:pPr>
            <w:r>
              <w:rPr>
                <w:rFonts w:ascii="Arial" w:cs="Arial" w:eastAsia="Arial" w:hAnsi="Arial"/>
                <w:sz w:val="14"/>
                <w:szCs w:val="14"/>
                <w:color w:val="auto"/>
                <w:w w:val="95"/>
              </w:rPr>
              <w:t>Class A common stock issuable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440"/>
              <w:spacing w:after="0" w:line="149" w:lineRule="exact"/>
              <w:rPr>
                <w:sz w:val="20"/>
                <w:szCs w:val="20"/>
                <w:color w:val="auto"/>
              </w:rPr>
            </w:pPr>
            <w:r>
              <w:rPr>
                <w:rFonts w:ascii="Arial" w:cs="Arial" w:eastAsia="Arial" w:hAnsi="Arial"/>
                <w:sz w:val="14"/>
                <w:szCs w:val="14"/>
                <w:color w:val="auto"/>
              </w:rPr>
              <w:t>(including related</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20" w:type="dxa"/>
            <w:vAlign w:val="bottom"/>
          </w:tcPr>
          <w:p>
            <w:pPr>
              <w:ind w:left="440"/>
              <w:spacing w:after="0" w:line="159" w:lineRule="exact"/>
              <w:rPr>
                <w:sz w:val="20"/>
                <w:szCs w:val="20"/>
                <w:color w:val="auto"/>
              </w:rPr>
            </w:pPr>
            <w:r>
              <w:rPr>
                <w:rFonts w:ascii="Arial" w:cs="Arial" w:eastAsia="Arial" w:hAnsi="Arial"/>
                <w:sz w:val="14"/>
                <w:szCs w:val="14"/>
                <w:color w:val="auto"/>
              </w:rPr>
              <w:t>amortization)</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570</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570</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Delivery of Class A common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stock</w:t>
            </w: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(2,488)</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(57,274)</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2,488</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120" w:type="dxa"/>
            <w:vAlign w:val="bottom"/>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20" w:type="dxa"/>
            <w:vAlign w:val="bottom"/>
          </w:tcPr>
          <w:p>
            <w:pPr>
              <w:ind w:left="220"/>
              <w:spacing w:after="0" w:line="159" w:lineRule="exact"/>
              <w:rPr>
                <w:sz w:val="20"/>
                <w:szCs w:val="20"/>
                <w:color w:val="auto"/>
              </w:rPr>
            </w:pPr>
            <w:r>
              <w:rPr>
                <w:rFonts w:ascii="Arial" w:cs="Arial" w:eastAsia="Arial" w:hAnsi="Arial"/>
                <w:sz w:val="14"/>
                <w:szCs w:val="14"/>
                <w:color w:val="auto"/>
              </w:rPr>
              <w:t>interests, net</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(11,926)</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(11,926)</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Adjustments related to noncontrolling</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interests</w:t>
            </w: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1,893</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(558)</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1,335</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(1,335)</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4"/>
                <w:szCs w:val="14"/>
                <w:b w:val="1"/>
                <w:bCs w:val="1"/>
                <w:color w:val="auto"/>
              </w:rPr>
              <w:t>Balance – December 31, 2014</w:t>
            </w: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20" w:type="dxa"/>
            <w:vAlign w:val="bottom"/>
            <w:vMerge w:val="continue"/>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7,921</w:t>
            </w:r>
          </w:p>
        </w:tc>
        <w:tc>
          <w:tcPr>
            <w:tcW w:w="2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ind w:left="140"/>
              <w:spacing w:after="0"/>
              <w:rPr>
                <w:sz w:val="20"/>
                <w:szCs w:val="20"/>
                <w:color w:val="auto"/>
              </w:rPr>
            </w:pPr>
            <w:r>
              <w:rPr>
                <w:rFonts w:ascii="Arial" w:cs="Arial" w:eastAsia="Arial" w:hAnsi="Arial"/>
                <w:sz w:val="10"/>
                <w:szCs w:val="10"/>
                <w:b w:val="1"/>
                <w:bCs w:val="1"/>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129,766,091</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1,298</w:t>
            </w:r>
          </w:p>
        </w:tc>
        <w:tc>
          <w:tcPr>
            <w:tcW w:w="200" w:type="dxa"/>
            <w:vAlign w:val="bottom"/>
            <w:gridSpan w:val="2"/>
          </w:tcPr>
          <w:p>
            <w:pPr>
              <w:ind w:left="140"/>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702,800</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6"/>
              </w:rPr>
              <w:t>$ 464,655</w:t>
            </w:r>
          </w:p>
        </w:tc>
        <w:tc>
          <w:tcPr>
            <w:tcW w:w="1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(200,766)</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9"/>
              </w:rPr>
              <w:t>7,450,745</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(261,243)</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706,744</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63,313</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770,057</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760" w:type="dxa"/>
            <w:vAlign w:val="bottom"/>
            <w:gridSpan w:val="3"/>
            <w:vMerge w:val="restart"/>
          </w:tcPr>
          <w:p>
            <w:pPr>
              <w:jc w:val="center"/>
              <w:ind w:left="112"/>
              <w:spacing w:after="0" w:line="149" w:lineRule="exact"/>
              <w:rPr>
                <w:sz w:val="20"/>
                <w:szCs w:val="20"/>
                <w:color w:val="auto"/>
              </w:rPr>
            </w:pPr>
            <w:r>
              <w:rPr>
                <w:rFonts w:ascii="Arial" w:cs="Arial" w:eastAsia="Arial" w:hAnsi="Arial"/>
                <w:sz w:val="14"/>
                <w:szCs w:val="14"/>
                <w:b w:val="1"/>
                <w:bCs w:val="1"/>
                <w:color w:val="auto"/>
                <w:w w:val="82"/>
              </w:rPr>
              <w:t>Series A</w:t>
            </w: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500" w:type="dxa"/>
            <w:vAlign w:val="bottom"/>
            <w:gridSpan w:val="5"/>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9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40" w:type="dxa"/>
            <w:vAlign w:val="bottom"/>
          </w:tcPr>
          <w:p>
            <w:pPr>
              <w:spacing w:after="0"/>
              <w:rPr>
                <w:sz w:val="4"/>
                <w:szCs w:val="4"/>
                <w:color w:val="auto"/>
              </w:rPr>
            </w:pPr>
          </w:p>
        </w:tc>
        <w:tc>
          <w:tcPr>
            <w:tcW w:w="12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7"/>
              </w:rPr>
              <w:t>Held By Subsidiaries</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9"/>
              </w:rPr>
              <w:t>Paid-In-</w:t>
            </w:r>
          </w:p>
        </w:tc>
        <w:tc>
          <w:tcPr>
            <w:tcW w:w="60" w:type="dxa"/>
            <w:vAlign w:val="bottom"/>
          </w:tcPr>
          <w:p>
            <w:pPr>
              <w:spacing w:after="0"/>
              <w:rPr>
                <w:sz w:val="9"/>
                <w:szCs w:val="9"/>
                <w:color w:val="auto"/>
              </w:rPr>
            </w:pPr>
          </w:p>
        </w:tc>
        <w:tc>
          <w:tcPr>
            <w:tcW w:w="760" w:type="dxa"/>
            <w:vAlign w:val="bottom"/>
            <w:gridSpan w:val="3"/>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Retained</w:t>
            </w:r>
          </w:p>
        </w:tc>
        <w:tc>
          <w:tcPr>
            <w:tcW w:w="10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500" w:type="dxa"/>
            <w:vAlign w:val="bottom"/>
            <w:gridSpan w:val="5"/>
            <w:vMerge w:val="continue"/>
          </w:tcPr>
          <w:p>
            <w:pPr>
              <w:spacing w:after="0"/>
              <w:rPr>
                <w:sz w:val="9"/>
                <w:szCs w:val="9"/>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180" w:type="dxa"/>
            <w:vAlign w:val="bottom"/>
          </w:tcPr>
          <w:p>
            <w:pPr>
              <w:jc w:val="right"/>
              <w:ind w:right="44"/>
              <w:spacing w:after="0"/>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4"/>
                <w:szCs w:val="14"/>
                <w:color w:val="auto"/>
              </w:rPr>
            </w:pP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Capital</w:t>
            </w:r>
          </w:p>
        </w:tc>
        <w:tc>
          <w:tcPr>
            <w:tcW w:w="6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Earnings</w:t>
            </w:r>
          </w:p>
        </w:tc>
        <w:tc>
          <w:tcPr>
            <w:tcW w:w="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 of Tax</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2015</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129,766,091</w:t>
            </w: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$1,298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702,800</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464,655</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(200,766)</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7,450,745</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$(261,243)</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706,744</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63,313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770,057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Comprehensive income (loss):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986,373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986,373</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6,559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992,932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Pr>
          <w:p>
            <w:pPr>
              <w:ind w:left="200"/>
              <w:spacing w:after="0" w:line="138" w:lineRule="exact"/>
              <w:rPr>
                <w:sz w:val="20"/>
                <w:szCs w:val="20"/>
                <w:color w:val="auto"/>
              </w:rPr>
            </w:pPr>
            <w:r>
              <w:rPr>
                <w:rFonts w:ascii="Arial" w:cs="Arial" w:eastAsia="Arial" w:hAnsi="Arial"/>
                <w:sz w:val="14"/>
                <w:szCs w:val="14"/>
                <w:color w:val="auto"/>
                <w:w w:val="93"/>
              </w:rPr>
              <w:t>Other comprehensive loss - net</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tcPr>
          <w:p>
            <w:pPr>
              <w:ind w:left="420"/>
              <w:spacing w:after="0" w:line="159" w:lineRule="exact"/>
              <w:rPr>
                <w:sz w:val="20"/>
                <w:szCs w:val="20"/>
                <w:color w:val="auto"/>
              </w:rPr>
            </w:pPr>
            <w:r>
              <w:rPr>
                <w:rFonts w:ascii="Arial" w:cs="Arial" w:eastAsia="Arial" w:hAnsi="Arial"/>
                <w:sz w:val="14"/>
                <w:szCs w:val="14"/>
                <w:color w:val="auto"/>
              </w:rPr>
              <w:t>of tax</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(33,590)</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(33,590)</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(33,590)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share-based</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incentive compensation</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226,723</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226,723</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226,723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34,255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(36,616)</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(2,361)</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Class A common stock dividends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(290,684)</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(290,684)</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(290,684)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color w:val="auto"/>
                <w:w w:val="91"/>
              </w:rPr>
              <w:t>Purchase of Class A common stock</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3,438,789</w:t>
            </w: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(172,772)</w:t>
            </w: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(172,772)</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(172,772)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Delivery of Class A common stock</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in connection with share-based</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incentive compensation and</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related tax benefit of $13,138</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6"/>
              </w:rPr>
              <w:t>(362,417)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2"/>
              </w:rPr>
              <w:t>(6,608,837)</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255,439</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(106,978)</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(106,978)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Pr>
          <w:p>
            <w:pPr>
              <w:spacing w:after="0" w:line="138" w:lineRule="exact"/>
              <w:rPr>
                <w:sz w:val="20"/>
                <w:szCs w:val="20"/>
                <w:color w:val="auto"/>
              </w:rPr>
            </w:pPr>
            <w:r>
              <w:rPr>
                <w:rFonts w:ascii="Arial" w:cs="Arial" w:eastAsia="Arial" w:hAnsi="Arial"/>
                <w:sz w:val="14"/>
                <w:szCs w:val="14"/>
                <w:color w:val="auto"/>
                <w:w w:val="97"/>
              </w:rPr>
              <w:t>Business acquisitions and related</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tcPr>
          <w:p>
            <w:pPr>
              <w:ind w:left="200"/>
              <w:spacing w:after="0" w:line="159" w:lineRule="exact"/>
              <w:rPr>
                <w:sz w:val="20"/>
                <w:szCs w:val="20"/>
                <w:color w:val="auto"/>
              </w:rPr>
            </w:pPr>
            <w:r>
              <w:rPr>
                <w:rFonts w:ascii="Arial" w:cs="Arial" w:eastAsia="Arial" w:hAnsi="Arial"/>
                <w:sz w:val="14"/>
                <w:szCs w:val="14"/>
                <w:color w:val="auto"/>
              </w:rPr>
              <w:t>equity transactions: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Delivery of Class A common</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stock</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(1,327)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(27,316)</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1,327</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tcPr>
          <w:p>
            <w:pPr>
              <w:ind w:left="200"/>
              <w:spacing w:after="0" w:line="159" w:lineRule="exact"/>
              <w:rPr>
                <w:sz w:val="20"/>
                <w:szCs w:val="20"/>
                <w:color w:val="auto"/>
              </w:rPr>
            </w:pPr>
            <w:r>
              <w:rPr>
                <w:rFonts w:ascii="Arial" w:cs="Arial" w:eastAsia="Arial" w:hAnsi="Arial"/>
                <w:sz w:val="14"/>
                <w:szCs w:val="14"/>
                <w:color w:val="auto"/>
              </w:rPr>
              <w:t>interests, net</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(16,021)</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(16,021)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December 31, 2015</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7,921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80" w:type="dxa"/>
            <w:vAlign w:val="bottom"/>
            <w:shd w:val="clear" w:color="auto" w:fill="CCEEFF"/>
          </w:tcPr>
          <w:p>
            <w:pPr>
              <w:ind w:left="120"/>
              <w:spacing w:after="0"/>
              <w:rPr>
                <w:sz w:val="20"/>
                <w:szCs w:val="20"/>
                <w:color w:val="auto"/>
              </w:rPr>
            </w:pPr>
            <w:r>
              <w:rPr>
                <w:rFonts w:ascii="Arial" w:cs="Arial" w:eastAsia="Arial" w:hAnsi="Arial"/>
                <w:sz w:val="10"/>
                <w:szCs w:val="10"/>
                <w:b w:val="1"/>
                <w:bCs w:val="1"/>
                <w:color w:val="auto"/>
                <w:w w:val="71"/>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129,766,091</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1,298</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600,034</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1,123,728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(234,356)</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9"/>
              </w:rPr>
              <w:t>4,253,381</w:t>
            </w:r>
          </w:p>
        </w:tc>
        <w:tc>
          <w:tcPr>
            <w:tcW w:w="7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(177,249)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1,313,455</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53,851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1,367,306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340" w:right="280" w:hanging="332"/>
        <w:spacing w:after="0" w:line="186" w:lineRule="auto"/>
        <w:tabs>
          <w:tab w:leader="none" w:pos="34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Includes 129,056,081, 129,766,091 and 129,766,091 shares of the Company’s Class A common stock issued at December 31, 2013, 2014 and 2015, respectively, and 1 share of the Company’s Class B common stock issued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7000" w:firstLine="8"/>
        <w:spacing w:after="0" w:line="344" w:lineRule="auto"/>
        <w:tabs>
          <w:tab w:leader="none" w:pos="446"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Lazard Ltd indirectly held 100% of all outstanding Lazard Group common membership interests as of December 31, 2015 and 2014. Lazard Ltd, through its control of the managing members of Lazard Group, controls Lazard Group, which is governed by an Amended and Restated Operating Agreement dated as of October 26, 2015 (the “Operating Agreement”). LAZ-MD Holdings LLC (“LAZ-MD Holdings”), an entity formerly owned by Lazard Group’s current and former managing directors, held approximately 0.5% of the outstanding Lazard Group common membership interests as of January 1, 2014. As of January 1, 2014, LAZ-MD Holdings was also the sole owner of the one issued and outstanding share of Lazard Ltd’s Class B common stock (the “Class B common stock”). In May 2014, the remaining outstanding Lazard Group common membership interests held by LAZ-MD Holdings were exchanged for shares of the Company’s Class A common stock, par value $0.01 per share (“Class A common stock”), and the sole issued and outstanding share of the Company’s Class B common stock was automatically converted into one share of the Company’s Class A common stock pursuant to the provisions of the Company’s bye-laws, resulting in only one outstanding class of common stock (the “Final Exchange of LAZ-MD Interests”). Following the Final Exchange of LAZ-MD Interests, Lazard Group became a wholly-owned indirect subsidiary of Lazard Ltd.</w:t>
      </w:r>
    </w:p>
    <w:p>
      <w:pPr>
        <w:spacing w:after="0" w:line="12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Lazard Ltd’s primary operating asset is its indirect ownership of the common membership interests of, and managing member interests in, Lazard Group, whose principal operating activities are included in two business segments:</w:t>
      </w:r>
    </w:p>
    <w:p>
      <w:pPr>
        <w:spacing w:after="0" w:line="51" w:lineRule="exact"/>
        <w:rPr>
          <w:sz w:val="20"/>
          <w:szCs w:val="20"/>
          <w:color w:val="auto"/>
        </w:rPr>
      </w:pPr>
    </w:p>
    <w:p>
      <w:pPr>
        <w:jc w:val="both"/>
        <w:ind w:left="900" w:right="8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corporate preparedness and various other financial matters, and</w:t>
      </w:r>
    </w:p>
    <w:p>
      <w:pPr>
        <w:spacing w:after="0" w:line="59" w:lineRule="exact"/>
        <w:rPr>
          <w:rFonts w:ascii="Arial" w:cs="Arial" w:eastAsia="Arial" w:hAnsi="Arial"/>
          <w:sz w:val="18"/>
          <w:szCs w:val="18"/>
          <w:color w:val="auto"/>
        </w:rPr>
      </w:pPr>
    </w:p>
    <w:p>
      <w:pPr>
        <w:jc w:val="both"/>
        <w:ind w:left="900" w:right="38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8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LFB, as a registered bank,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consolidated financial statements are prepared in conformity with accounting principles generally accepted in the United States of America (“U.S. GAAP”). The Company’s policy is to consolidate entities in which it has a controlling financial interest. The Company consolidates (i) a voting interest entity (“VOE”) where the Company either holds a majority of the voting interest in such entity or is the general partner in such entity and the third-party investors do not have the right to replace the general partner and (ii) a variable interest entity (“VIE”) where the Company absorbs a majority of the expected losses, expected residual returns, or both, of such entity. 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Certain prior period amounts have been reclassified to conform to the current period presentation, primarily by separately presenting deferred tax assets, deferred tax liabilities and the tax receivable agreement obligation in the consolidated statements of financial condition and the consolidated statements of cash flows.</w:t>
      </w:r>
    </w:p>
    <w:p>
      <w:pPr>
        <w:spacing w:after="0" w:line="262"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accounting policies below relate to reported amounts and disclosures in the consolidated financial statements.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Foreign Currency Translation—</w:t>
      </w:r>
      <w:r>
        <w:rPr>
          <w:rFonts w:ascii="Arial" w:cs="Arial" w:eastAsia="Arial" w:hAnsi="Arial"/>
          <w:sz w:val="16"/>
          <w:szCs w:val="16"/>
          <w:color w:val="auto"/>
        </w:rPr>
        <w:t>The consolidated financial statements are presented in U.S. Dollars. Many of the Company’s non-U.S. subsidiaries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Foreign currency remeasurement gains (losses), net of hedge transactions (see Note 7) amounted to $1,589, $131 and $(2,887), respectively, for the years ended December 31, 2015, 2014 and 2013, and are included in “revenue-other” on the respective consolidated statements of operations.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The preparation of consolidated financial statements in conformity with U.S. GAAP requires the use of management’s estimates.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preparing the consolidated financial statements, management makes estimates and assumptions regarding:</w:t>
      </w:r>
    </w:p>
    <w:p>
      <w:pPr>
        <w:spacing w:after="0" w:line="51" w:lineRule="exact"/>
        <w:rPr>
          <w:sz w:val="20"/>
          <w:szCs w:val="20"/>
          <w:color w:val="auto"/>
        </w:rPr>
      </w:pPr>
    </w:p>
    <w:p>
      <w:pPr>
        <w:ind w:left="900" w:right="62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valuations of assets and liabilities requiring fair value estimates including, but not limited to, investments, derivatives, securities sold, not yet purchased and assumptions used to value pension and other post-retirement plans;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adequacy of the allowance for doubtful accounts;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realization of deferred taxes and adequacy of tax reserves for uncertain tax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measurement of our tax receivable agreement obligation;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carrying amount of goodwill and other intangible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amortization period of intangible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valuation of shares issued or issuable that contain transfer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vesting of share-based and other deferred compensation plan awards;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 of contingencies in the consolidated financial statements.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defines cash equivalents as short-term, highly liquid securities and cash deposits with original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days or less when purchased.</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Deposits with Banks and Short-Term Investments</w:t>
      </w:r>
      <w:r>
        <w:rPr>
          <w:rFonts w:ascii="Arial" w:cs="Arial" w:eastAsia="Arial" w:hAnsi="Arial"/>
          <w:sz w:val="18"/>
          <w:szCs w:val="18"/>
          <w:color w:val="auto"/>
        </w:rPr>
        <w:t>—Represents LFB’s short-term deposits, including with the Banque de France and amounts placed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LFB in short-term, highly liquid securities, such as French government securities, with original maturities of 90 days or less when purchased. The level of these deposits and investments may be driven by the level of LFB customer and bank-related interest-bearing time and demand deposits (which can fluctuate significantly on a daily basis) and by changes in asset allocation.</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Cash Deposited with Clearing Organizations and Other Segregated Cash—</w:t>
      </w:r>
      <w:r>
        <w:rPr>
          <w:rFonts w:ascii="Arial" w:cs="Arial" w:eastAsia="Arial" w:hAnsi="Arial"/>
          <w:sz w:val="18"/>
          <w:szCs w:val="18"/>
          <w:color w:val="auto"/>
        </w:rPr>
        <w:t>Primarily represents restricted cash deposits made by the Company,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to satisfy the requirements of clearing organizations.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color w:val="auto"/>
        </w:rPr>
        <w:t>We maintain an allowance for bad debts to provide for estimated losses relating to fees and customer receivables.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interest-bearing financing receivables) following the invoice date or may be subject to court approval (as is the case with bankruptcy-related restructuring assignments).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for additional information regarding receivables.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5"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b w:val="1"/>
          <w:bCs w:val="1"/>
          <w:color w:val="auto"/>
        </w:rPr>
        <w:t>—</w:t>
      </w:r>
      <w:r>
        <w:rPr>
          <w:rFonts w:ascii="Arial" w:cs="Arial" w:eastAsia="Arial" w:hAnsi="Arial"/>
          <w:sz w:val="18"/>
          <w:szCs w:val="18"/>
          <w:color w:val="auto"/>
        </w:rPr>
        <w:t>Investments in debt and marketable equity securities held either directly, or indirectly through asset management funds, at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broker-dealer subsidiaries are accounted for at fair value, with any increase or decrease in fair value recorded in earnings. Such amounts are reflected in “revenue-other” in the consolidated statements of operations.</w:t>
      </w:r>
    </w:p>
    <w:p>
      <w:pPr>
        <w:spacing w:after="0" w:line="138"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Investments in debt and marketable equity securities held at the Company’s non broker-dealer subsidiaries are considered “trading” securities and are accounted for at fair value, with any increase or decrease in fair value reflected in “revenue-other” in the consolidated statements of operations.</w:t>
      </w:r>
    </w:p>
    <w:p>
      <w:pPr>
        <w:spacing w:after="0" w:line="85"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Investments also include interests in alternative investment funds and private equity funds, each accounted for at fair value, as well as investments accounted for under the equity method of accounting. Any increases or decreases in the carrying value of those investments accounted for at fair value and the Company’s share of net income or losses pertaining to its equity method investments are reflected in “revenue-other” in the consolidated statements of operations.</w:t>
      </w:r>
    </w:p>
    <w:p>
      <w:pPr>
        <w:spacing w:after="0" w:line="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Dividend income is reflected in “revenue-other” on the consolidated statements of operations. Interest income includes accretion or amortization of any discount or premium arising at acquisition of the related debt security. Securities transactions and the related revenue and expenses are recorded on a “trade date” basis.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Notes 5 and 6 for additional information regarding the Company’s investments.</w:t>
      </w:r>
    </w:p>
    <w:p>
      <w:pPr>
        <w:spacing w:after="0" w:line="17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i w:val="1"/>
          <w:iCs w:val="1"/>
          <w:color w:val="auto"/>
        </w:rPr>
        <w:t>Property-net—</w:t>
      </w:r>
      <w:r>
        <w:rPr>
          <w:rFonts w:ascii="Arial" w:cs="Arial" w:eastAsia="Arial" w:hAnsi="Arial"/>
          <w:sz w:val="16"/>
          <w:szCs w:val="16"/>
          <w:color w:val="auto"/>
        </w:rPr>
        <w:t>Property is stated at cost or, in the case of property under capital leases, the present value of the future minimum lease payments, 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accumulated depreciation and amortization. Buildings represent owned property and amounts recorded pursuant to capital leases (see Notes 8 and 12), with the related obligations recorded as capital lease obligations. Such buildings are depreciated on a straight-line basis over their 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$32,785, $34,464 and $34,750 for the years ended December 31, 2015, 2014 and 2013,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Goodwill and Other Intangible Assets—</w:t>
      </w:r>
      <w:r>
        <w:rPr>
          <w:rFonts w:ascii="Arial" w:cs="Arial" w:eastAsia="Arial" w:hAnsi="Arial"/>
          <w:sz w:val="16"/>
          <w:szCs w:val="16"/>
          <w:color w:val="auto"/>
        </w:rPr>
        <w:t>As goodwill has an indefinite life, it is required to be tested for impairment annually or more frequently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completed its annual goodwill review as of November 1, 2015, and determined that no impairment existed.</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The pattern of amortization reflects the timing of the realization of the economic benefits of such intangible assets. For acquired customer contracts, the period of realization is deemed to be the period when the related revenue is recognized.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with respect to goodwill and other intangible assets.</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A derivative is typically defined as an instrument whose value is “derived” from underlying assets, indices or reference 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a future, forward, swap, or option contract, or other financial instrument with similar characteristics. Derivative contracts often involve future commitments to exchange interest payment streams or currencies based on a notional or contractual amount (</w:t>
      </w:r>
      <w:r>
        <w:rPr>
          <w:rFonts w:ascii="Arial" w:cs="Arial" w:eastAsia="Arial" w:hAnsi="Arial"/>
          <w:sz w:val="16"/>
          <w:szCs w:val="16"/>
          <w:i w:val="1"/>
          <w:iCs w:val="1"/>
          <w:color w:val="auto"/>
        </w:rPr>
        <w:t>e.g.</w:t>
      </w:r>
      <w:r>
        <w:rPr>
          <w:rFonts w:ascii="Arial" w:cs="Arial" w:eastAsia="Arial" w:hAnsi="Arial"/>
          <w:sz w:val="16"/>
          <w:szCs w:val="16"/>
          <w:color w:val="auto"/>
        </w:rPr>
        <w:t>, interest rate swaps or currency forwards) or to purchase or sell other financial instruments at specified terms on a specified date (</w:t>
      </w:r>
      <w:r>
        <w:rPr>
          <w:rFonts w:ascii="Arial" w:cs="Arial" w:eastAsia="Arial" w:hAnsi="Arial"/>
          <w:sz w:val="16"/>
          <w:szCs w:val="16"/>
          <w:i w:val="1"/>
          <w:iCs w:val="1"/>
          <w:color w:val="auto"/>
        </w:rPr>
        <w:t>e.g.</w:t>
      </w:r>
      <w:r>
        <w:rPr>
          <w:rFonts w:ascii="Arial" w:cs="Arial" w:eastAsia="Arial" w:hAnsi="Arial"/>
          <w:sz w:val="16"/>
          <w:szCs w:val="16"/>
          <w:color w:val="auto"/>
        </w:rPr>
        <w:t>, options to buy or sell securities or currencies).</w:t>
      </w:r>
    </w:p>
    <w:p>
      <w:pPr>
        <w:spacing w:after="0" w:line="11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“revenue-other”, depending on the nature of the underlying item, in the consolidated statements of operations.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Lazard Fund Interests (“LFI”)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consolidated statements of operations. For information regarding LFI and other similar deferred compensation arrangements, see Notes 5, 7 and 14.</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Deposits and Other Customer Payables</w:t>
      </w:r>
      <w:r>
        <w:rPr>
          <w:rFonts w:ascii="Arial" w:cs="Arial" w:eastAsia="Arial" w:hAnsi="Arial"/>
          <w:sz w:val="16"/>
          <w:szCs w:val="16"/>
          <w:b w:val="1"/>
          <w:bCs w:val="1"/>
          <w:color w:val="auto"/>
        </w:rPr>
        <w:t>—</w:t>
      </w:r>
      <w:r>
        <w:rPr>
          <w:rFonts w:ascii="Arial" w:cs="Arial" w:eastAsia="Arial" w:hAnsi="Arial"/>
          <w:sz w:val="16"/>
          <w:szCs w:val="16"/>
          <w:color w:val="auto"/>
        </w:rPr>
        <w:t>Principally relates to LFB customer-related demand deposits, both interest-bearing and non-interest bearing.</w:t>
      </w:r>
    </w:p>
    <w:p>
      <w:pPr>
        <w:spacing w:after="0" w:line="20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Securities Sold, Not Yet Purchased—</w:t>
      </w:r>
      <w:r>
        <w:rPr>
          <w:rFonts w:ascii="Arial" w:cs="Arial" w:eastAsia="Arial" w:hAnsi="Arial"/>
          <w:sz w:val="16"/>
          <w:szCs w:val="16"/>
          <w:color w:val="auto"/>
        </w:rPr>
        <w:t>Securities sold, not yet purchased represents liabilities for securities sold for which payment has been received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obligations to deliver such securities are included within “other liabilities” in the consolidated statements of financial condition. These securities are accounted for at fair value, with any increase or decrease in fair value recorded in earnings in accordance with standard securities industry practices. Such gains and losses are reflected in “revenue-other” in the consolidated statements of operations.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Fair Value of Financial Assets and Liabilities—</w:t>
      </w:r>
      <w:r>
        <w:rPr>
          <w:rFonts w:ascii="Arial" w:cs="Arial" w:eastAsia="Arial" w:hAnsi="Arial"/>
          <w:sz w:val="16"/>
          <w:szCs w:val="16"/>
          <w:color w:val="auto"/>
        </w:rPr>
        <w:t>The majority of the Company’s financial assets and liabilities are recorded at fair value or at amounts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 fair value. Such assets and liabilities include cash and cash equivalents, deposits with banks and short-term investments, cash deposited with clearing organizations and other segregated cash, receivables, investments (excluding investments accounted for at amortized cost, interest-bearing deposits or using the equity method of accounting), derivative instruments, deposits and other customer payables.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Investment Banking and Other Advisory Fees—</w:t>
      </w:r>
      <w:r>
        <w:rPr>
          <w:rFonts w:ascii="Arial" w:cs="Arial" w:eastAsia="Arial" w:hAnsi="Arial"/>
          <w:sz w:val="15"/>
          <w:szCs w:val="15"/>
          <w:color w:val="auto"/>
        </w:rPr>
        <w:t>Fees for M&amp;A and Other Advisory services and Restructuring advisory services are recorded when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 there is persuasive evidence of an arrangement with 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client, (ii) fees are fixed or determinable, (iii) the agreed-upon services have been completed and delivered to the client or the transaction or events contemplated in the engagement letter are determined to be substantially completed, which is generally the date the related transactions are consummated and (iv) collection is reasonably assured. Expenses that are directly related to such transactions and billable to clients are deferred to match revenue recognition. “Investment banking and other advisory fees” on the Company’s consolidated statements of operations are presented net of client reimbursements of expenses. The amount of expenses reimbursed by clients for the years ended December 31, 2015, 2014 and 2013 are $19,358, $20,407 and $18,327, respectively.</w:t>
      </w:r>
    </w:p>
    <w:p>
      <w:pPr>
        <w:spacing w:after="0" w:line="116"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b w:val="1"/>
          <w:bCs w:val="1"/>
          <w:i w:val="1"/>
          <w:iCs w:val="1"/>
          <w:color w:val="auto"/>
        </w:rPr>
        <w:t>Asset Management Fees—</w:t>
      </w:r>
      <w:r>
        <w:rPr>
          <w:rFonts w:ascii="Arial" w:cs="Arial" w:eastAsia="Arial" w:hAnsi="Arial"/>
          <w:sz w:val="15"/>
          <w:szCs w:val="15"/>
          <w:color w:val="auto"/>
        </w:rPr>
        <w:t>Asset management fees are derived from fees for investment management and advisory services provided to clients. Revenue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recorded on an accrual basis primarily based on a percentage of client assets managed. Fees vary with the type of assets managed, with higher fees earned on equity assets, alternative investment (such as hedge funds) and private equity funds, and lower fees earned on fixed income and money market products.</w:t>
      </w:r>
    </w:p>
    <w:p>
      <w:pPr>
        <w:spacing w:after="0" w:line="8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Receivables relating to asset management and incentive fees are reported in “fees receivable” on the consolidated statements of financial condition.</w:t>
      </w:r>
    </w:p>
    <w:p>
      <w:pPr>
        <w:spacing w:after="0" w:line="194"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Company serves as an investment advisor for certain affiliated investment companies and fund entities and receives management fees and, for the alternative investment funds, performance fees for providing such services. Investment advisory fees relating to such services were $534,752, $532,415 and $499,272 for the years ended December 31, 2015, 2014 and 2013, respectively, of which $42,002 and $42,291 remained as a receivable at December 31, 2015 and 2014, respectively, and is included in “fees receivable” on the consolidated statements of financial condition.</w:t>
      </w:r>
    </w:p>
    <w:p>
      <w:pPr>
        <w:spacing w:after="0" w:line="107"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b w:val="1"/>
          <w:bCs w:val="1"/>
          <w:i w:val="1"/>
          <w:iCs w:val="1"/>
          <w:color w:val="auto"/>
        </w:rPr>
        <w:t>Soft Dollar Arrangements</w:t>
      </w:r>
      <w:r>
        <w:rPr>
          <w:rFonts w:ascii="Arial" w:cs="Arial" w:eastAsia="Arial" w:hAnsi="Arial"/>
          <w:sz w:val="16"/>
          <w:szCs w:val="16"/>
          <w:b w:val="1"/>
          <w:bCs w:val="1"/>
          <w:color w:val="auto"/>
        </w:rPr>
        <w:t>—</w:t>
      </w:r>
      <w:r>
        <w:rPr>
          <w:rFonts w:ascii="Arial" w:cs="Arial" w:eastAsia="Arial" w:hAnsi="Arial"/>
          <w:sz w:val="16"/>
          <w:szCs w:val="16"/>
          <w:color w:val="auto"/>
        </w:rPr>
        <w:t>The Company’s Asset Management business obtains research and other services through “soft dollar”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with the “soft dollar” safe harbor established by Section 28(e) of the Securities Exchange Act of 1934, as amended (the “Exchange Act”), the Asset Management business does not have any contractual obligation or arrangement requiring it to pay for research and other services obtained through soft dollar arrangements with brokers. Instead, the provider is obligated to pay for the services. Consequently, the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does not incur any liability and does not accrue any expenses in connection with any research or other services obtained by the Asset Management business pursuant to such soft dollar arrangements. For the year ended December 31, 2015, the Company obtained research and other services through soft dollar arrangements valued at approximately $24,000. If the use of soft dollars is limited or prohibited in the future by regulation, we may have to bear the costs of such research and other services.</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b w:val="1"/>
          <w:bCs w:val="1"/>
          <w:i w:val="1"/>
          <w:iCs w:val="1"/>
          <w:color w:val="auto"/>
        </w:rPr>
        <w:t>Equity-Based Incentive Compensation Awards—</w:t>
      </w:r>
      <w:r>
        <w:rPr>
          <w:rFonts w:ascii="Arial" w:cs="Arial" w:eastAsia="Arial" w:hAnsi="Arial"/>
          <w:sz w:val="16"/>
          <w:szCs w:val="16"/>
          <w:color w:val="auto"/>
        </w:rPr>
        <w:t>Equity-based incentive compensation awards that do not require future service are expensed immediately.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Equity-based compensation awards that require future service are amortized over the applicable vesting period, or requisite service period, based on the fair value of the Company’s Class A common stock on the date of grant. Compensation expense recognized for equity-based incentive compensation is determined based on the number of awards that in the Company’s estimate are considered probable of vesting (including as a result of any applicable performance conditions). Equity-based incentive compensation is recognized in “compensation and benefits” expense.</w:t>
      </w:r>
    </w:p>
    <w:p>
      <w:pPr>
        <w:spacing w:after="0" w:line="110"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i w:val="1"/>
          <w:iCs w:val="1"/>
          <w:color w:val="auto"/>
        </w:rPr>
        <w:t>Cost Saving Initiatives and Staff Reductions</w:t>
      </w:r>
      <w:r>
        <w:rPr>
          <w:rFonts w:ascii="Arial" w:cs="Arial" w:eastAsia="Arial" w:hAnsi="Arial"/>
          <w:sz w:val="16"/>
          <w:szCs w:val="16"/>
          <w:b w:val="1"/>
          <w:bCs w:val="1"/>
          <w:color w:val="auto"/>
        </w:rPr>
        <w:t>—</w:t>
      </w:r>
      <w:r>
        <w:rPr>
          <w:rFonts w:ascii="Arial" w:cs="Arial" w:eastAsia="Arial" w:hAnsi="Arial"/>
          <w:sz w:val="16"/>
          <w:szCs w:val="16"/>
          <w:color w:val="auto"/>
        </w:rPr>
        <w:t>Charges associated with management-approved cost saving plans or staff reductions can include severance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charges to vacate facilities and contract cancellation costs. Severance costs are generally accrued on the date that employees are notified of their benefits and other costs are generally accrued as the Company ceases to use facilities or cancels contracts. The Company records severance-related liabilities in “accrued compensation and benefits” and other types of liabilities in “other liabilities” in the consolidated statements of financial condition.</w:t>
      </w:r>
    </w:p>
    <w:p>
      <w:pPr>
        <w:spacing w:after="0" w:line="10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Lazard Ltd, through its subsidiaries, is subject to U.S. federal income taxes on all of its U.S. operating income, as well as on the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income attributable to its U.S. subsidiaries.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17 for additional information).</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deferred tax assets and deferred tax liabilities on the consolidated statements of financial condition. A deferred tax asset is recognized if it is more likely than not (defined as a likelihood of greater than 50%) that a tax benefit will be accepted by a taxing authority.</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following possible sources of taxable income when assessing the realization of deferred tax assets:</w:t>
      </w:r>
    </w:p>
    <w:p>
      <w:pPr>
        <w:spacing w:after="0" w:line="184"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assessment regarding whether a valuation allowance is required or should be adjusted also considers all available information, including the following:</w:t>
      </w:r>
    </w:p>
    <w:p>
      <w:pPr>
        <w:spacing w:after="0" w:line="125"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Company records tax positions taken or expected to be taken in a tax return based upon the Company’s estimates regarding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recognizes interest and/or penalties related to unrecognized tax benefits in “provision (benefit) for income taxes”. See Note 17 for additional information relating to income taxes.</w:t>
      </w:r>
    </w:p>
    <w:p>
      <w:pPr>
        <w:spacing w:after="0" w:line="254"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—In May 2014, the Financial Accounting Standards Board (the “FASB”) issued comprehensive new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guidance. The guidance requires a company to recognize revenue when it transfers promised services to customers in an amount that reflects the consideration to which the company expects to be entitled in exchange for those services and requires enhanced disclosures. The new guidance is effective for annual and interim periods beginning after December 15, 2016 and early adoption is not permitted. On July 9, 2015, the FASB approved the deferral of the effective date of the new revenue guidance by one year to annual reporting periods beginning after December 15, 2017, with early adoption being permitted for annual periods beginning after December 15, 2016. The Company is currently evaluating the new guidance.</w:t>
      </w:r>
    </w:p>
    <w:p>
      <w:pPr>
        <w:spacing w:after="0" w:line="120"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—In February 2015, the FASB issued updated guidance for the consolidation of certain legal entities.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updated guidance eliminates the deferral of certain consolidation standards for entities considered to be investment companies and modifies the evaluation of whether limited partnerships and similar legal entities are VIEs or VOEs. The new guidance is effective for annual reporting periods beginning after December 15, 2015, with early adoption permitted. The Company does not expect that the adoption of this guidance will have a material impact on our consolidated financial statements or related disclosures.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Interest—Imputation of Interest</w:t>
      </w:r>
      <w:r>
        <w:rPr>
          <w:rFonts w:ascii="Arial" w:cs="Arial" w:eastAsia="Arial" w:hAnsi="Arial"/>
          <w:sz w:val="18"/>
          <w:szCs w:val="18"/>
          <w:color w:val="auto"/>
        </w:rPr>
        <w:t>—In April 2015, the FASB issued updated guidance which requires a company to classify debt issuance costs related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debt liability in the balance sheet as a direct deduction from the carrying amount of that debt liability, consistent with debt discounts. The new guidance is effective for financial statements issued for fiscal years beginning after December 15, 2015, with early adoption permitted. The new guidance is to be applied on a retrospective basis. The Company does not expect that the adoption of this guidance will have a material impact on our consolidated financial statements or related disclosures.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w:t>
      </w:r>
      <w:r>
        <w:rPr>
          <w:rFonts w:ascii="Arial" w:cs="Arial" w:eastAsia="Arial" w:hAnsi="Arial"/>
          <w:sz w:val="18"/>
          <w:szCs w:val="18"/>
          <w:i w:val="1"/>
          <w:iCs w:val="1"/>
          <w:color w:val="auto"/>
        </w:rPr>
        <w:t xml:space="preserve"> Customers Accounting for Fees Paid in a Cloud Computing Arrangement</w:t>
      </w:r>
      <w:r>
        <w:rPr>
          <w:rFonts w:ascii="Arial" w:cs="Arial" w:eastAsia="Arial" w:hAnsi="Arial"/>
          <w:sz w:val="18"/>
          <w:szCs w:val="18"/>
          <w:color w:val="auto"/>
        </w:rPr>
        <w:t>—In April 2015, the</w:t>
      </w:r>
      <w:r>
        <w:rPr>
          <w:rFonts w:ascii="Arial" w:cs="Arial" w:eastAsia="Arial" w:hAnsi="Arial"/>
          <w:sz w:val="18"/>
          <w:szCs w:val="18"/>
          <w:i w:val="1"/>
          <w:iCs w:val="1"/>
          <w:color w:val="auto"/>
        </w:rPr>
        <w:t xml:space="preserve"> </w:t>
      </w:r>
      <w:r>
        <w:rPr>
          <w:rFonts w:ascii="Arial" w:cs="Arial" w:eastAsia="Arial" w:hAnsi="Arial"/>
          <w:sz w:val="18"/>
          <w:szCs w:val="18"/>
          <w:color w:val="auto"/>
        </w:rPr>
        <w:t>FASB issued updated guidance providing clarification on whether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cloud computing arrangement that contains a software license should be accounted for as internal-use software. The new guidance is effective for annual and interim periods beginning after December 15, 2015, with early adoption permitted. The Company does not expect that the adoption of this guidance will have a material impact on our consolidated financial statements.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Fair Value Measurement</w:t>
      </w:r>
      <w:r>
        <w:rPr>
          <w:rFonts w:ascii="Arial" w:cs="Arial" w:eastAsia="Arial" w:hAnsi="Arial"/>
          <w:sz w:val="16"/>
          <w:szCs w:val="16"/>
          <w:color w:val="auto"/>
        </w:rPr>
        <w:t>—In May 2015, the FASB issued updated guidance for the classification and disclosure of certain investments using the net asset</w:t>
      </w:r>
      <w:r>
        <w:rPr>
          <w:rFonts w:ascii="Arial" w:cs="Arial" w:eastAsia="Arial" w:hAnsi="Arial"/>
          <w:sz w:val="16"/>
          <w:szCs w:val="16"/>
          <w:i w:val="1"/>
          <w:iCs w:val="1"/>
          <w:color w:val="auto"/>
        </w:rPr>
        <w:t xml:space="preserve"> </w:t>
      </w:r>
      <w:r>
        <w:rPr>
          <w:rFonts w:ascii="Arial" w:cs="Arial" w:eastAsia="Arial" w:hAnsi="Arial"/>
          <w:sz w:val="16"/>
          <w:szCs w:val="16"/>
          <w:color w:val="auto"/>
        </w:rPr>
        <w:t>value (“NAV”) as a practical expedient to measure the fair value of the investment. The guidance removes the requirement to categorize within the fair value hierarchy all investments for which fair value is measured using NAV as a practical expedient. The new guidance is effective for financial statements issued for fiscal years beginning after December 15, 2015, with early adoption permitted. The new guidance is to be applied on a retrospective basis. The Company elected to early adopt this guidance in the quarter ended September 30, 2015 and has removed investments that are measured at NAV as a practical expedient from the fair value hierarchy in all periods presented in the consolidated financial statements and related disclosures.</w:t>
      </w:r>
    </w:p>
    <w:p>
      <w:pPr>
        <w:spacing w:after="0" w:line="242"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fee receivables, amounts due from customers and other receivables.</w:t>
      </w:r>
    </w:p>
    <w:p>
      <w:pPr>
        <w:spacing w:after="0" w:line="17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years ended December 31, 2015, 2014 and 2013 was as follows: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8"/>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6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114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2"/>
                <w:szCs w:val="12"/>
                <w:color w:val="auto"/>
              </w:rPr>
            </w:pPr>
          </w:p>
        </w:tc>
        <w:tc>
          <w:tcPr>
            <w:tcW w:w="58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$ 23,540</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$ 28,777</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$23,017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640" w:type="dxa"/>
            <w:vAlign w:val="bottom"/>
          </w:tcPr>
          <w:p>
            <w:pPr>
              <w:jc w:val="right"/>
              <w:spacing w:after="0"/>
              <w:rPr>
                <w:sz w:val="20"/>
                <w:szCs w:val="20"/>
                <w:color w:val="auto"/>
              </w:rPr>
            </w:pPr>
            <w:r>
              <w:rPr>
                <w:rFonts w:ascii="Arial" w:cs="Arial" w:eastAsia="Arial" w:hAnsi="Arial"/>
                <w:sz w:val="18"/>
                <w:szCs w:val="18"/>
                <w:color w:val="auto"/>
              </w:rPr>
              <w:t>3,125</w:t>
            </w:r>
          </w:p>
        </w:tc>
        <w:tc>
          <w:tcPr>
            <w:tcW w:w="80" w:type="dxa"/>
            <w:vAlign w:val="bottom"/>
          </w:tcPr>
          <w:p>
            <w:pPr>
              <w:spacing w:after="0"/>
              <w:rPr>
                <w:sz w:val="18"/>
                <w:szCs w:val="18"/>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18"/>
                <w:szCs w:val="18"/>
                <w:color w:val="auto"/>
              </w:rPr>
              <w:t>12,246</w:t>
            </w:r>
          </w:p>
        </w:tc>
        <w:tc>
          <w:tcPr>
            <w:tcW w:w="580" w:type="dxa"/>
            <w:vAlign w:val="bottom"/>
          </w:tcPr>
          <w:p>
            <w:pPr>
              <w:jc w:val="right"/>
              <w:spacing w:after="0"/>
              <w:rPr>
                <w:sz w:val="20"/>
                <w:szCs w:val="20"/>
                <w:color w:val="auto"/>
              </w:rPr>
            </w:pPr>
            <w:r>
              <w:rPr>
                <w:rFonts w:ascii="Arial" w:cs="Arial" w:eastAsia="Arial" w:hAnsi="Arial"/>
                <w:sz w:val="18"/>
                <w:szCs w:val="18"/>
                <w:color w:val="auto"/>
              </w:rPr>
              <w:t>4,395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Charge-offs, foreign currency translation and other adjustments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(13,783)</w:t>
            </w:r>
          </w:p>
        </w:tc>
        <w:tc>
          <w:tcPr>
            <w:tcW w:w="1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(17,483)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$ 12,882</w:t>
            </w:r>
          </w:p>
        </w:tc>
        <w:tc>
          <w:tcPr>
            <w:tcW w:w="80" w:type="dxa"/>
            <w:vAlign w:val="bottom"/>
          </w:tcPr>
          <w:p>
            <w:pPr>
              <w:spacing w:after="0"/>
              <w:rPr>
                <w:sz w:val="19"/>
                <w:szCs w:val="19"/>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18"/>
                <w:szCs w:val="18"/>
                <w:color w:val="auto"/>
              </w:rPr>
              <w:t>$ 23,540</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Bad debt expense, net of recoveries is included in “investment banking and other advisory fees” on the consolidated statements of operations.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2015 and 2014, the Company had receivables past due or deemed uncollectible of $19,923 and $24,578, respectively.</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Of the Company’s fee receivables at December 31, 2015 and 2014, $81,774 and $86,221,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4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$415,439 and $471,375 at December 31, 2015 and 2014, respectively, approximates fair value.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20"/>
          </w:cols>
          <w:pgMar w:left="240" w:top="459"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December 31, 2015 and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Interest-bearing deposits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54,885</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60" w:type="dxa"/>
            <w:vAlign w:val="bottom"/>
            <w:gridSpan w:val="3"/>
          </w:tcPr>
          <w:p>
            <w:pPr>
              <w:spacing w:after="0"/>
              <w:rPr>
                <w:sz w:val="20"/>
                <w:szCs w:val="20"/>
                <w:color w:val="auto"/>
              </w:rPr>
            </w:pPr>
            <w:r>
              <w:rPr>
                <w:rFonts w:ascii="Arial" w:cs="Arial" w:eastAsia="Arial" w:hAnsi="Arial"/>
                <w:sz w:val="18"/>
                <w:szCs w:val="18"/>
                <w:color w:val="auto"/>
              </w:rPr>
              <w:t>Debt</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57,302</w:t>
            </w:r>
          </w:p>
        </w:tc>
        <w:tc>
          <w:tcPr>
            <w:tcW w:w="0" w:type="dxa"/>
            <w:vAlign w:val="bottom"/>
          </w:tcPr>
          <w:p>
            <w:pPr>
              <w:spacing w:after="0"/>
              <w:rPr>
                <w:sz w:val="1"/>
                <w:szCs w:val="1"/>
                <w:color w:val="auto"/>
              </w:rPr>
            </w:pPr>
          </w:p>
        </w:tc>
      </w:tr>
      <w:tr>
        <w:trPr>
          <w:trHeight w:val="222"/>
        </w:trPr>
        <w:tc>
          <w:tcPr>
            <w:tcW w:w="9560" w:type="dxa"/>
            <w:vAlign w:val="bottom"/>
            <w:gridSpan w:val="3"/>
          </w:tcPr>
          <w:p>
            <w:pPr>
              <w:spacing w:after="0"/>
              <w:rPr>
                <w:sz w:val="20"/>
                <w:szCs w:val="20"/>
                <w:color w:val="auto"/>
              </w:rPr>
            </w:pPr>
            <w:r>
              <w:rPr>
                <w:rFonts w:ascii="Arial" w:cs="Arial" w:eastAsia="Arial" w:hAnsi="Arial"/>
                <w:sz w:val="18"/>
                <w:szCs w:val="18"/>
                <w:color w:val="auto"/>
              </w:rPr>
              <w:t>Funds: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Alternative investments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Debt (a)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67,134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82,889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197,787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228,209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Private equity</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100,219</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114,470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432,740</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460,273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60" w:type="dxa"/>
            <w:vAlign w:val="bottom"/>
            <w:gridSpan w:val="3"/>
          </w:tcPr>
          <w:p>
            <w:pPr>
              <w:spacing w:after="0"/>
              <w:rPr>
                <w:sz w:val="20"/>
                <w:szCs w:val="20"/>
                <w:color w:val="auto"/>
              </w:rPr>
            </w:pPr>
            <w:r>
              <w:rPr>
                <w:rFonts w:ascii="Arial" w:cs="Arial" w:eastAsia="Arial" w:hAnsi="Arial"/>
                <w:sz w:val="18"/>
                <w:szCs w:val="18"/>
                <w:color w:val="auto"/>
              </w:rPr>
              <w:t>Equity method</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541,911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620,352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Interest-bearing deposits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Equity method</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478,109</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528,001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3"/>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60" w:type="dxa"/>
            <w:vAlign w:val="bottom"/>
            <w:gridSpan w:val="3"/>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3,239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98"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Interests in alternative investment funds, debt funds and equity funds include investments with fair values of $10,996, $31,598 and $156,081, respectively, at December 31, 2015 and $8,321, $42,070 and $162,798, respectively, at December 31, 2014, held in order to satisfy the Company’s liability upon vesting of previously granted LFI and other similar deferred compensation arrangements. LFI represent grants by the Company to eligible employees of actual or notional interests in a number of Lazard-managed funds, subject to service-based vesting conditions (see Notes 7 and 14).</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funds of funds and mutual funds.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until the fourth quarter of 2015, Lazard Australia Corporate Opportunities Fund 2 (“COF2”), an Australian fund targeting Australian mid-market investments, (iii) a mezzanine fund, which invests in mezzanine debt of a diversified selection of small- to mid-cap European companies, and (iv) a fund targeting significant noncontrolling-stake investments in established private companies. The Company disposed of its private equity business in Australia in the second quarter of 2015 in a transaction with the management of the disposed business. Revenue of $24,388 relating to the disposal of the business primarily represents the realization of carried interest at fair value and is included in “revenue-other” on the consolidated statements of operations for the year ended December 31, 2015.</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32"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During the years ended December 31, 2015, 2014 and 2013, the Company reported in “revenue-other” on its consolidated statements of operations net unrealized investment gains and losses pertaining to “trading” securities still held as of the reporting date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1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unrealized investment gains (losses)</w:t>
            </w:r>
          </w:p>
        </w:tc>
        <w:tc>
          <w:tcPr>
            <w:tcW w:w="2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(19,681)</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$(8,568)</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$16,470</w:t>
            </w:r>
          </w:p>
        </w:tc>
        <w:tc>
          <w:tcPr>
            <w:tcW w:w="100" w:type="dxa"/>
            <w:vAlign w:val="bottom"/>
            <w:shd w:val="clear" w:color="auto" w:fill="CCEEFF"/>
          </w:tcPr>
          <w:p>
            <w:pPr>
              <w:spacing w:after="0"/>
              <w:rPr>
                <w:sz w:val="18"/>
                <w:szCs w:val="18"/>
                <w:color w:val="auto"/>
              </w:rPr>
            </w:pPr>
          </w:p>
        </w:tc>
      </w:tr>
    </w:tbl>
    <w:p>
      <w:pPr>
        <w:spacing w:after="0" w:line="275"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at fair value into a three-level fair value hierarchy as follows:</w:t>
      </w:r>
    </w:p>
    <w:p>
      <w:pPr>
        <w:spacing w:after="0" w:line="51"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right="14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or (ii) inputs other than quoted prices that are directly observable or derived principally from, or corroborated by, market data.</w:t>
      </w:r>
    </w:p>
    <w:p>
      <w:pPr>
        <w:spacing w:after="0" w:line="59" w:lineRule="exact"/>
        <w:rPr>
          <w:sz w:val="20"/>
          <w:szCs w:val="20"/>
          <w:color w:val="auto"/>
        </w:rPr>
      </w:pPr>
    </w:p>
    <w:p>
      <w:pPr>
        <w:ind w:left="920" w:right="140" w:hanging="904"/>
        <w:spacing w:after="0" w:line="255"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4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Company’s investments in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3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fair values of derivatives entered into by the Company are classified as Level 2 and are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144"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b w:val="1"/>
          <w:bCs w:val="1"/>
          <w:i w:val="1"/>
          <w:iCs w:val="1"/>
          <w:color w:val="auto"/>
        </w:rPr>
        <w:t>Investments Measured at Net Asset Value</w:t>
      </w:r>
      <w:r>
        <w:rPr>
          <w:rFonts w:ascii="Arial" w:cs="Arial" w:eastAsia="Arial" w:hAnsi="Arial"/>
          <w:sz w:val="18"/>
          <w:szCs w:val="18"/>
          <w:color w:val="auto"/>
        </w:rPr>
        <w:t>—As a practical expedient, the Company uses NAV or its equivalent to measure the fair value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NAV is primarily determined based on information provided by external fund administrators. The Company’s investments valued at NAV as a practical expedient in (i) alternative investment funds, debt funds and equity funds are redeemable in the near term, and (ii) in private equity funds are not redeemable in the near term as a result of redemption restrictions.</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tables present, as of December 31, 2015 and 2014, the classification of (i) investments and certain other assets and liabilities measured at fair value on a recurring basis within the fair value hierarchy and (ii) investments measured at NAV or its equivalent as a practical expedient:</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2"/>
              </w:rPr>
              <w:t>Level 2</w:t>
            </w:r>
          </w:p>
        </w:tc>
        <w:tc>
          <w:tcPr>
            <w:tcW w:w="360" w:type="dxa"/>
            <w:vAlign w:val="bottom"/>
          </w:tcPr>
          <w:p>
            <w:pPr>
              <w:spacing w:after="0"/>
              <w:rPr>
                <w:sz w:val="12"/>
                <w:szCs w:val="12"/>
                <w:color w:val="auto"/>
              </w:rPr>
            </w:pPr>
          </w:p>
        </w:tc>
        <w:tc>
          <w:tcPr>
            <w:tcW w:w="860" w:type="dxa"/>
            <w:vAlign w:val="bottom"/>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90"/>
              </w:rPr>
              <w:t>NAV (a)</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Investments: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43,558</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1,276</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44,834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45,135</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67,600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67,128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67,134</w:t>
            </w: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Arial" w:cs="Arial" w:eastAsia="Arial" w:hAnsi="Arial"/>
                <w:sz w:val="18"/>
                <w:szCs w:val="18"/>
                <w:color w:val="auto"/>
              </w:rPr>
              <w:t>Equity</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197,745</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197,787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100,219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100,219</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Derivatives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1,048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354,101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1,276</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122,732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479,157</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Derivatives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195,689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195,689</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195,689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198,928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300" w:type="dxa"/>
            <w:vAlign w:val="bottom"/>
            <w:vMerge w:val="restart"/>
          </w:tcPr>
          <w:p>
            <w:pPr>
              <w:jc w:val="right"/>
              <w:ind w:right="492"/>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0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2014 (b)</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2"/>
              </w:rPr>
              <w:t>Level 2</w:t>
            </w:r>
          </w:p>
        </w:tc>
        <w:tc>
          <w:tcPr>
            <w:tcW w:w="420" w:type="dxa"/>
            <w:vAlign w:val="bottom"/>
          </w:tcPr>
          <w:p>
            <w:pPr>
              <w:spacing w:after="0"/>
              <w:rPr>
                <w:sz w:val="12"/>
                <w:szCs w:val="12"/>
                <w:color w:val="auto"/>
              </w:rPr>
            </w:pPr>
          </w:p>
        </w:tc>
        <w:tc>
          <w:tcPr>
            <w:tcW w:w="920" w:type="dxa"/>
            <w:vAlign w:val="bottom"/>
            <w:gridSpan w:val="3"/>
          </w:tcPr>
          <w:p>
            <w:pPr>
              <w:jc w:val="center"/>
              <w:ind w:right="420"/>
              <w:spacing w:after="0" w:line="142" w:lineRule="exact"/>
              <w:rPr>
                <w:sz w:val="20"/>
                <w:szCs w:val="20"/>
                <w:color w:val="auto"/>
              </w:rPr>
            </w:pPr>
            <w:r>
              <w:rPr>
                <w:rFonts w:ascii="Arial" w:cs="Arial" w:eastAsia="Arial" w:hAnsi="Arial"/>
                <w:sz w:val="14"/>
                <w:szCs w:val="14"/>
                <w:b w:val="1"/>
                <w:bCs w:val="1"/>
                <w:color w:val="auto"/>
                <w:w w:val="88"/>
              </w:rPr>
              <w:t>Level 3</w:t>
            </w:r>
          </w:p>
        </w:tc>
        <w:tc>
          <w:tcPr>
            <w:tcW w:w="10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0"/>
              </w:rPr>
              <w:t>NAV (a)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10,426</w:t>
            </w: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55,987</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57,302</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34,705</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82,885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82,889</w:t>
            </w:r>
          </w:p>
        </w:tc>
        <w:tc>
          <w:tcPr>
            <w:tcW w:w="0" w:type="dxa"/>
            <w:vAlign w:val="bottom"/>
          </w:tcPr>
          <w:p>
            <w:pPr>
              <w:spacing w:after="0"/>
              <w:rPr>
                <w:sz w:val="1"/>
                <w:szCs w:val="1"/>
                <w:color w:val="auto"/>
              </w:rPr>
            </w:pPr>
          </w:p>
        </w:tc>
      </w:tr>
      <w:tr>
        <w:trPr>
          <w:trHeight w:val="216"/>
        </w:trPr>
        <w:tc>
          <w:tcPr>
            <w:tcW w:w="6380" w:type="dxa"/>
            <w:vAlign w:val="bottom"/>
          </w:tcPr>
          <w:p>
            <w:pPr>
              <w:ind w:left="88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228,166</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228,209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114,470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114,470</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2,355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372,578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149,222</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530,356</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9,290</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208,093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208,093</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208,093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217,383</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 w:hanging="452"/>
        <w:spacing w:after="0" w:line="332"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certain investments measured at NAV or its equivalent as a practical expedient in determining fair value. In accordance with current accounting guidance, these investments have not been classified in the fair value hierarchy. See Note 3 for additional information.</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table as of December 31, 2014 reflects the retrospective application of new disclosure guidance adopted by the Company for investments using NAV or its equivalent as a practical expedient when measuring fair value. See Note 3.</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following tables provide a summary of changes in fair value of the Company’s Level 3 assets for the years ended December 31, 2015, 2014 and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ind w:left="860"/>
              <w:spacing w:after="0"/>
              <w:rPr>
                <w:sz w:val="20"/>
                <w:szCs w:val="20"/>
                <w:color w:val="auto"/>
              </w:rPr>
            </w:pPr>
            <w:r>
              <w:rPr>
                <w:rFonts w:ascii="Arial" w:cs="Arial" w:eastAsia="Arial" w:hAnsi="Arial"/>
                <w:sz w:val="14"/>
                <w:szCs w:val="14"/>
                <w:b w:val="1"/>
                <w:bCs w:val="1"/>
                <w:color w:val="auto"/>
              </w:rPr>
              <w:t>Year Ended December 31, 2015 (a)</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Foreign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Included</w:t>
            </w: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Currency</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2"/>
              </w:rPr>
              <w:t>Beginning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Revenue-</w:t>
            </w:r>
          </w:p>
        </w:tc>
        <w:tc>
          <w:tcPr>
            <w:tcW w:w="960" w:type="dxa"/>
            <w:vAlign w:val="bottom"/>
          </w:tcPr>
          <w:p>
            <w:pPr>
              <w:spacing w:after="0"/>
              <w:rPr>
                <w:sz w:val="12"/>
                <w:szCs w:val="12"/>
                <w:color w:val="auto"/>
              </w:rPr>
            </w:pPr>
          </w:p>
        </w:tc>
        <w:tc>
          <w:tcPr>
            <w:tcW w:w="13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12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Sales/</w:t>
            </w:r>
          </w:p>
        </w:tc>
        <w:tc>
          <w:tcPr>
            <w:tcW w:w="280" w:type="dxa"/>
            <w:vAlign w:val="bottom"/>
          </w:tcPr>
          <w:p>
            <w:pPr>
              <w:spacing w:after="0"/>
              <w:rPr>
                <w:sz w:val="12"/>
                <w:szCs w:val="12"/>
                <w:color w:val="auto"/>
              </w:rPr>
            </w:pPr>
          </w:p>
        </w:tc>
        <w:tc>
          <w:tcPr>
            <w:tcW w:w="13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r>
      <w:tr>
        <w:trPr>
          <w:trHeight w:val="161"/>
        </w:trPr>
        <w:tc>
          <w:tcPr>
            <w:tcW w:w="3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Other (b)</w:t>
            </w:r>
          </w:p>
        </w:tc>
        <w:tc>
          <w:tcPr>
            <w:tcW w:w="9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280" w:type="dxa"/>
            <w:vAlign w:val="bottom"/>
          </w:tcPr>
          <w:p>
            <w:pPr>
              <w:spacing w:after="0"/>
              <w:rPr>
                <w:sz w:val="14"/>
                <w:szCs w:val="14"/>
                <w:color w:val="auto"/>
              </w:rPr>
            </w:pPr>
          </w:p>
        </w:tc>
        <w:tc>
          <w:tcPr>
            <w:tcW w:w="13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Adjustments</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r>
      <w:tr>
        <w:trPr>
          <w:trHeight w:val="196"/>
        </w:trPr>
        <w:tc>
          <w:tcPr>
            <w:tcW w:w="3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20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320" w:type="dxa"/>
            <w:vAlign w:val="bottom"/>
            <w:gridSpan w:val="2"/>
          </w:tcPr>
          <w:p>
            <w:pPr>
              <w:ind w:left="12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1,315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center"/>
              <w:ind w:left="99"/>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(53)</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1,276</w:t>
            </w:r>
          </w:p>
        </w:tc>
        <w:tc>
          <w:tcPr>
            <w:tcW w:w="100" w:type="dxa"/>
            <w:vAlign w:val="bottom"/>
          </w:tcPr>
          <w:p>
            <w:pPr>
              <w:spacing w:after="0"/>
              <w:rPr>
                <w:sz w:val="18"/>
                <w:szCs w:val="18"/>
                <w:color w:val="auto"/>
              </w:rPr>
            </w:pPr>
          </w:p>
        </w:tc>
      </w:tr>
      <w:tr>
        <w:trPr>
          <w:trHeight w:val="27"/>
        </w:trPr>
        <w:tc>
          <w:tcPr>
            <w:tcW w:w="3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60" w:type="dxa"/>
            <w:vAlign w:val="bottom"/>
            <w:tcBorders>
              <w:lef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3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1,315</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300" w:type="dxa"/>
            <w:vAlign w:val="bottom"/>
            <w:tcBorders>
              <w:left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center"/>
              <w:ind w:left="99"/>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1,276</w:t>
            </w:r>
          </w:p>
        </w:tc>
        <w:tc>
          <w:tcPr>
            <w:tcW w:w="100" w:type="dxa"/>
            <w:vAlign w:val="bottom"/>
            <w:shd w:val="clear" w:color="auto" w:fill="CCEEFF"/>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1"/>
        </w:trPr>
        <w:tc>
          <w:tcPr>
            <w:tcW w:w="3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rPr>
              <w:t>Year Ended December 31, 2014 (a)</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3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7"/>
              </w:rPr>
              <w:t>Realized</w:t>
            </w: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Foreign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6"/>
              </w:rPr>
              <w:t>Included</w:t>
            </w: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Currency</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2"/>
              </w:rPr>
              <w:t>Beginning</w:t>
            </w:r>
          </w:p>
        </w:tc>
        <w:tc>
          <w:tcPr>
            <w:tcW w:w="2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 Revenue-</w:t>
            </w:r>
          </w:p>
        </w:tc>
        <w:tc>
          <w:tcPr>
            <w:tcW w:w="96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Purchases/</w:t>
            </w:r>
          </w:p>
        </w:tc>
        <w:tc>
          <w:tcPr>
            <w:tcW w:w="12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Sales/</w:t>
            </w:r>
          </w:p>
        </w:tc>
        <w:tc>
          <w:tcPr>
            <w:tcW w:w="280" w:type="dxa"/>
            <w:vAlign w:val="bottom"/>
          </w:tcPr>
          <w:p>
            <w:pPr>
              <w:spacing w:after="0"/>
              <w:rPr>
                <w:sz w:val="12"/>
                <w:szCs w:val="12"/>
                <w:color w:val="auto"/>
              </w:rPr>
            </w:pPr>
          </w:p>
        </w:tc>
        <w:tc>
          <w:tcPr>
            <w:tcW w:w="13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r>
      <w:tr>
        <w:trPr>
          <w:trHeight w:val="161"/>
        </w:trPr>
        <w:tc>
          <w:tcPr>
            <w:tcW w:w="3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Balance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Other (b)</w:t>
            </w:r>
          </w:p>
        </w:tc>
        <w:tc>
          <w:tcPr>
            <w:tcW w:w="9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280" w:type="dxa"/>
            <w:vAlign w:val="bottom"/>
          </w:tcPr>
          <w:p>
            <w:pPr>
              <w:spacing w:after="0"/>
              <w:rPr>
                <w:sz w:val="14"/>
                <w:szCs w:val="14"/>
                <w:color w:val="auto"/>
              </w:rPr>
            </w:pPr>
          </w:p>
        </w:tc>
        <w:tc>
          <w:tcPr>
            <w:tcW w:w="13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Adjustments</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r>
      <w:tr>
        <w:trPr>
          <w:trHeight w:val="196"/>
        </w:trPr>
        <w:tc>
          <w:tcPr>
            <w:tcW w:w="3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20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3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center"/>
              <w:ind w:left="59"/>
              <w:spacing w:after="0"/>
              <w:rPr>
                <w:sz w:val="20"/>
                <w:szCs w:val="20"/>
                <w:color w:val="auto"/>
              </w:rPr>
            </w:pPr>
            <w:r>
              <w:rPr>
                <w:rFonts w:ascii="Arial" w:cs="Arial" w:eastAsia="Arial" w:hAnsi="Arial"/>
                <w:sz w:val="18"/>
                <w:szCs w:val="18"/>
                <w:color w:val="auto"/>
                <w:w w:val="90"/>
              </w:rPr>
              <w:t>(1)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(43)</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1,315</w:t>
            </w:r>
          </w:p>
        </w:tc>
        <w:tc>
          <w:tcPr>
            <w:tcW w:w="100" w:type="dxa"/>
            <w:vAlign w:val="bottom"/>
          </w:tcPr>
          <w:p>
            <w:pPr>
              <w:spacing w:after="0"/>
              <w:rPr>
                <w:sz w:val="18"/>
                <w:szCs w:val="18"/>
                <w:color w:val="auto"/>
              </w:rPr>
            </w:pPr>
          </w:p>
        </w:tc>
      </w:tr>
      <w:tr>
        <w:trPr>
          <w:trHeight w:val="27"/>
        </w:trPr>
        <w:tc>
          <w:tcPr>
            <w:tcW w:w="3040" w:type="dxa"/>
            <w:vAlign w:val="bottom"/>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3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1,340</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300" w:type="dxa"/>
            <w:vAlign w:val="bottom"/>
            <w:tcBorders>
              <w:left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center"/>
              <w:ind w:left="59"/>
              <w:spacing w:after="0"/>
              <w:rPr>
                <w:sz w:val="20"/>
                <w:szCs w:val="20"/>
                <w:color w:val="auto"/>
              </w:rPr>
            </w:pPr>
            <w:r>
              <w:rPr>
                <w:rFonts w:ascii="Arial" w:cs="Arial" w:eastAsia="Arial" w:hAnsi="Arial"/>
                <w:sz w:val="18"/>
                <w:szCs w:val="18"/>
                <w:color w:val="auto"/>
                <w:w w:val="90"/>
              </w:rPr>
              <w:t>(1)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1,315</w:t>
            </w:r>
          </w:p>
        </w:tc>
        <w:tc>
          <w:tcPr>
            <w:tcW w:w="100" w:type="dxa"/>
            <w:vAlign w:val="bottom"/>
            <w:shd w:val="clear" w:color="auto" w:fill="CCEEFF"/>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4"/>
              <w:spacing w:after="0"/>
              <w:rPr>
                <w:sz w:val="20"/>
                <w:szCs w:val="20"/>
                <w:color w:val="auto"/>
              </w:rPr>
            </w:pPr>
            <w:r>
              <w:rPr>
                <w:rFonts w:ascii="Arial" w:cs="Arial" w:eastAsia="Arial" w:hAnsi="Arial"/>
                <w:sz w:val="18"/>
                <w:szCs w:val="18"/>
                <w:color w:val="auto"/>
              </w:rPr>
              <w:t>95</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87"/>
              </w:rPr>
              <w:t>Year Ended December 31, 2013 (a)</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7"/>
              </w:rPr>
              <w:t>Realized</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5"/>
              </w:rPr>
              <w:t>Foreign</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0"/>
              </w:rPr>
              <w:t>Included</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Currency</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0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Beginning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8"/>
              </w:rPr>
              <w:t>In Revenue-</w:t>
            </w:r>
          </w:p>
        </w:tc>
        <w:tc>
          <w:tcPr>
            <w:tcW w:w="9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Purchases/</w:t>
            </w:r>
          </w:p>
        </w:tc>
        <w:tc>
          <w:tcPr>
            <w:tcW w:w="600" w:type="dxa"/>
            <w:vAlign w:val="bottom"/>
          </w:tcPr>
          <w:p>
            <w:pPr>
              <w:spacing w:after="0"/>
              <w:rPr>
                <w:sz w:val="12"/>
                <w:szCs w:val="12"/>
                <w:color w:val="auto"/>
              </w:rPr>
            </w:pPr>
          </w:p>
        </w:tc>
        <w:tc>
          <w:tcPr>
            <w:tcW w:w="6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w w:val="98"/>
              </w:rPr>
              <w:t>Sales/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Translation</w:t>
            </w:r>
          </w:p>
        </w:tc>
        <w:tc>
          <w:tcPr>
            <w:tcW w:w="58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r>
      <w:tr>
        <w:trPr>
          <w:trHeight w:val="161"/>
        </w:trPr>
        <w:tc>
          <w:tcPr>
            <w:tcW w:w="420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6"/>
              <w:spacing w:after="0"/>
              <w:rPr>
                <w:sz w:val="20"/>
                <w:szCs w:val="20"/>
                <w:color w:val="auto"/>
              </w:rPr>
            </w:pPr>
            <w:r>
              <w:rPr>
                <w:rFonts w:ascii="Arial" w:cs="Arial" w:eastAsia="Arial" w:hAnsi="Arial"/>
                <w:sz w:val="14"/>
                <w:szCs w:val="14"/>
                <w:b w:val="1"/>
                <w:bCs w:val="1"/>
                <w:color w:val="auto"/>
                <w:w w:val="91"/>
              </w:rPr>
              <w:t>Other (b)</w:t>
            </w:r>
          </w:p>
        </w:tc>
        <w:tc>
          <w:tcPr>
            <w:tcW w:w="9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0"/>
              </w:rPr>
              <w:t>Acquisitions</w:t>
            </w:r>
          </w:p>
        </w:tc>
        <w:tc>
          <w:tcPr>
            <w:tcW w:w="6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58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1,095</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080" w:type="dxa"/>
            <w:vAlign w:val="bottom"/>
            <w:gridSpan w:val="2"/>
          </w:tcPr>
          <w:p>
            <w:pPr>
              <w:jc w:val="center"/>
              <w:ind w:left="4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1,340</w:t>
            </w:r>
          </w:p>
        </w:tc>
        <w:tc>
          <w:tcPr>
            <w:tcW w:w="100" w:type="dxa"/>
            <w:vAlign w:val="bottom"/>
          </w:tcPr>
          <w:p>
            <w:pPr>
              <w:spacing w:after="0"/>
              <w:rPr>
                <w:sz w:val="18"/>
                <w:szCs w:val="18"/>
                <w:color w:val="auto"/>
              </w:rPr>
            </w:pPr>
          </w:p>
        </w:tc>
      </w:tr>
      <w:tr>
        <w:trPr>
          <w:trHeight w:val="27"/>
        </w:trPr>
        <w:tc>
          <w:tcPr>
            <w:tcW w:w="4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8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1,340</w:t>
            </w:r>
          </w:p>
        </w:tc>
        <w:tc>
          <w:tcPr>
            <w:tcW w:w="100" w:type="dxa"/>
            <w:vAlign w:val="bottom"/>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tables for the years ended December 31, 2015, 2014 and 2013 reflect the retrospective application of new disclosure guidance adopted by the Company for investments using NAV or its equivalent as a practical expedient when measuring fair value. See Note 3.</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Earnings for the years ended December 31, 2015, 2014 and 2013 include net unrealized gains of $14, $19 and $11, respectively.</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years ended December 31, 2015 and 2014.</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b w:val="1"/>
          <w:bCs w:val="1"/>
          <w:i w:val="1"/>
          <w:iCs w:val="1"/>
          <w:color w:val="auto"/>
        </w:rPr>
        <w:t>Financial Instruments Not Measured at Fair Value—</w:t>
      </w:r>
      <w:r>
        <w:rPr>
          <w:rFonts w:ascii="Arial" w:cs="Arial" w:eastAsia="Arial" w:hAnsi="Arial"/>
          <w:sz w:val="18"/>
          <w:szCs w:val="18"/>
          <w:color w:val="auto"/>
        </w:rPr>
        <w:t>The table below presents the carrying value, fair value and fair value hierarchy category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instruments as of December 31, 2015 and 2014 that are not measured at fair value in the Company’s consolidated statement of financial condition, and excludes certain financial instruments such as equity method investments.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85"/>
              </w:rPr>
              <w:t>December 31, 2015</w:t>
            </w:r>
          </w:p>
        </w:tc>
        <w:tc>
          <w:tcPr>
            <w:tcW w:w="6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Fair Value Measurements Using:</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Quoted</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Prices</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in Active</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Markets for</w:t>
            </w:r>
          </w:p>
        </w:tc>
        <w:tc>
          <w:tcPr>
            <w:tcW w:w="60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Identical</w:t>
            </w:r>
          </w:p>
        </w:tc>
        <w:tc>
          <w:tcPr>
            <w:tcW w:w="60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8"/>
              </w:rPr>
              <w:t>Assets</w:t>
            </w:r>
          </w:p>
        </w:tc>
        <w:tc>
          <w:tcPr>
            <w:tcW w:w="600" w:type="dxa"/>
            <w:vAlign w:val="bottom"/>
          </w:tcPr>
          <w:p>
            <w:pPr>
              <w:spacing w:after="0"/>
              <w:rPr>
                <w:sz w:val="12"/>
                <w:szCs w:val="12"/>
                <w:color w:val="auto"/>
              </w:rPr>
            </w:pPr>
          </w:p>
        </w:tc>
        <w:tc>
          <w:tcPr>
            <w:tcW w:w="60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Carrying Value</w:t>
            </w:r>
          </w:p>
        </w:tc>
        <w:tc>
          <w:tcPr>
            <w:tcW w:w="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(Level 1)</w:t>
            </w:r>
          </w:p>
        </w:tc>
        <w:tc>
          <w:tcPr>
            <w:tcW w:w="60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1,132,083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1,132,083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1,132,083</w:t>
            </w:r>
          </w:p>
        </w:tc>
        <w:tc>
          <w:tcPr>
            <w:tcW w:w="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20"/>
              <w:spacing w:after="0"/>
              <w:rPr>
                <w:sz w:val="20"/>
                <w:szCs w:val="20"/>
                <w:color w:val="auto"/>
              </w:rPr>
            </w:pPr>
            <w:r>
              <w:rPr>
                <w:rFonts w:ascii="Arial" w:cs="Arial" w:eastAsia="Arial" w:hAnsi="Arial"/>
                <w:sz w:val="15"/>
                <w:szCs w:val="15"/>
                <w:color w:val="auto"/>
                <w:w w:val="71"/>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 and short-term investments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389,861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389,861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389,861</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segregated cash</w:t>
            </w:r>
          </w:p>
        </w:tc>
        <w:tc>
          <w:tcPr>
            <w:tcW w:w="140" w:type="dxa"/>
            <w:vAlign w:val="bottom"/>
          </w:tcPr>
          <w:p>
            <w:pPr>
              <w:spacing w:after="0"/>
              <w:rPr>
                <w:sz w:val="19"/>
                <w:szCs w:val="19"/>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34,948</w:t>
            </w: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34,948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34,948</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gridSpan w:val="2"/>
          </w:tcPr>
          <w:p>
            <w:pPr>
              <w:jc w:val="right"/>
              <w:ind w:right="62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financing receivables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81,774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82,573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Interest-bearing deposits (included within investments)</w:t>
            </w:r>
          </w:p>
        </w:tc>
        <w:tc>
          <w:tcPr>
            <w:tcW w:w="140" w:type="dxa"/>
            <w:vAlign w:val="bottom"/>
          </w:tcPr>
          <w:p>
            <w:pPr>
              <w:spacing w:after="0"/>
              <w:rPr>
                <w:sz w:val="19"/>
                <w:szCs w:val="19"/>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54,885</w:t>
            </w: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54,885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54,885</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gridSpan w:val="2"/>
          </w:tcPr>
          <w:p>
            <w:pPr>
              <w:jc w:val="right"/>
              <w:ind w:right="62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506,665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506,665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506,665</w:t>
            </w:r>
          </w:p>
        </w:tc>
        <w:tc>
          <w:tcPr>
            <w:tcW w:w="40" w:type="dxa"/>
            <w:vAlign w:val="bottom"/>
          </w:tcPr>
          <w:p>
            <w:pPr>
              <w:spacing w:after="0"/>
              <w:rPr>
                <w:sz w:val="18"/>
                <w:szCs w:val="18"/>
                <w:color w:val="auto"/>
              </w:rPr>
            </w:pPr>
          </w:p>
        </w:tc>
        <w:tc>
          <w:tcPr>
            <w:tcW w:w="120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20"/>
              <w:spacing w:after="0"/>
              <w:rPr>
                <w:sz w:val="20"/>
                <w:szCs w:val="20"/>
                <w:color w:val="auto"/>
              </w:rPr>
            </w:pPr>
            <w:r>
              <w:rPr>
                <w:rFonts w:ascii="Arial" w:cs="Arial" w:eastAsia="Arial" w:hAnsi="Arial"/>
                <w:sz w:val="15"/>
                <w:szCs w:val="15"/>
                <w:color w:val="auto"/>
                <w:w w:val="71"/>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998,350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993,999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993,999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612"/>
              <w:spacing w:after="0"/>
              <w:rPr>
                <w:sz w:val="20"/>
                <w:szCs w:val="20"/>
                <w:color w:val="auto"/>
              </w:rPr>
            </w:pPr>
            <w:r>
              <w:rPr>
                <w:rFonts w:ascii="Arial" w:cs="Arial" w:eastAsia="Arial" w:hAnsi="Arial"/>
                <w:sz w:val="14"/>
                <w:szCs w:val="14"/>
                <w:b w:val="1"/>
                <w:bCs w:val="1"/>
                <w:color w:val="auto"/>
              </w:rPr>
              <w:t>December 31, 2014</w:t>
            </w:r>
          </w:p>
        </w:tc>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w w:val="89"/>
              </w:rPr>
              <w:t>Fair Value Measurements Using:</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 Active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620" w:type="dxa"/>
            <w:vAlign w:val="bottom"/>
          </w:tcPr>
          <w:p>
            <w:pPr>
              <w:spacing w:after="0"/>
              <w:rPr>
                <w:sz w:val="12"/>
                <w:szCs w:val="12"/>
                <w:color w:val="auto"/>
              </w:rPr>
            </w:pPr>
          </w:p>
        </w:tc>
        <w:tc>
          <w:tcPr>
            <w:tcW w:w="13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6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Identical</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Fair Value</w:t>
            </w:r>
          </w:p>
        </w:tc>
        <w:tc>
          <w:tcPr>
            <w:tcW w:w="400" w:type="dxa"/>
            <w:vAlign w:val="bottom"/>
          </w:tcPr>
          <w:p>
            <w:pPr>
              <w:spacing w:after="0"/>
              <w:rPr>
                <w:sz w:val="14"/>
                <w:szCs w:val="14"/>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Assets (Level 1)</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1,066,580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1,066,580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1,066,580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 and short-term investments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207,760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207,760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207,760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9"/>
              </w:rPr>
              <w:t>Cash deposited with clearing organizations and other</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segregated cash</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43,290</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43,290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43,290</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financing receivables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86,221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88,499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6"/>
              </w:rPr>
              <w:t>Interest-bearing deposits (included within investments)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84,575</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84,575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84,575</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316,601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316,601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316,601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1,048,350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1,134,834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1,134,834</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are carried at either cost or amortized cost that approximates fair value due to their short-term maturities.</w:t>
      </w:r>
    </w:p>
    <w:p>
      <w:pPr>
        <w:spacing w:after="0" w:line="171"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The carrying value of deposits with banks and short-term investments, and cash deposited with clearing organizations and other segregated cash, approximates fair value because of the relatively short period of time between their origination and expected maturity.</w:t>
      </w:r>
    </w:p>
    <w:p>
      <w:pPr>
        <w:spacing w:after="0" w:line="85"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Fair values of interest-bearing financing receivables were generally determined by discounting both principal and interest cash flows expected to be collected, using a discount rate approximating current market interest rates for comparable financial instruments and based on unobservable inputs.</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carrying value of deposits and other customer payables and investments accounted for at amortized cost, such as interest-bearing deposits, approximate fair value due to their short-term nature.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senior debt is carried at historical amounts. The fair value of the Company’s senior debt is based on market quotations.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tables present, at December 31, 2015 and 2014, certain investments that are valued using NAV or its equivalent as a practical expedient in determining fair value: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2015</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r>
      <w:tr>
        <w:trPr>
          <w:trHeight w:val="129"/>
        </w:trPr>
        <w:tc>
          <w:tcPr>
            <w:tcW w:w="11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Fair value</w:t>
            </w:r>
          </w:p>
        </w:tc>
        <w:tc>
          <w:tcPr>
            <w:tcW w:w="2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3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20,410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67,895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10,242(f)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39%</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43%</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32,324</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122,732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10,242</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weekly (23%), monthly (69%) and quarterly (8%)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daily (20%) and monthly (80%)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daily (18%), monthly (54%) and quarterly (28%)</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$5,501 are excluded. Such commitments are required to be funded by capital contributions from noncontrolling interest holders.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2014</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r>
      <w:tr>
        <w:trPr>
          <w:trHeight w:val="129"/>
        </w:trPr>
        <w:tc>
          <w:tcPr>
            <w:tcW w:w="11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Fair value</w:t>
            </w:r>
          </w:p>
        </w:tc>
        <w:tc>
          <w:tcPr>
            <w:tcW w:w="2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3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31,042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75,578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18,676(f)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63%</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27%</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38,892</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149,222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18,676</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weekly (15%), monthly (66%) and quarterly (19%)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daily (11%), weekly (3%) and monthly (86%)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daily (14%), monthly (58%) and quarterly (28%)</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$6,888 are excluded. Such commitments are required to be funded by capital contributions from noncontrolling interest holders.</w:t>
      </w:r>
    </w:p>
    <w:p>
      <w:pPr>
        <w:spacing w:after="0" w:line="138"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December 31, 2015, the Company’s maximum unfunded commitments for capital contributions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funds primarily arose from commitments to EGCP III, which amounted to $9,672,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w:t>
      </w:r>
    </w:p>
    <w:p>
      <w:pPr>
        <w:spacing w:after="0" w:line="234"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reported within “accrued compensation and benefits” (see Note 14) on the accompanying consolidated statements of financial condition as of December 31, 2015 and 2014: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9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r>
      <w:tr>
        <w:trPr>
          <w:trHeight w:val="223"/>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LFI and other similar deferred compensation arrangements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193,574</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207,306</w:t>
            </w: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195,689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208,093</w:t>
            </w: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56"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$460 and $958 as of December 31, 2015, respectively, and $1,123 and $1,786 as of December 31, 2014, respectively, for contracts with the same counterparty under legally enforceable master netting agreements. Such amounts are recorded “net” in “other assets”, with receivables for net cash collateral under such contracts of $9,636 and $12,364 as of December 31, 2015 and 2014,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consolidated statements of operations for the years ended December 31, 2015, 2014 and 2013,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2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0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$15,773</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$22,959</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2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3,827</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(7,326)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(14,099)</w:t>
            </w: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return swaps and 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(10,931)</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23,460</w:t>
            </w:r>
          </w:p>
        </w:tc>
        <w:tc>
          <w:tcPr>
            <w:tcW w:w="20" w:type="dxa"/>
            <w:vAlign w:val="bottom"/>
          </w:tcPr>
          <w:p>
            <w:pPr>
              <w:spacing w:after="0"/>
              <w:rPr>
                <w:sz w:val="19"/>
                <w:szCs w:val="19"/>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10,422</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(28,192)</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December 31, 2015 and 2014, property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Estimated</w:t>
            </w:r>
          </w:p>
        </w:tc>
        <w:tc>
          <w:tcPr>
            <w:tcW w:w="240" w:type="dxa"/>
            <w:vAlign w:val="bottom"/>
          </w:tcPr>
          <w:p>
            <w:pPr>
              <w:spacing w:after="0"/>
              <w:rPr>
                <w:sz w:val="14"/>
                <w:szCs w:val="14"/>
                <w:color w:val="auto"/>
              </w:rPr>
            </w:pPr>
          </w:p>
        </w:tc>
        <w:tc>
          <w:tcPr>
            <w:tcW w:w="190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67"/>
        </w:trPr>
        <w:tc>
          <w:tcPr>
            <w:tcW w:w="5420" w:type="dxa"/>
            <w:vAlign w:val="bottom"/>
          </w:tcPr>
          <w:p>
            <w:pPr>
              <w:spacing w:after="0"/>
              <w:rPr>
                <w:sz w:val="5"/>
                <w:szCs w:val="5"/>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240" w:type="dxa"/>
            <w:vAlign w:val="bottom"/>
          </w:tcPr>
          <w:p>
            <w:pPr>
              <w:spacing w:after="0"/>
              <w:rPr>
                <w:sz w:val="5"/>
                <w:szCs w:val="5"/>
                <w:color w:val="auto"/>
              </w:rPr>
            </w:pPr>
          </w:p>
        </w:tc>
        <w:tc>
          <w:tcPr>
            <w:tcW w:w="19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54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Life in Years</w:t>
            </w:r>
          </w:p>
        </w:tc>
        <w:tc>
          <w:tcPr>
            <w:tcW w:w="90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$137,181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$152,982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3-20</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167,838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167,837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160,553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150,458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7,099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472,671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478,855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265,506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256,286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207,165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222,569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December 31, 2015 and 2014 are presented below:</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$320,761</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$335,402</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6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w:t>
            </w: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326,976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347,438</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December 31, 2015 and 2014, goodwill of $256,220 and $270,861, respectively, was attributable to the Company’s Financial Advisory segment and, at each such respective date, $64,541 of goodwill was attributable to the Company’s Asset Management segment.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years ended December 31, 2015, 2014 and 2013 are as follows: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8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108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2"/>
                <w:szCs w:val="12"/>
                <w:color w:val="auto"/>
              </w:rPr>
            </w:pPr>
          </w:p>
        </w:tc>
        <w:tc>
          <w:tcPr>
            <w:tcW w:w="72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$335,402</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$345,453</w:t>
            </w: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$364,328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Business acquisitions</w:t>
            </w:r>
          </w:p>
        </w:tc>
        <w:tc>
          <w:tcPr>
            <w:tcW w:w="24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3,232</w:t>
            </w:r>
          </w:p>
        </w:tc>
        <w:tc>
          <w:tcPr>
            <w:tcW w:w="4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(14,641)</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(13,283)</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(20,623)</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w:t>
            </w:r>
          </w:p>
        </w:tc>
        <w:tc>
          <w:tcPr>
            <w:tcW w:w="2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60" w:type="dxa"/>
            <w:vAlign w:val="bottom"/>
            <w:gridSpan w:val="2"/>
            <w:vMerge w:val="continue"/>
          </w:tcPr>
          <w:p>
            <w:pPr>
              <w:spacing w:after="0"/>
              <w:rPr>
                <w:sz w:val="19"/>
                <w:szCs w:val="19"/>
                <w:color w:val="auto"/>
              </w:rPr>
            </w:pPr>
          </w:p>
        </w:tc>
        <w:tc>
          <w:tcPr>
            <w:tcW w:w="3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320,761</w:t>
            </w:r>
          </w:p>
        </w:tc>
        <w:tc>
          <w:tcPr>
            <w:tcW w:w="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335,402</w:t>
            </w:r>
          </w:p>
        </w:tc>
        <w:tc>
          <w:tcPr>
            <w:tcW w:w="4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345,453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0" w:type="dxa"/>
            <w:vAlign w:val="bottom"/>
            <w:vMerge w:val="restart"/>
          </w:tcPr>
          <w:p>
            <w:pPr>
              <w:jc w:val="right"/>
              <w:ind w:right="1272"/>
              <w:spacing w:after="0"/>
              <w:rPr>
                <w:sz w:val="20"/>
                <w:szCs w:val="20"/>
                <w:color w:val="auto"/>
              </w:rPr>
            </w:pPr>
            <w:r>
              <w:rPr>
                <w:rFonts w:ascii="Arial" w:cs="Arial" w:eastAsia="Arial" w:hAnsi="Arial"/>
                <w:sz w:val="18"/>
                <w:szCs w:val="18"/>
                <w:color w:val="auto"/>
              </w:rPr>
              <w:t>100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All changes in the carrying amount of goodwill for the years ended December 31, 2015, 2014 and 2013 are attributable to the Company’s Financial Advisory segment.</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evaluates goodwill for impairment annually or more frequently if circumstances indicate that impairment may have occurred. Pursuant to the Company’s goodwill impairment review for the years ended December 31, 2015, 2014 and 2013, the Company determined that no impairment existed.</w:t>
      </w:r>
    </w:p>
    <w:p>
      <w:pPr>
        <w:spacing w:after="0" w:line="8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December 31, 2015 and 2014,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8"/>
              </w:rPr>
              <w:t>December 31, 2015</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2014</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920" w:type="dxa"/>
            <w:vAlign w:val="bottom"/>
          </w:tcPr>
          <w:p>
            <w:pPr>
              <w:spacing w:after="0"/>
              <w:rPr>
                <w:sz w:val="12"/>
                <w:szCs w:val="12"/>
                <w:color w:val="auto"/>
              </w:rPr>
            </w:pPr>
          </w:p>
        </w:tc>
        <w:tc>
          <w:tcPr>
            <w:tcW w:w="58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920" w:type="dxa"/>
            <w:vAlign w:val="bottom"/>
          </w:tcPr>
          <w:p>
            <w:pPr>
              <w:spacing w:after="0"/>
              <w:rPr>
                <w:sz w:val="14"/>
                <w:szCs w:val="14"/>
                <w:color w:val="auto"/>
              </w:rPr>
            </w:pPr>
          </w:p>
        </w:tc>
        <w:tc>
          <w:tcPr>
            <w:tcW w:w="580" w:type="dxa"/>
            <w:vAlign w:val="bottom"/>
          </w:tcPr>
          <w:p>
            <w:pPr>
              <w:jc w:val="right"/>
              <w:ind w:right="8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8"/>
              </w:rPr>
              <w:t>Amortization</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Performance fees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25,192</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$ 5,548</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Management fees, customer relationships and non-compete agreements</w:t>
            </w:r>
          </w:p>
        </w:tc>
        <w:tc>
          <w:tcPr>
            <w:tcW w:w="580" w:type="dxa"/>
            <w:vAlign w:val="bottom"/>
          </w:tcPr>
          <w:p>
            <w:pPr>
              <w:jc w:val="right"/>
              <w:spacing w:after="0"/>
              <w:rPr>
                <w:sz w:val="20"/>
                <w:szCs w:val="20"/>
                <w:color w:val="auto"/>
              </w:rPr>
            </w:pPr>
            <w:r>
              <w:rPr>
                <w:rFonts w:ascii="Arial" w:cs="Arial" w:eastAsia="Arial" w:hAnsi="Arial"/>
                <w:sz w:val="18"/>
                <w:szCs w:val="18"/>
                <w:color w:val="auto"/>
              </w:rPr>
              <w:t>33,036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32,369</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667</w:t>
            </w:r>
          </w:p>
        </w:tc>
        <w:tc>
          <w:tcPr>
            <w:tcW w:w="3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33,050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8"/>
                <w:szCs w:val="18"/>
                <w:color w:val="auto"/>
              </w:rPr>
            </w:pPr>
          </w:p>
        </w:tc>
      </w:tr>
      <w:tr>
        <w:trPr>
          <w:trHeight w:val="27"/>
        </w:trPr>
        <w:tc>
          <w:tcPr>
            <w:tcW w:w="59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63,776</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57,561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$ 6,215</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63,790</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51,754</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12,036</w:t>
            </w:r>
          </w:p>
        </w:tc>
        <w:tc>
          <w:tcPr>
            <w:tcW w:w="100" w:type="dxa"/>
            <w:vAlign w:val="bottom"/>
            <w:shd w:val="clear" w:color="auto" w:fill="CCEEFF"/>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Amortization expense of intangible assets for the years ended December 31, 2015, 2014 and 2013 was $5,821, $6,387 and $10,114, respectively. Estimated future amortization expense is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40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8"/>
        </w:trPr>
        <w:tc>
          <w:tcPr>
            <w:tcW w:w="5300" w:type="dxa"/>
            <w:vAlign w:val="bottom"/>
            <w:gridSpan w:val="4"/>
            <w:vMerge w:val="continue"/>
          </w:tcPr>
          <w:p>
            <w:pPr>
              <w:spacing w:after="0"/>
              <w:rPr>
                <w:sz w:val="14"/>
                <w:szCs w:val="14"/>
                <w:color w:val="auto"/>
              </w:rPr>
            </w:pPr>
          </w:p>
        </w:tc>
        <w:tc>
          <w:tcPr>
            <w:tcW w:w="3180" w:type="dxa"/>
            <w:vAlign w:val="bottom"/>
          </w:tcPr>
          <w:p>
            <w:pPr>
              <w:spacing w:after="0"/>
              <w:rPr>
                <w:sz w:val="14"/>
                <w:szCs w:val="14"/>
                <w:color w:val="auto"/>
              </w:rPr>
            </w:pPr>
          </w:p>
        </w:tc>
        <w:tc>
          <w:tcPr>
            <w:tcW w:w="8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740" w:type="dxa"/>
            <w:vAlign w:val="bottom"/>
            <w:tcBorders>
              <w:top w:val="single" w:sz="8" w:color="auto"/>
            </w:tcBorders>
            <w:shd w:val="clear" w:color="auto" w:fill="CCEEFF"/>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17"/>
                <w:szCs w:val="17"/>
                <w:color w:val="auto"/>
              </w:rPr>
            </w:pPr>
          </w:p>
        </w:tc>
        <w:tc>
          <w:tcPr>
            <w:tcW w:w="3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3,119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2017</w:t>
            </w:r>
          </w:p>
        </w:tc>
        <w:tc>
          <w:tcPr>
            <w:tcW w:w="7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4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Approximately 45%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 AND OTHER LIABILITIES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table sets forth the Company’s other assets, by type, as of December 31, 2015 and 2014:</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tax receivables and other taxes</w:t>
            </w:r>
          </w:p>
        </w:tc>
        <w:tc>
          <w:tcPr>
            <w:tcW w:w="4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Prepaid compensation (see Note 14)</w:t>
            </w: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75,703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advances and prepayments</w:t>
            </w:r>
          </w:p>
        </w:tc>
        <w:tc>
          <w:tcPr>
            <w:tcW w:w="4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Deferred debt issuance costs</w:t>
            </w: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9,744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56,534</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60" w:type="dxa"/>
            <w:vAlign w:val="bottom"/>
          </w:tcPr>
          <w:p>
            <w:pPr>
              <w:spacing w:after="0"/>
              <w:rPr>
                <w:sz w:val="20"/>
                <w:szCs w:val="20"/>
                <w:color w:val="auto"/>
              </w:rPr>
            </w:pPr>
            <w:r>
              <w:rPr>
                <w:rFonts w:ascii="Arial" w:cs="Arial" w:eastAsia="Arial" w:hAnsi="Arial"/>
                <w:sz w:val="18"/>
                <w:szCs w:val="18"/>
                <w:color w:val="auto"/>
              </w:rPr>
              <w:t>Total</w:t>
            </w:r>
          </w:p>
        </w:tc>
        <w:tc>
          <w:tcPr>
            <w:tcW w:w="4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226,014</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207,610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580" w:type="dxa"/>
            <w:vAlign w:val="bottom"/>
            <w:vMerge w:val="restart"/>
          </w:tcPr>
          <w:p>
            <w:pPr>
              <w:jc w:val="right"/>
              <w:ind w:right="3092"/>
              <w:spacing w:after="0"/>
              <w:rPr>
                <w:sz w:val="20"/>
                <w:szCs w:val="20"/>
                <w:color w:val="auto"/>
              </w:rPr>
            </w:pPr>
            <w:r>
              <w:rPr>
                <w:rFonts w:ascii="Arial" w:cs="Arial" w:eastAsia="Arial" w:hAnsi="Arial"/>
                <w:sz w:val="18"/>
                <w:szCs w:val="18"/>
                <w:color w:val="auto"/>
              </w:rPr>
              <w:t>101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other liabilities, by type, as of December 31, 2015 and 2014:</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2015</w:t>
            </w:r>
          </w:p>
        </w:tc>
        <w:tc>
          <w:tcPr>
            <w:tcW w:w="10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8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$128,496</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$132,728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Current income taxes and other taxes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109,438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101,351</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benefit-related liabilities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81,687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110,838</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Deferred lease incentives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83,566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83,209</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Unclaimed funds at LFB</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26,022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31,592</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Abandoned leased space (principally in the U.K.)</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8,760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10,073</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30,178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25,942</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3,239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9,290</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28,556</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24,394</w:t>
            </w:r>
          </w:p>
        </w:tc>
        <w:tc>
          <w:tcPr>
            <w:tcW w:w="100" w:type="dxa"/>
            <w:vAlign w:val="bottom"/>
            <w:shd w:val="clear" w:color="auto" w:fill="CCEEFF"/>
          </w:tcPr>
          <w:p>
            <w:pPr>
              <w:spacing w:after="0"/>
              <w:rPr>
                <w:sz w:val="18"/>
                <w:szCs w:val="18"/>
                <w:color w:val="auto"/>
              </w:rPr>
            </w:pPr>
          </w:p>
        </w:tc>
      </w:tr>
      <w:tr>
        <w:trPr>
          <w:trHeight w:val="222"/>
        </w:trPr>
        <w:tc>
          <w:tcPr>
            <w:tcW w:w="842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499,942</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529,417</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December 31, 2015 and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Initial</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Annual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Outstanding As Of</w:t>
            </w:r>
          </w:p>
        </w:tc>
      </w:t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Maturity</w:t>
            </w:r>
          </w:p>
        </w:tc>
        <w:tc>
          <w:tcPr>
            <w:tcW w:w="1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Interest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8"/>
              </w:rPr>
              <w:t>Amount</w:t>
            </w:r>
          </w:p>
        </w:tc>
        <w:tc>
          <w:tcPr>
            <w:tcW w:w="4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Date</w:t>
            </w:r>
          </w:p>
        </w:tc>
        <w:tc>
          <w:tcPr>
            <w:tcW w:w="2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Rate</w:t>
            </w:r>
          </w:p>
        </w:tc>
        <w:tc>
          <w:tcPr>
            <w:tcW w:w="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1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89"/>
              </w:rPr>
              <w:t>Lazard Group 6.85%</w:t>
            </w:r>
          </w:p>
        </w:tc>
        <w:tc>
          <w:tcPr>
            <w:tcW w:w="4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Senior Notes (a)</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600,000</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shd w:val="clear" w:color="auto" w:fill="CCEEFF"/>
          </w:tcPr>
          <w:p>
            <w:pPr>
              <w:spacing w:after="0"/>
              <w:rPr>
                <w:sz w:val="18"/>
                <w:szCs w:val="18"/>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w w:val="89"/>
              </w:rPr>
              <w:t>Lazard Group 4.25%</w:t>
            </w:r>
          </w:p>
        </w:tc>
        <w:tc>
          <w:tcPr>
            <w:tcW w:w="4780" w:type="dxa"/>
            <w:vAlign w:val="bottom"/>
          </w:tcPr>
          <w:p>
            <w:pPr>
              <w:ind w:left="20"/>
              <w:spacing w:after="0"/>
              <w:rPr>
                <w:sz w:val="20"/>
                <w:szCs w:val="20"/>
                <w:color w:val="auto"/>
              </w:rPr>
            </w:pPr>
            <w:r>
              <w:rPr>
                <w:rFonts w:ascii="Arial" w:cs="Arial" w:eastAsia="Arial" w:hAnsi="Arial"/>
                <w:sz w:val="18"/>
                <w:szCs w:val="18"/>
                <w:color w:val="auto"/>
              </w:rPr>
              <w:t>Senior Notes (b)</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500,000</w:t>
            </w: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11/14/20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Lazard Group 3.75%</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(a)</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400,000</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2/13/25</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3.75%</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400,000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15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998,350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1,048,350</w:t>
            </w: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83"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During February 2015, Lazard Group completed an offering of $400,000 aggregate principal amount of 3.75% senior notes due 2025 (the “2025 Notes”). Lazard Group also issued a notice to redeem $450,000 of Lazard Group’s 6.85% senior notes due June 15, 2017 (the “2017 Notes”) in February 2015. Interest on the 2025 Notes is payable semi-annually on March 1 and September 1 of each year beginning September 1, 2015. Lazard Group used the net proceeds of the 2025 Notes, together with cash on hand, to redeem or otherwise retire $450,000 of the 2017 Notes, which, including the recognition of unamortized issuance costs, resulted in a loss on debt extinguishment of $60,219. Such loss on debt extinguishment was recorded in “operating expenses— other” on the consolidated statement of operations for the year ended December 31, 2015.</w:t>
      </w:r>
    </w:p>
    <w:p>
      <w:pPr>
        <w:spacing w:after="0" w:line="1" w:lineRule="exact"/>
        <w:rPr>
          <w:rFonts w:ascii="Arial" w:cs="Arial" w:eastAsia="Arial" w:hAnsi="Arial"/>
          <w:sz w:val="16"/>
          <w:szCs w:val="16"/>
          <w:color w:val="auto"/>
        </w:rPr>
      </w:pPr>
    </w:p>
    <w:p>
      <w:pPr>
        <w:ind w:left="460" w:hanging="452"/>
        <w:spacing w:after="0" w:line="252"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November 2013, the Company launched a tender offer for all of Lazard Group’s outstanding 7.125% senior notes maturing on May 15, 2015 (the “2015 Notes”) and simultaneously announced a notice of intent to redeem any 2015 Notes not tendered. As a result, the outstanding 2015 Notes of $528,500 were extinguished in the fourth quarter of 2013, which resulted in a pre-tax loss on extinguishment of $50,757, including the recognition of unamortized issuance costs. As a result of the extinguishment, the unamortized amount of the interest rate hedge related to the 2015 Notes was also recognized, which resulted in a loss of $1,563. Both the loss on extinguishment and the loss related to the interest rate hedge were recorded in “operating expenses—other” in the consolidated statement of operations.</w:t>
      </w:r>
    </w:p>
    <w:p>
      <w:pPr>
        <w:spacing w:after="0" w:line="67"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In connection with the redemption of the 2015 Notes, Lazard Group issued $500,000 aggregate principal amount of 4.25% senior notes maturing on November 14, 2020 (the “2020 Notes”). Interest on the 2020 Notes is payable semi-annually on May 14 and November 14 of each year. In connection with the issuance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of the 2020 Notes, the Company entered into and settled an interest rate forward agreement and recognized a related loss of $ 1,767. The loss was recorded in “operating expenses—other” in the consolidated statements of operations.</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December 31, 2015 and 2014, no amounts were outstanding under the Amended and Restated Credit Agreement or the prior revolving credit facility, respectively.</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December 31, 2015, the Company was in compliance with such provisions. All of the Company’s senior debt obligations are unsecured.</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Debt maturities relating to senior borrowings outstanding at December 31, 2015 for each of the five years in the period ending December 31, 2020 and thereafter are set forth in the table below.</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2017</w:t>
            </w:r>
          </w:p>
        </w:tc>
        <w:tc>
          <w:tcPr>
            <w:tcW w:w="6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98,350</w:t>
            </w: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2018-2019</w:t>
            </w:r>
          </w:p>
        </w:tc>
        <w:tc>
          <w:tcPr>
            <w:tcW w:w="6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1660" w:type="dxa"/>
            <w:vAlign w:val="bottom"/>
          </w:tcPr>
          <w:p>
            <w:pPr>
              <w:spacing w:after="0"/>
              <w:rPr>
                <w:sz w:val="20"/>
                <w:szCs w:val="20"/>
                <w:color w:val="auto"/>
              </w:rPr>
            </w:pPr>
            <w:r>
              <w:rPr>
                <w:rFonts w:ascii="Arial" w:cs="Arial" w:eastAsia="Arial" w:hAnsi="Arial"/>
                <w:sz w:val="18"/>
                <w:szCs w:val="18"/>
                <w:color w:val="auto"/>
              </w:rPr>
              <w:t>2020</w:t>
            </w:r>
          </w:p>
        </w:tc>
        <w:tc>
          <w:tcPr>
            <w:tcW w:w="6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500,000</w:t>
            </w:r>
          </w:p>
        </w:tc>
        <w:tc>
          <w:tcPr>
            <w:tcW w:w="100" w:type="dxa"/>
            <w:vAlign w:val="bottom"/>
          </w:tcPr>
          <w:p>
            <w:pPr>
              <w:spacing w:after="0"/>
              <w:rPr>
                <w:sz w:val="19"/>
                <w:szCs w:val="19"/>
                <w:color w:val="auto"/>
              </w:rPr>
            </w:pPr>
          </w:p>
        </w:tc>
      </w:tr>
      <w:tr>
        <w:trPr>
          <w:trHeight w:val="217"/>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400,000</w:t>
            </w:r>
          </w:p>
        </w:tc>
        <w:tc>
          <w:tcPr>
            <w:tcW w:w="100" w:type="dxa"/>
            <w:vAlign w:val="bottom"/>
            <w:shd w:val="clear" w:color="auto" w:fill="CCEEFF"/>
          </w:tcPr>
          <w:p>
            <w:pPr>
              <w:spacing w:after="0"/>
              <w:rPr>
                <w:sz w:val="18"/>
                <w:szCs w:val="18"/>
                <w:color w:val="auto"/>
              </w:rPr>
            </w:pP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Total</w:t>
            </w:r>
          </w:p>
        </w:tc>
        <w:tc>
          <w:tcPr>
            <w:tcW w:w="6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998,350</w:t>
            </w:r>
          </w:p>
        </w:tc>
        <w:tc>
          <w:tcPr>
            <w:tcW w:w="100" w:type="dxa"/>
            <w:vAlign w:val="bottom"/>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Company’s senior debt at December 31, 2015 and 2014 is carried at historical amounts. See Note 6 for information regarding the fair value and fair value hierarchy category of the Company’s senior debt.</w:t>
      </w:r>
    </w:p>
    <w:p>
      <w:pPr>
        <w:spacing w:after="0" w:line="13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As of December 31, 2015, the Company had approximately $235,000 in unused lines of credit available to it, including the credit facility provided under the Amended and Restated Credit Agreement, and unused lines of credit available to LFB of approximately $27,000 (at December 31, 2015 exchange rates) and Edgewater of $55,000. In addition, LFB has access to the Eurosystem Covered Bond Purchase Program of the Banque de France.</w:t>
      </w:r>
    </w:p>
    <w:p>
      <w:pPr>
        <w:spacing w:after="0" w:line="228"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The Company leases office space and equipment under non-cancelable lease agreements, which expire on various dates through 2033.</w:t>
      </w:r>
    </w:p>
    <w:p>
      <w:pPr>
        <w:spacing w:after="0" w:line="19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Operating lease agreements, in addition to base rentals, generally are subject to escalation provisions based on certain costs incurred by the landlord. For the years ended December 31, 2015, 2014 and 2013, aggregate rental expense relating to operating leases amounted to $79,549, $80,773 and $86,504, respectively, and is included in “occupancy and equipment” or “technology and information services” on the consolidated statements of operations, depending on the nature of the underlying asset. The Company subleases office space under agreements, which expire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60"/>
          </w:cols>
          <w:pgMar w:left="240" w:top="459" w:right="2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various dates through 2022. Sublease income from such agreements was $9,587, $11,751 and $11,404 for the years ended December 31, 2015, 2014 and 2013, respectively, which includes sublease income of $1,281, $3,097 and $4,136, respectively, from an affiliate of LMDC Holdings LLC (“LMDC Holdings”).</w:t>
      </w:r>
    </w:p>
    <w:p>
      <w:pPr>
        <w:spacing w:after="0" w:line="85"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Capital lease obligations recorded under sale/leaseback transactions are payable through 2017 at a weighted average interest rate of approximately 6.1%. Such obligations are collateralized primarily by certain buildings with a net book value of approximately $15,121 and $16,863 at December 31, 2015 and 2014, respectively. The net book value of all assets recorded under capital leases aggregated $15,273 and $17,326 at December 31, 2015 and 2014, respectively.</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2015, minimum rental commitments under non-cancelable leases, net of sublease income, are approximately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5"/>
          </w:tcPr>
          <w:p>
            <w:pPr>
              <w:ind w:left="340"/>
              <w:spacing w:after="0"/>
              <w:rPr>
                <w:sz w:val="20"/>
                <w:szCs w:val="20"/>
                <w:color w:val="auto"/>
              </w:rPr>
            </w:pPr>
            <w:r>
              <w:rPr>
                <w:rFonts w:ascii="Arial" w:cs="Arial" w:eastAsia="Arial" w:hAnsi="Arial"/>
                <w:sz w:val="14"/>
                <w:szCs w:val="14"/>
                <w:b w:val="1"/>
                <w:bCs w:val="1"/>
                <w:color w:val="auto"/>
              </w:rPr>
              <w:t>Minimum Rental Commitments</w:t>
            </w:r>
          </w:p>
        </w:tc>
        <w:tc>
          <w:tcPr>
            <w:tcW w:w="0" w:type="dxa"/>
            <w:vAlign w:val="bottom"/>
          </w:tcPr>
          <w:p>
            <w:pPr>
              <w:spacing w:after="0"/>
              <w:rPr>
                <w:sz w:val="1"/>
                <w:szCs w:val="1"/>
                <w:color w:val="auto"/>
              </w:rPr>
            </w:pPr>
          </w:p>
        </w:tc>
      </w:tr>
      <w:tr>
        <w:trPr>
          <w:trHeight w:val="149"/>
        </w:trPr>
        <w:tc>
          <w:tcPr>
            <w:tcW w:w="4640" w:type="dxa"/>
            <w:vAlign w:val="bottom"/>
            <w:gridSpan w:val="3"/>
            <w:vMerge w:val="continue"/>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w w:val="98"/>
              </w:rPr>
              <w:t>Capital</w:t>
            </w: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w w:val="93"/>
              </w:rPr>
              <w:t>Operating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29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2,060</w:t>
            </w: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77,651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2017</w:t>
            </w:r>
          </w:p>
        </w:tc>
        <w:tc>
          <w:tcPr>
            <w:tcW w:w="2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7,514</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9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2019</w:t>
            </w:r>
          </w:p>
        </w:tc>
        <w:tc>
          <w:tcPr>
            <w:tcW w:w="2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62,877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9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527,998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9,632</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869,908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1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capital lease commitments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Less sublease proceeds</w:t>
            </w: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63,843</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gridSpan w:val="3"/>
            <w:vMerge w:val="continue"/>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With respect to abandoned leased facilities in the U.K., at December 31, 2015 and 2014, the Company has recognized liabilities of $6,155 and $8,516, respectively, which are included in “other liabilities” on the consolidated statements of financial condition. Payments toward the liabilities continue through the remaining term of the leases. Such liabilities are based on the discounted future commitment, net of expected sublease income.</w:t>
      </w:r>
    </w:p>
    <w:p>
      <w:pPr>
        <w:spacing w:after="0" w:line="10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December 31, 2015, LFB had $4,660 of such indemnifications and held $4,317 of collateral/counter-guarantees to secure these commitments. The Company believes the likelihood of loss with respect to these indemnities is remote. Accordingly, no liability is recorded in the consolidated statement of financial condition.</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b w:val="1"/>
          <w:bCs w:val="1"/>
          <w:i w:val="1"/>
          <w:iCs w:val="1"/>
          <w:color w:val="auto"/>
        </w:rPr>
        <w:t>Certain Business Transactions</w:t>
      </w:r>
      <w:r>
        <w:rPr>
          <w:rFonts w:ascii="Arial" w:cs="Arial" w:eastAsia="Arial" w:hAnsi="Arial"/>
          <w:sz w:val="15"/>
          <w:szCs w:val="15"/>
          <w:color w:val="auto"/>
        </w:rPr>
        <w:t>—On July 15, 2009, the Company established a private equity business with Edgewater. Edgewater manages funds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9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stock (the “Initial Shares”) and (iii) up to 1,142,857 additional shares of Class A common stock (the “Earnout Shares”) that are subject to earnout criteria and payable over time. The Earnout Shares will be issued only if certain performance thresholds are met. As of December 31, 2015 and 2014, 913,722 shares are issuable on a contingent basis, and 1,371,992 have been earned because applicable performance thresholds have been satisfied. As of December 31, 2015 and 2014, 1,371,992 of the earned shares have been settled.</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Contingent Consideration Relating To Other Business Acquisitions</w:t>
      </w:r>
      <w:r>
        <w:rPr>
          <w:rFonts w:ascii="Arial" w:cs="Arial" w:eastAsia="Arial" w:hAnsi="Arial"/>
          <w:sz w:val="18"/>
          <w:szCs w:val="18"/>
          <w:color w:val="auto"/>
        </w:rPr>
        <w:t>—For a business acquired in 2012, at December 31, 2012, 170,988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(including dividend equivalent shares) were issuable on a non-contingent basis. Such shares were delivered in the first quarter of 2013. During the second quarter of 2015, the achievement of certain performance thresholds related to the acquired business were satisfied, resulting in the issuance of 27,316 shares of Class A common stock.</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of LFB and LFNY may enter into underwriting commitments in which it will participate as an underwriter. At December 31, 2015, LFB and LFNY had no such underwriting commitments.</w:t>
      </w:r>
    </w:p>
    <w:p>
      <w:pPr>
        <w:spacing w:after="0" w:line="140"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See Notes 6 and 15 for information regarding commitments relating to investment capital funding commitments and obligations to fund our pension plans, respectively.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Exchange of Lazard Group Common Membership Interests</w:t>
      </w:r>
      <w:r>
        <w:rPr>
          <w:rFonts w:ascii="Arial" w:cs="Arial" w:eastAsia="Arial" w:hAnsi="Arial"/>
          <w:sz w:val="18"/>
          <w:szCs w:val="18"/>
          <w:color w:val="auto"/>
        </w:rPr>
        <w:t>—During the years ended December 31, 2014 and 2013, Lazard Ltd issued 710,009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839,658 shares of Class A common stock, respectively, in connection with the exchanges of a like number of Lazard Group common membership interests (received from members of LAZ-MD Holdings in exchange for a like number of LAZ-MD Holdings exchangeable interests). (See Note 1 for a discussion of the Final Exchange of LAZ-MD Interests).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years ended December 31, 2015, 2014, and 2013, the Board of Directors of Lazard authorized the repurchase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as set forth in the table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360" w:type="dxa"/>
            <w:vAlign w:val="bottom"/>
            <w:vMerge w:val="restart"/>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1540" w:type="dxa"/>
            <w:vAlign w:val="bottom"/>
            <w:gridSpan w:val="3"/>
          </w:tcPr>
          <w:p>
            <w:pPr>
              <w:jc w:val="center"/>
              <w:ind w:right="620"/>
              <w:spacing w:after="0" w:line="148" w:lineRule="exact"/>
              <w:rPr>
                <w:sz w:val="20"/>
                <w:szCs w:val="20"/>
                <w:color w:val="auto"/>
              </w:rPr>
            </w:pPr>
            <w:r>
              <w:rPr>
                <w:rFonts w:ascii="Arial" w:cs="Arial" w:eastAsia="Arial" w:hAnsi="Arial"/>
                <w:sz w:val="14"/>
                <w:szCs w:val="14"/>
                <w:b w:val="1"/>
                <w:bCs w:val="1"/>
                <w:color w:val="auto"/>
                <w:w w:val="88"/>
              </w:rPr>
              <w:t>Authorization</w:t>
            </w:r>
          </w:p>
        </w:tc>
        <w:tc>
          <w:tcPr>
            <w:tcW w:w="1780" w:type="dxa"/>
            <w:vAlign w:val="bottom"/>
            <w:gridSpan w:val="2"/>
          </w:tcPr>
          <w:p>
            <w:pPr>
              <w:ind w:left="52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2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2013</w:t>
            </w:r>
          </w:p>
        </w:tc>
        <w:tc>
          <w:tcPr>
            <w:tcW w:w="2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April, 2014</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2015</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r>
        <w:trPr>
          <w:trHeight w:val="363"/>
        </w:trPr>
        <w:tc>
          <w:tcPr>
            <w:tcW w:w="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720" w:type="dxa"/>
            <w:vAlign w:val="bottom"/>
          </w:tcPr>
          <w:p>
            <w:pPr>
              <w:jc w:val="right"/>
              <w:ind w:right="81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2008 Incentive Compensation Plan (the “2008 Plan”) and the Lazard Ltd 2005 Equity Incentive Plan (the “2005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158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Number of</w:t>
            </w: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49"/>
        </w:trPr>
        <w:tc>
          <w:tcPr>
            <w:tcW w:w="158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1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Per</w:t>
            </w:r>
          </w:p>
        </w:tc>
      </w:tr>
      <w:tr>
        <w:trPr>
          <w:trHeight w:val="161"/>
        </w:trPr>
        <w:tc>
          <w:tcPr>
            <w:tcW w:w="158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Purchased</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r>
      <w:tr>
        <w:trPr>
          <w:trHeight w:val="115"/>
        </w:trPr>
        <w:tc>
          <w:tcPr>
            <w:tcW w:w="964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Years Ended December 31:</w:t>
            </w:r>
          </w:p>
        </w:tc>
        <w:tc>
          <w:tcPr>
            <w:tcW w:w="7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316"/>
        </w:trPr>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2013</w:t>
            </w:r>
          </w:p>
        </w:tc>
        <w:tc>
          <w:tcPr>
            <w:tcW w:w="806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gridSpan w:val="2"/>
          </w:tcPr>
          <w:p>
            <w:pPr>
              <w:ind w:left="60"/>
              <w:spacing w:after="0"/>
              <w:rPr>
                <w:sz w:val="20"/>
                <w:szCs w:val="20"/>
                <w:color w:val="auto"/>
              </w:rPr>
            </w:pPr>
            <w:r>
              <w:rPr>
                <w:rFonts w:ascii="Arial" w:cs="Arial" w:eastAsia="Arial" w:hAnsi="Arial"/>
                <w:sz w:val="18"/>
                <w:szCs w:val="18"/>
                <w:color w:val="auto"/>
              </w:rPr>
              <w:t>3,488,101</w:t>
            </w:r>
          </w:p>
        </w:tc>
        <w:tc>
          <w:tcPr>
            <w:tcW w:w="50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0"/>
              </w:rPr>
              <w:t>$37.98</w:t>
            </w:r>
          </w:p>
        </w:tc>
        <w:tc>
          <w:tcPr>
            <w:tcW w:w="100" w:type="dxa"/>
            <w:vAlign w:val="bottom"/>
            <w:tcBorders>
              <w:top w:val="single" w:sz="8" w:color="CCEEFF"/>
            </w:tcBorders>
          </w:tcPr>
          <w:p>
            <w:pPr>
              <w:spacing w:after="0"/>
              <w:rPr>
                <w:sz w:val="24"/>
                <w:szCs w:val="24"/>
                <w:color w:val="auto"/>
              </w:rPr>
            </w:pPr>
          </w:p>
        </w:tc>
      </w:tr>
      <w:tr>
        <w:trPr>
          <w:trHeight w:val="218"/>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80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4,114,206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$46.83</w:t>
            </w:r>
          </w:p>
        </w:tc>
        <w:tc>
          <w:tcPr>
            <w:tcW w:w="100" w:type="dxa"/>
            <w:vAlign w:val="bottom"/>
            <w:shd w:val="clear" w:color="auto" w:fill="CCEEFF"/>
          </w:tcPr>
          <w:p>
            <w:pPr>
              <w:spacing w:after="0"/>
              <w:rPr>
                <w:sz w:val="18"/>
                <w:szCs w:val="18"/>
                <w:color w:val="auto"/>
              </w:rPr>
            </w:pP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2015</w:t>
            </w:r>
          </w:p>
        </w:tc>
        <w:tc>
          <w:tcPr>
            <w:tcW w:w="806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3,438,789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$50.24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a result of the delivery of shares of Class A common stock through December 31, 2015, relating to (i) the settlement of vested restricted stock units (“RSUs”), (ii) the settlement of vested performance-based restricted stock units (“PRSUs”), (iii) the incentive plan awards of shares of restricted Class A common stock, and (iv) the delivery of shares of Class A common stock in connection with business acquisitions, there were 4,253,381 and 7,450,745 shares of Class A common stock held by our subsidiaries at December 31, 2015 and 2014, respectively. Such shares of Class A common stock are reported, at cost, as “Class A common stock held by subsidiaries” on the accompanying consolidated statements of financial condition.</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2015, 2014 and 2013, certain of our executive officers received Class A common stock in connection with the vesting of previously-granted deferred equity incentive awards. The vesting of such equity awards gave rise to a tax payable by the executive officers, and, consistent with our past practice, the Company purchased shares of Class A common stock from the executive officers equal in value to the estimated amount of such tax. The aggregate value of such purchases in 2015, 2014 and 2013 was approximately $17,700, $4,800 and $4,700, respectively. In addition, on May 12, 2014, the Company repurchased shares of Class A common stock from an executive officer under its publicly announced share repurchase program for approximately $2,000.</w:t>
      </w:r>
    </w:p>
    <w:p>
      <w:pPr>
        <w:spacing w:after="0" w:line="116"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The shares purchased in the year ended December 31, 2014 included 1,000,000 shares purchased from Natixis S.A. on June 26, 2014 for $50,340 in connection with the sale by Natixis S.A. of its entire investment in the Company’s Class A common stock. The purchase transaction closed on July 1, 2014.</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2015, a total of $106,161 of share repurchase authorization remained available under the Company’s share repurchase program, which will expire on December 31, 2016.</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on January 27, 2016, the Board of Directors of Lazard authorized the repurchase of up to $200,000 of additional shares of Class A common stock, which authorization will expire on December 31, 2017.</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year ended December 31, 2015, the Company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—Lazard Ltd has 15,000,000 authorized shares of preferred stock, par value $0.01 per share, inclusive of its Series A and Series 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stock. Series A and Series B preferred shares were issued in connection with certain prior year business acquisitions and are each non-participating securities convertible into Class A common stock, and have no voting or dividend rights. As of both December 31, 2015 and 2014, 7,921 shares of Series A preferred stock were outstanding, and no shares of Series B preferred stock were outstanding. At December 31, 2015 and 2014, no shares of Series A preferred stock were convertible into shares of Class A common stock on a contingent or a non-contingent basis.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Accumulated Other Comprehensive Income (Loss), Net of Tax</w:t>
      </w:r>
      <w:r>
        <w:rPr>
          <w:rFonts w:ascii="Arial" w:cs="Arial" w:eastAsia="Arial" w:hAnsi="Arial"/>
          <w:sz w:val="18"/>
          <w:szCs w:val="18"/>
          <w:color w:val="auto"/>
        </w:rPr>
        <w:t>—The tables below reflect the balances of each component of AOCI 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2014 and 2013 and activity during the years then ended: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6"/>
          </w:tcPr>
          <w:p>
            <w:pPr>
              <w:jc w:val="right"/>
              <w:ind w:right="381"/>
              <w:spacing w:after="0" w:line="149" w:lineRule="exact"/>
              <w:rPr>
                <w:sz w:val="20"/>
                <w:szCs w:val="20"/>
                <w:color w:val="auto"/>
              </w:rPr>
            </w:pPr>
            <w:r>
              <w:rPr>
                <w:rFonts w:ascii="Arial" w:cs="Arial" w:eastAsia="Arial" w:hAnsi="Arial"/>
                <w:sz w:val="14"/>
                <w:szCs w:val="14"/>
                <w:b w:val="1"/>
                <w:bCs w:val="1"/>
                <w:color w:val="auto"/>
                <w:w w:val="87"/>
              </w:rPr>
              <w:t>Currency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355"/>
              <w:spacing w:after="0" w:line="149" w:lineRule="exact"/>
              <w:rPr>
                <w:sz w:val="20"/>
                <w:szCs w:val="20"/>
                <w:color w:val="auto"/>
              </w:rPr>
            </w:pPr>
            <w:r>
              <w:rPr>
                <w:rFonts w:ascii="Arial" w:cs="Arial" w:eastAsia="Arial" w:hAnsi="Arial"/>
                <w:sz w:val="14"/>
                <w:szCs w:val="14"/>
                <w:b w:val="1"/>
                <w:bCs w:val="1"/>
                <w:color w:val="auto"/>
                <w:w w:val="84"/>
              </w:rPr>
              <w:t>Employee</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7"/>
          </w:tcPr>
          <w:p>
            <w:pPr>
              <w:jc w:val="right"/>
              <w:ind w:right="341"/>
              <w:spacing w:after="0" w:line="149" w:lineRule="exact"/>
              <w:rPr>
                <w:sz w:val="20"/>
                <w:szCs w:val="20"/>
                <w:color w:val="auto"/>
              </w:rPr>
            </w:pPr>
            <w:r>
              <w:rPr>
                <w:rFonts w:ascii="Arial" w:cs="Arial" w:eastAsia="Arial" w:hAnsi="Arial"/>
                <w:sz w:val="14"/>
                <w:szCs w:val="14"/>
                <w:b w:val="1"/>
                <w:bCs w:val="1"/>
                <w:color w:val="auto"/>
                <w:w w:val="90"/>
              </w:rPr>
              <w:t>Translation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375"/>
              <w:spacing w:after="0" w:line="149" w:lineRule="exact"/>
              <w:rPr>
                <w:sz w:val="20"/>
                <w:szCs w:val="20"/>
                <w:color w:val="auto"/>
              </w:rPr>
            </w:pPr>
            <w:r>
              <w:rPr>
                <w:rFonts w:ascii="Arial" w:cs="Arial" w:eastAsia="Arial" w:hAnsi="Arial"/>
                <w:sz w:val="14"/>
                <w:szCs w:val="14"/>
                <w:b w:val="1"/>
                <w:bCs w:val="1"/>
                <w:color w:val="auto"/>
                <w:w w:val="88"/>
              </w:rPr>
              <w:t>Benefit</w:t>
            </w:r>
          </w:p>
        </w:tc>
        <w:tc>
          <w:tcPr>
            <w:tcW w:w="220" w:type="dxa"/>
            <w:vAlign w:val="bottom"/>
          </w:tcPr>
          <w:p>
            <w:pPr>
              <w:spacing w:after="0"/>
              <w:rPr>
                <w:sz w:val="12"/>
                <w:szCs w:val="12"/>
                <w:color w:val="auto"/>
              </w:rPr>
            </w:pPr>
          </w:p>
        </w:tc>
        <w:tc>
          <w:tcPr>
            <w:tcW w:w="920" w:type="dxa"/>
            <w:vAlign w:val="bottom"/>
            <w:gridSpan w:val="3"/>
          </w:tcPr>
          <w:p>
            <w:pPr>
              <w:jc w:val="right"/>
              <w:ind w:right="535"/>
              <w:spacing w:after="0" w:line="149" w:lineRule="exact"/>
              <w:rPr>
                <w:sz w:val="20"/>
                <w:szCs w:val="20"/>
                <w:color w:val="auto"/>
              </w:rPr>
            </w:pPr>
            <w:r>
              <w:rPr>
                <w:rFonts w:ascii="Arial" w:cs="Arial" w:eastAsia="Arial" w:hAnsi="Arial"/>
                <w:sz w:val="14"/>
                <w:szCs w:val="14"/>
                <w:b w:val="1"/>
                <w:bCs w:val="1"/>
                <w:color w:val="auto"/>
                <w:w w:val="83"/>
              </w:rPr>
              <w:t>Total</w:t>
            </w:r>
          </w:p>
        </w:tc>
        <w:tc>
          <w:tcPr>
            <w:tcW w:w="11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Lazard Ltd</w:t>
            </w: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7"/>
          </w:tcPr>
          <w:p>
            <w:pPr>
              <w:spacing w:after="0"/>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355"/>
              <w:spacing w:after="0"/>
              <w:rPr>
                <w:sz w:val="20"/>
                <w:szCs w:val="20"/>
                <w:color w:val="auto"/>
              </w:rPr>
            </w:pPr>
            <w:r>
              <w:rPr>
                <w:rFonts w:ascii="Arial" w:cs="Arial" w:eastAsia="Arial" w:hAnsi="Arial"/>
                <w:sz w:val="14"/>
                <w:szCs w:val="14"/>
                <w:b w:val="1"/>
                <w:bCs w:val="1"/>
                <w:color w:val="auto"/>
                <w:w w:val="85"/>
              </w:rPr>
              <w:t>Plans</w:t>
            </w:r>
          </w:p>
        </w:tc>
        <w:tc>
          <w:tcPr>
            <w:tcW w:w="114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AOCI</w:t>
            </w:r>
          </w:p>
        </w:tc>
        <w:tc>
          <w:tcPr>
            <w:tcW w:w="120" w:type="dxa"/>
            <w:vAlign w:val="bottom"/>
          </w:tcPr>
          <w:p>
            <w:pPr>
              <w:spacing w:after="0"/>
              <w:rPr>
                <w:sz w:val="14"/>
                <w:szCs w:val="14"/>
                <w:color w:val="auto"/>
              </w:rPr>
            </w:pPr>
          </w:p>
        </w:tc>
        <w:tc>
          <w:tcPr>
            <w:tcW w:w="1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4"/>
                <w:szCs w:val="14"/>
                <w:color w:val="auto"/>
              </w:rPr>
            </w:pPr>
          </w:p>
        </w:tc>
        <w:tc>
          <w:tcPr>
            <w:tcW w:w="84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0"/>
        </w:trPr>
        <w:tc>
          <w:tcPr>
            <w:tcW w:w="5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January 1, 2015</w:t>
            </w:r>
          </w:p>
        </w:tc>
        <w:tc>
          <w:tcPr>
            <w:tcW w:w="10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vMerge w:val="restart"/>
            <w:shd w:val="clear" w:color="auto" w:fill="CCEEFF"/>
          </w:tcPr>
          <w:p>
            <w:pPr>
              <w:jc w:val="right"/>
              <w:ind w:right="241"/>
              <w:spacing w:after="0"/>
              <w:rPr>
                <w:sz w:val="20"/>
                <w:szCs w:val="20"/>
                <w:color w:val="auto"/>
              </w:rPr>
            </w:pPr>
            <w:r>
              <w:rPr>
                <w:rFonts w:ascii="Arial" w:cs="Arial" w:eastAsia="Arial" w:hAnsi="Arial"/>
                <w:sz w:val="16"/>
                <w:szCs w:val="16"/>
                <w:color w:val="auto"/>
                <w:w w:val="74"/>
              </w:rPr>
              <w:t>)</w:t>
            </w:r>
          </w:p>
        </w:tc>
        <w:tc>
          <w:tcPr>
            <w:tcW w:w="40" w:type="dxa"/>
            <w:vAlign w:val="bottom"/>
            <w:vMerge w:val="restart"/>
            <w:shd w:val="clear" w:color="auto" w:fill="CCEEFF"/>
          </w:tcPr>
          <w:p>
            <w:pPr>
              <w:spacing w:after="0" w:line="20" w:lineRule="exact"/>
              <w:rPr>
                <w:sz w:val="1"/>
                <w:szCs w:val="1"/>
                <w:color w:val="auto"/>
              </w:rPr>
            </w:pPr>
          </w:p>
        </w:tc>
        <w:tc>
          <w:tcPr>
            <w:tcW w:w="3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jc w:val="right"/>
              <w:ind w:right="138"/>
              <w:spacing w:after="0"/>
              <w:rPr>
                <w:sz w:val="20"/>
                <w:szCs w:val="20"/>
                <w:color w:val="auto"/>
              </w:rPr>
            </w:pPr>
            <w:r>
              <w:rPr>
                <w:rFonts w:ascii="Arial" w:cs="Arial" w:eastAsia="Arial" w:hAnsi="Arial"/>
                <w:sz w:val="16"/>
                <w:szCs w:val="16"/>
                <w:color w:val="auto"/>
                <w:w w:val="74"/>
              </w:rPr>
              <w:t>)</w:t>
            </w:r>
          </w:p>
        </w:tc>
        <w:tc>
          <w:tcPr>
            <w:tcW w:w="120" w:type="dxa"/>
            <w:vAlign w:val="bottom"/>
            <w:tcBorders>
              <w:left w:val="single" w:sz="8" w:color="CCEEFF"/>
            </w:tcBorders>
            <w:vMerge w:val="restart"/>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c>
          <w:tcPr>
            <w:tcW w:w="220" w:type="dxa"/>
            <w:vAlign w:val="bottom"/>
            <w:tcBorders>
              <w:left w:val="single" w:sz="8" w:color="CCEEFF"/>
              <w:right w:val="single" w:sz="8" w:color="CCEEFF"/>
            </w:tcBorders>
            <w:vMerge w:val="restart"/>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(46,102</w:t>
            </w:r>
          </w:p>
        </w:tc>
        <w:tc>
          <w:tcPr>
            <w:tcW w:w="380" w:type="dxa"/>
            <w:vAlign w:val="bottom"/>
            <w:tcBorders>
              <w:right w:val="single" w:sz="8" w:color="CCEEFF"/>
            </w:tcBorders>
            <w:vMerge w:val="continue"/>
            <w:shd w:val="clear" w:color="auto" w:fill="CCEEFF"/>
          </w:tcPr>
          <w:p>
            <w:pPr>
              <w:spacing w:after="0"/>
              <w:rPr>
                <w:sz w:val="18"/>
                <w:szCs w:val="18"/>
                <w:color w:val="auto"/>
              </w:rPr>
            </w:pPr>
          </w:p>
        </w:tc>
        <w:tc>
          <w:tcPr>
            <w:tcW w:w="40" w:type="dxa"/>
            <w:vAlign w:val="bottom"/>
            <w:vMerge w:val="continue"/>
            <w:shd w:val="clear" w:color="auto" w:fill="CCEEFF"/>
          </w:tcPr>
          <w:p>
            <w:pPr>
              <w:spacing w:after="0"/>
              <w:rPr>
                <w:sz w:val="18"/>
                <w:szCs w:val="18"/>
                <w:color w:val="auto"/>
              </w:rPr>
            </w:pPr>
          </w:p>
        </w:tc>
        <w:tc>
          <w:tcPr>
            <w:tcW w:w="72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(154,665</w:t>
            </w:r>
          </w:p>
        </w:tc>
        <w:tc>
          <w:tcPr>
            <w:tcW w:w="280" w:type="dxa"/>
            <w:vAlign w:val="bottom"/>
            <w:vMerge w:val="continue"/>
            <w:shd w:val="clear" w:color="auto" w:fill="CCEEFF"/>
          </w:tcPr>
          <w:p>
            <w:pPr>
              <w:spacing w:after="0"/>
              <w:rPr>
                <w:sz w:val="18"/>
                <w:szCs w:val="18"/>
                <w:color w:val="auto"/>
              </w:rPr>
            </w:pPr>
          </w:p>
        </w:tc>
        <w:tc>
          <w:tcPr>
            <w:tcW w:w="120" w:type="dxa"/>
            <w:vAlign w:val="bottom"/>
            <w:tcBorders>
              <w:left w:val="single" w:sz="8" w:color="CCEEFF"/>
            </w:tcBorders>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(200,767</w:t>
            </w:r>
          </w:p>
        </w:tc>
        <w:tc>
          <w:tcPr>
            <w:tcW w:w="180" w:type="dxa"/>
            <w:vAlign w:val="bottom"/>
            <w:vMerge w:val="continue"/>
            <w:shd w:val="clear" w:color="auto" w:fill="CCEEFF"/>
          </w:tcPr>
          <w:p>
            <w:pPr>
              <w:spacing w:after="0"/>
              <w:rPr>
                <w:sz w:val="18"/>
                <w:szCs w:val="18"/>
                <w:color w:val="auto"/>
              </w:rPr>
            </w:pPr>
          </w:p>
        </w:tc>
        <w:tc>
          <w:tcPr>
            <w:tcW w:w="220" w:type="dxa"/>
            <w:vAlign w:val="bottom"/>
            <w:tcBorders>
              <w:left w:val="single" w:sz="8" w:color="CCEEFF"/>
              <w:right w:val="single" w:sz="8" w:color="CCEEFF"/>
            </w:tcBorders>
            <w:vMerge w:val="continue"/>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(200,766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Activity January 1 to December 31, 2015: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6"/>
            <w:shd w:val="clear" w:color="auto" w:fill="CCEEFF"/>
          </w:tcPr>
          <w:p>
            <w:pPr>
              <w:jc w:val="right"/>
              <w:ind w:right="241"/>
              <w:spacing w:after="0"/>
              <w:rPr>
                <w:sz w:val="20"/>
                <w:szCs w:val="20"/>
                <w:color w:val="auto"/>
              </w:rPr>
            </w:pPr>
            <w:r>
              <w:rPr>
                <w:rFonts w:ascii="Arial" w:cs="Arial" w:eastAsia="Arial" w:hAnsi="Arial"/>
                <w:sz w:val="18"/>
                <w:szCs w:val="18"/>
                <w:color w:val="auto"/>
              </w:rPr>
              <w:t>(51,182)</w:t>
            </w:r>
          </w:p>
        </w:tc>
        <w:tc>
          <w:tcPr>
            <w:tcW w:w="4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11,283</w:t>
            </w:r>
          </w:p>
        </w:tc>
        <w:tc>
          <w:tcPr>
            <w:tcW w:w="2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(39,899)</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(39,899)</w:t>
            </w:r>
          </w:p>
        </w:tc>
        <w:tc>
          <w:tcPr>
            <w:tcW w:w="0" w:type="dxa"/>
            <w:vAlign w:val="bottom"/>
          </w:tcPr>
          <w:p>
            <w:pPr>
              <w:spacing w:after="0"/>
              <w:rPr>
                <w:sz w:val="1"/>
                <w:szCs w:val="1"/>
                <w:color w:val="auto"/>
              </w:rPr>
            </w:pPr>
          </w:p>
        </w:tc>
      </w:tr>
      <w:tr>
        <w:trPr>
          <w:trHeight w:val="223"/>
        </w:trPr>
        <w:tc>
          <w:tcPr>
            <w:tcW w:w="546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ind w:right="301"/>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6,309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6,309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8"/>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top w:val="single" w:sz="8" w:color="auto"/>
              <w:left w:val="single" w:sz="8" w:color="CCEEFF"/>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(loss)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6"/>
            <w:shd w:val="clear" w:color="auto" w:fill="CCEEFF"/>
          </w:tcPr>
          <w:p>
            <w:pPr>
              <w:jc w:val="right"/>
              <w:ind w:right="241"/>
              <w:spacing w:after="0"/>
              <w:rPr>
                <w:sz w:val="20"/>
                <w:szCs w:val="20"/>
                <w:color w:val="auto"/>
              </w:rPr>
            </w:pPr>
            <w:r>
              <w:rPr>
                <w:rFonts w:ascii="Arial" w:cs="Arial" w:eastAsia="Arial" w:hAnsi="Arial"/>
                <w:sz w:val="18"/>
                <w:szCs w:val="18"/>
                <w:color w:val="auto"/>
              </w:rPr>
              <w:t>(51,182)</w:t>
            </w:r>
          </w:p>
        </w:tc>
        <w:tc>
          <w:tcPr>
            <w:tcW w:w="40" w:type="dxa"/>
            <w:vAlign w:val="bottom"/>
            <w:shd w:val="clear" w:color="auto" w:fill="CCEEFF"/>
          </w:tcPr>
          <w:p>
            <w:pPr>
              <w:spacing w:after="0"/>
              <w:rPr>
                <w:sz w:val="19"/>
                <w:szCs w:val="19"/>
                <w:color w:val="auto"/>
              </w:rPr>
            </w:pPr>
          </w:p>
        </w:tc>
        <w:tc>
          <w:tcPr>
            <w:tcW w:w="40" w:type="dxa"/>
            <w:vAlign w:val="bottom"/>
            <w:tcBorders>
              <w:left w:val="single" w:sz="8" w:color="CCEEFF"/>
            </w:tcBorders>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17,592</w:t>
            </w:r>
          </w:p>
        </w:tc>
        <w:tc>
          <w:tcPr>
            <w:tcW w:w="280" w:type="dxa"/>
            <w:vAlign w:val="bottom"/>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92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(33,590)</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(33,590)</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Balance, December 31, 2015</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6"/>
          </w:tcPr>
          <w:p>
            <w:pPr>
              <w:jc w:val="right"/>
              <w:ind w:right="241"/>
              <w:spacing w:after="0"/>
              <w:rPr>
                <w:sz w:val="20"/>
                <w:szCs w:val="20"/>
                <w:color w:val="auto"/>
              </w:rPr>
            </w:pPr>
            <w:r>
              <w:rPr>
                <w:rFonts w:ascii="Arial" w:cs="Arial" w:eastAsia="Arial" w:hAnsi="Arial"/>
                <w:sz w:val="18"/>
                <w:szCs w:val="18"/>
                <w:color w:val="auto"/>
              </w:rPr>
              <w:t>(97,284)</w:t>
            </w:r>
          </w:p>
        </w:tc>
        <w:tc>
          <w:tcPr>
            <w:tcW w:w="1040" w:type="dxa"/>
            <w:vAlign w:val="bottom"/>
            <w:gridSpan w:val="5"/>
          </w:tcPr>
          <w:p>
            <w:pPr>
              <w:jc w:val="right"/>
              <w:ind w:right="138"/>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(137,073)</w:t>
            </w:r>
          </w:p>
        </w:tc>
        <w:tc>
          <w:tcPr>
            <w:tcW w:w="120" w:type="dxa"/>
            <w:vAlign w:val="bottom"/>
          </w:tcPr>
          <w:p>
            <w:pPr>
              <w:spacing w:after="0"/>
              <w:rPr>
                <w:sz w:val="19"/>
                <w:szCs w:val="19"/>
                <w:color w:val="auto"/>
              </w:rPr>
            </w:pPr>
          </w:p>
        </w:tc>
        <w:tc>
          <w:tcPr>
            <w:tcW w:w="920" w:type="dxa"/>
            <w:vAlign w:val="bottom"/>
            <w:gridSpan w:val="3"/>
          </w:tcPr>
          <w:p>
            <w:pPr>
              <w:jc w:val="right"/>
              <w:ind w:right="3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(234,357)</w:t>
            </w: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(234,356)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right"/>
              <w:ind w:right="21"/>
              <w:spacing w:after="0" w:line="149" w:lineRule="exact"/>
              <w:rPr>
                <w:sz w:val="20"/>
                <w:szCs w:val="20"/>
                <w:color w:val="auto"/>
              </w:rPr>
            </w:pPr>
            <w:r>
              <w:rPr>
                <w:rFonts w:ascii="Arial" w:cs="Arial" w:eastAsia="Arial" w:hAnsi="Arial"/>
                <w:sz w:val="14"/>
                <w:szCs w:val="14"/>
                <w:b w:val="1"/>
                <w:bCs w:val="1"/>
                <w:color w:val="auto"/>
                <w:w w:val="84"/>
              </w:rPr>
              <w:t>Currency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3"/>
          </w:tcPr>
          <w:p>
            <w:pPr>
              <w:jc w:val="center"/>
              <w:ind w:right="75"/>
              <w:spacing w:after="0" w:line="149" w:lineRule="exact"/>
              <w:rPr>
                <w:sz w:val="20"/>
                <w:szCs w:val="20"/>
                <w:color w:val="auto"/>
              </w:rPr>
            </w:pPr>
            <w:r>
              <w:rPr>
                <w:rFonts w:ascii="Arial" w:cs="Arial" w:eastAsia="Arial" w:hAnsi="Arial"/>
                <w:sz w:val="14"/>
                <w:szCs w:val="14"/>
                <w:b w:val="1"/>
                <w:bCs w:val="1"/>
                <w:color w:val="auto"/>
                <w:w w:val="84"/>
              </w:rPr>
              <w:t>Employee</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0"/>
              </w:rPr>
              <w:t>Translation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3"/>
          </w:tcPr>
          <w:p>
            <w:pPr>
              <w:jc w:val="center"/>
              <w:ind w:right="75"/>
              <w:spacing w:after="0" w:line="149" w:lineRule="exact"/>
              <w:rPr>
                <w:sz w:val="20"/>
                <w:szCs w:val="20"/>
                <w:color w:val="auto"/>
              </w:rPr>
            </w:pPr>
            <w:r>
              <w:rPr>
                <w:rFonts w:ascii="Arial" w:cs="Arial" w:eastAsia="Arial" w:hAnsi="Arial"/>
                <w:sz w:val="14"/>
                <w:szCs w:val="14"/>
                <w:b w:val="1"/>
                <w:bCs w:val="1"/>
                <w:color w:val="auto"/>
                <w:w w:val="84"/>
              </w:rPr>
              <w:t>Benefit</w:t>
            </w:r>
          </w:p>
        </w:tc>
        <w:tc>
          <w:tcPr>
            <w:tcW w:w="220" w:type="dxa"/>
            <w:vAlign w:val="bottom"/>
          </w:tcPr>
          <w:p>
            <w:pPr>
              <w:spacing w:after="0"/>
              <w:rPr>
                <w:sz w:val="12"/>
                <w:szCs w:val="12"/>
                <w:color w:val="auto"/>
              </w:rPr>
            </w:pPr>
          </w:p>
        </w:tc>
        <w:tc>
          <w:tcPr>
            <w:tcW w:w="9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Lazard Ltd</w:t>
            </w: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6"/>
          </w:tcPr>
          <w:p>
            <w:pPr>
              <w:spacing w:after="0"/>
              <w:rPr>
                <w:sz w:val="20"/>
                <w:szCs w:val="20"/>
                <w:color w:val="auto"/>
              </w:rPr>
            </w:pPr>
            <w:r>
              <w:rPr>
                <w:rFonts w:ascii="Arial" w:cs="Arial" w:eastAsia="Arial" w:hAnsi="Arial"/>
                <w:sz w:val="14"/>
                <w:szCs w:val="14"/>
                <w:b w:val="1"/>
                <w:bCs w:val="1"/>
                <w:color w:val="auto"/>
                <w:w w:val="94"/>
              </w:rPr>
              <w:t>Adjustments</w:t>
            </w:r>
          </w:p>
        </w:tc>
        <w:tc>
          <w:tcPr>
            <w:tcW w:w="280" w:type="dxa"/>
            <w:vAlign w:val="bottom"/>
          </w:tcPr>
          <w:p>
            <w:pPr>
              <w:spacing w:after="0"/>
              <w:rPr>
                <w:sz w:val="14"/>
                <w:szCs w:val="14"/>
                <w:color w:val="auto"/>
              </w:rPr>
            </w:pPr>
          </w:p>
        </w:tc>
        <w:tc>
          <w:tcPr>
            <w:tcW w:w="800" w:type="dxa"/>
            <w:vAlign w:val="bottom"/>
            <w:gridSpan w:val="3"/>
          </w:tcPr>
          <w:p>
            <w:pPr>
              <w:jc w:val="center"/>
              <w:ind w:right="75"/>
              <w:spacing w:after="0"/>
              <w:rPr>
                <w:sz w:val="20"/>
                <w:szCs w:val="20"/>
                <w:color w:val="auto"/>
              </w:rPr>
            </w:pPr>
            <w:r>
              <w:rPr>
                <w:rFonts w:ascii="Arial" w:cs="Arial" w:eastAsia="Arial" w:hAnsi="Arial"/>
                <w:sz w:val="14"/>
                <w:szCs w:val="14"/>
                <w:b w:val="1"/>
                <w:bCs w:val="1"/>
                <w:color w:val="auto"/>
                <w:w w:val="85"/>
              </w:rPr>
              <w:t>Plans</w:t>
            </w:r>
          </w:p>
        </w:tc>
        <w:tc>
          <w:tcPr>
            <w:tcW w:w="220" w:type="dxa"/>
            <w:vAlign w:val="bottom"/>
          </w:tcPr>
          <w:p>
            <w:pPr>
              <w:spacing w:after="0"/>
              <w:rPr>
                <w:sz w:val="14"/>
                <w:szCs w:val="14"/>
                <w:color w:val="auto"/>
              </w:rPr>
            </w:pPr>
          </w:p>
        </w:tc>
        <w:tc>
          <w:tcPr>
            <w:tcW w:w="920" w:type="dxa"/>
            <w:vAlign w:val="bottom"/>
            <w:gridSpan w:val="3"/>
          </w:tcPr>
          <w:p>
            <w:pPr>
              <w:jc w:val="right"/>
              <w:ind w:right="315"/>
              <w:spacing w:after="0"/>
              <w:rPr>
                <w:sz w:val="20"/>
                <w:szCs w:val="20"/>
                <w:color w:val="auto"/>
              </w:rPr>
            </w:pPr>
            <w:r>
              <w:rPr>
                <w:rFonts w:ascii="Arial" w:cs="Arial" w:eastAsia="Arial" w:hAnsi="Arial"/>
                <w:sz w:val="14"/>
                <w:szCs w:val="14"/>
                <w:b w:val="1"/>
                <w:bCs w:val="1"/>
                <w:color w:val="auto"/>
              </w:rPr>
              <w:t>AOCI</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4"/>
                <w:szCs w:val="14"/>
                <w:color w:val="auto"/>
              </w:rPr>
            </w:pPr>
          </w:p>
        </w:tc>
        <w:tc>
          <w:tcPr>
            <w:tcW w:w="84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left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(137,431</w:t>
            </w:r>
          </w:p>
        </w:tc>
        <w:tc>
          <w:tcPr>
            <w:tcW w:w="120" w:type="dxa"/>
            <w:vAlign w:val="bottom"/>
            <w:tcBorders>
              <w:top w:val="single" w:sz="8" w:color="CCEEFF"/>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(133,562</w:t>
            </w:r>
          </w:p>
        </w:tc>
        <w:tc>
          <w:tcPr>
            <w:tcW w:w="220" w:type="dxa"/>
            <w:vAlign w:val="bottom"/>
            <w:tcBorders>
              <w:top w:val="single" w:sz="8" w:color="CCEEFF"/>
              <w:left w:val="single" w:sz="8" w:color="CCEEFF"/>
              <w:right w:val="single" w:sz="8" w:color="CCEEFF"/>
            </w:tcBorders>
            <w:shd w:val="clear" w:color="auto" w:fill="CCEEFF"/>
          </w:tcPr>
          <w:p>
            <w:pPr>
              <w:jc w:val="right"/>
              <w:ind w:right="75"/>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(133,004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Activity January 1 to December 31, 2014: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(49,971)</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(21,983)</w:t>
            </w:r>
          </w:p>
        </w:tc>
        <w:tc>
          <w:tcPr>
            <w:tcW w:w="1140" w:type="dxa"/>
            <w:vAlign w:val="bottom"/>
            <w:tcBorders>
              <w:right w:val="single" w:sz="8" w:color="CCEEFF"/>
            </w:tcBorders>
            <w:gridSpan w:val="4"/>
            <w:shd w:val="clear" w:color="auto" w:fill="CCEEFF"/>
          </w:tcPr>
          <w:p>
            <w:pPr>
              <w:jc w:val="right"/>
              <w:ind w:right="75"/>
              <w:spacing w:after="0"/>
              <w:rPr>
                <w:sz w:val="20"/>
                <w:szCs w:val="20"/>
                <w:color w:val="auto"/>
              </w:rPr>
            </w:pPr>
            <w:r>
              <w:rPr>
                <w:rFonts w:ascii="Arial" w:cs="Arial" w:eastAsia="Arial" w:hAnsi="Arial"/>
                <w:sz w:val="18"/>
                <w:szCs w:val="18"/>
                <w:color w:val="auto"/>
              </w:rPr>
              <w:t>(71,954)</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(72,511)</w:t>
            </w: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4,749</w:t>
            </w:r>
          </w:p>
        </w:tc>
        <w:tc>
          <w:tcPr>
            <w:tcW w:w="1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4,749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18"/>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(49,971)</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(17,234)</w:t>
            </w:r>
          </w:p>
        </w:tc>
        <w:tc>
          <w:tcPr>
            <w:tcW w:w="1140" w:type="dxa"/>
            <w:vAlign w:val="bottom"/>
            <w:tcBorders>
              <w:right w:val="single" w:sz="8" w:color="CCEEFF"/>
            </w:tcBorders>
            <w:gridSpan w:val="4"/>
            <w:shd w:val="clear" w:color="auto" w:fill="CCEEFF"/>
          </w:tcPr>
          <w:p>
            <w:pPr>
              <w:jc w:val="right"/>
              <w:ind w:right="75"/>
              <w:spacing w:after="0"/>
              <w:rPr>
                <w:sz w:val="20"/>
                <w:szCs w:val="20"/>
                <w:color w:val="auto"/>
              </w:rPr>
            </w:pPr>
            <w:r>
              <w:rPr>
                <w:rFonts w:ascii="Arial" w:cs="Arial" w:eastAsia="Arial" w:hAnsi="Arial"/>
                <w:sz w:val="18"/>
                <w:szCs w:val="18"/>
                <w:color w:val="auto"/>
              </w:rPr>
              <w:t>(67,205)</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(67,762)</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Balance, December 31, 2014</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(46,102)</w:t>
            </w:r>
          </w:p>
        </w:tc>
        <w:tc>
          <w:tcPr>
            <w:tcW w:w="10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(154,665)</w:t>
            </w:r>
          </w:p>
        </w:tc>
        <w:tc>
          <w:tcPr>
            <w:tcW w:w="1140" w:type="dxa"/>
            <w:vAlign w:val="bottom"/>
            <w:gridSpan w:val="4"/>
          </w:tcPr>
          <w:p>
            <w:pPr>
              <w:jc w:val="right"/>
              <w:ind w:right="75"/>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(200,767)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(200,766)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5"/>
          </w:tcPr>
          <w:p>
            <w:pPr>
              <w:jc w:val="right"/>
              <w:ind w:right="162"/>
              <w:spacing w:after="0" w:line="149" w:lineRule="exact"/>
              <w:rPr>
                <w:sz w:val="20"/>
                <w:szCs w:val="20"/>
                <w:color w:val="auto"/>
              </w:rPr>
            </w:pPr>
            <w:r>
              <w:rPr>
                <w:rFonts w:ascii="Arial" w:cs="Arial" w:eastAsia="Arial" w:hAnsi="Arial"/>
                <w:sz w:val="14"/>
                <w:szCs w:val="14"/>
                <w:b w:val="1"/>
                <w:bCs w:val="1"/>
                <w:color w:val="auto"/>
                <w:w w:val="87"/>
              </w:rPr>
              <w:t>Currency</w:t>
            </w:r>
          </w:p>
        </w:tc>
        <w:tc>
          <w:tcPr>
            <w:tcW w:w="140" w:type="dxa"/>
            <w:vAlign w:val="bottom"/>
          </w:tcPr>
          <w:p>
            <w:pPr>
              <w:spacing w:after="0"/>
              <w:rPr>
                <w:sz w:val="12"/>
                <w:szCs w:val="12"/>
                <w:color w:val="auto"/>
              </w:rPr>
            </w:pPr>
          </w:p>
        </w:tc>
        <w:tc>
          <w:tcPr>
            <w:tcW w:w="5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28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Employee</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900" w:type="dxa"/>
            <w:vAlign w:val="bottom"/>
            <w:gridSpan w:val="6"/>
          </w:tcPr>
          <w:p>
            <w:pPr>
              <w:ind w:left="40"/>
              <w:spacing w:after="0" w:line="149" w:lineRule="exact"/>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Rate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Benefit</w:t>
            </w:r>
          </w:p>
        </w:tc>
        <w:tc>
          <w:tcPr>
            <w:tcW w:w="220" w:type="dxa"/>
            <w:vAlign w:val="bottom"/>
          </w:tcPr>
          <w:p>
            <w:pPr>
              <w:spacing w:after="0"/>
              <w:rPr>
                <w:sz w:val="12"/>
                <w:szCs w:val="12"/>
                <w:color w:val="auto"/>
              </w:rPr>
            </w:pPr>
          </w:p>
        </w:tc>
        <w:tc>
          <w:tcPr>
            <w:tcW w:w="920" w:type="dxa"/>
            <w:vAlign w:val="bottom"/>
            <w:gridSpan w:val="3"/>
          </w:tcPr>
          <w:p>
            <w:pPr>
              <w:jc w:val="right"/>
              <w:ind w:right="315"/>
              <w:spacing w:after="0" w:line="14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Lazard Ltd</w:t>
            </w: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900" w:type="dxa"/>
            <w:vAlign w:val="bottom"/>
            <w:gridSpan w:val="6"/>
          </w:tcPr>
          <w:p>
            <w:pPr>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Hedge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Plans</w:t>
            </w:r>
          </w:p>
        </w:tc>
        <w:tc>
          <w:tcPr>
            <w:tcW w:w="220" w:type="dxa"/>
            <w:vAlign w:val="bottom"/>
          </w:tcPr>
          <w:p>
            <w:pPr>
              <w:spacing w:after="0"/>
              <w:rPr>
                <w:sz w:val="14"/>
                <w:szCs w:val="14"/>
                <w:color w:val="auto"/>
              </w:rPr>
            </w:pPr>
          </w:p>
        </w:tc>
        <w:tc>
          <w:tcPr>
            <w:tcW w:w="920" w:type="dxa"/>
            <w:vAlign w:val="bottom"/>
            <w:gridSpan w:val="3"/>
          </w:tcPr>
          <w:p>
            <w:pPr>
              <w:ind w:left="180"/>
              <w:spacing w:after="0"/>
              <w:rPr>
                <w:sz w:val="20"/>
                <w:szCs w:val="20"/>
                <w:color w:val="auto"/>
              </w:rPr>
            </w:pPr>
            <w:r>
              <w:rPr>
                <w:rFonts w:ascii="Arial" w:cs="Arial" w:eastAsia="Arial" w:hAnsi="Arial"/>
                <w:sz w:val="14"/>
                <w:szCs w:val="14"/>
                <w:b w:val="1"/>
                <w:bCs w:val="1"/>
                <w:color w:val="auto"/>
              </w:rPr>
              <w:t>AOCI</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4"/>
                <w:szCs w:val="14"/>
                <w:color w:val="auto"/>
              </w:rPr>
            </w:pPr>
          </w:p>
        </w:tc>
        <w:tc>
          <w:tcPr>
            <w:tcW w:w="84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19,405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(2,502</w:t>
            </w:r>
          </w:p>
        </w:tc>
        <w:tc>
          <w:tcPr>
            <w:tcW w:w="320" w:type="dxa"/>
            <w:vAlign w:val="bottom"/>
            <w:tcBorders>
              <w:top w:val="single" w:sz="8" w:color="CCEEFF"/>
              <w:left w:val="single" w:sz="8" w:color="CCEEFF"/>
              <w:right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(128,536</w:t>
            </w:r>
          </w:p>
        </w:tc>
        <w:tc>
          <w:tcPr>
            <w:tcW w:w="120" w:type="dxa"/>
            <w:vAlign w:val="bottom"/>
            <w:tcBorders>
              <w:top w:val="single" w:sz="8" w:color="CCEEFF"/>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(111,633</w:t>
            </w:r>
          </w:p>
        </w:tc>
        <w:tc>
          <w:tcPr>
            <w:tcW w:w="220" w:type="dxa"/>
            <w:vAlign w:val="bottom"/>
            <w:tcBorders>
              <w:top w:val="single" w:sz="8" w:color="CCEEFF"/>
              <w:left w:val="single" w:sz="8" w:color="CCEEFF"/>
              <w:right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(110,541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Activity January 1 to December 31, 2013: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22"/>
              <w:spacing w:after="0"/>
              <w:rPr>
                <w:sz w:val="20"/>
                <w:szCs w:val="20"/>
                <w:color w:val="auto"/>
              </w:rPr>
            </w:pPr>
            <w:r>
              <w:rPr>
                <w:rFonts w:ascii="Arial" w:cs="Arial" w:eastAsia="Arial" w:hAnsi="Arial"/>
                <w:sz w:val="18"/>
                <w:szCs w:val="18"/>
                <w:color w:val="auto"/>
              </w:rPr>
              <w:t>(15,536)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1140" w:type="dxa"/>
            <w:vAlign w:val="bottom"/>
            <w:tcBorders>
              <w:right w:val="single" w:sz="8" w:color="CCEEFF"/>
            </w:tcBorders>
            <w:gridSpan w:val="4"/>
            <w:shd w:val="clear" w:color="auto" w:fill="CCEEFF"/>
          </w:tcPr>
          <w:p>
            <w:pPr>
              <w:jc w:val="right"/>
              <w:ind w:right="55"/>
              <w:spacing w:after="0"/>
              <w:rPr>
                <w:sz w:val="20"/>
                <w:szCs w:val="20"/>
                <w:color w:val="auto"/>
              </w:rPr>
            </w:pPr>
            <w:r>
              <w:rPr>
                <w:rFonts w:ascii="Arial" w:cs="Arial" w:eastAsia="Arial" w:hAnsi="Arial"/>
                <w:sz w:val="18"/>
                <w:szCs w:val="18"/>
                <w:color w:val="auto"/>
              </w:rPr>
              <w:t>(29,036)</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(29,531)</w:t>
            </w: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82"/>
              <w:spacing w:after="0"/>
              <w:rPr>
                <w:sz w:val="20"/>
                <w:szCs w:val="20"/>
                <w:color w:val="auto"/>
              </w:rPr>
            </w:pPr>
            <w:r>
              <w:rPr>
                <w:rFonts w:ascii="Arial" w:cs="Arial" w:eastAsia="Arial" w:hAnsi="Arial"/>
                <w:sz w:val="18"/>
                <w:szCs w:val="18"/>
                <w:color w:val="auto"/>
              </w:rPr>
              <w:t>–</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2,502</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4,605</w:t>
            </w:r>
          </w:p>
        </w:tc>
        <w:tc>
          <w:tcPr>
            <w:tcW w:w="1140" w:type="dxa"/>
            <w:vAlign w:val="bottom"/>
            <w:gridSpan w:val="4"/>
          </w:tcPr>
          <w:p>
            <w:pPr>
              <w:jc w:val="right"/>
              <w:ind w:right="95"/>
              <w:spacing w:after="0"/>
              <w:rPr>
                <w:sz w:val="20"/>
                <w:szCs w:val="20"/>
                <w:color w:val="auto"/>
              </w:rPr>
            </w:pPr>
            <w:r>
              <w:rPr>
                <w:rFonts w:ascii="Arial" w:cs="Arial" w:eastAsia="Arial" w:hAnsi="Arial"/>
                <w:sz w:val="18"/>
                <w:szCs w:val="18"/>
                <w:color w:val="auto"/>
              </w:rPr>
              <w:t>7,107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39</w:t>
            </w:r>
          </w:p>
        </w:tc>
        <w:tc>
          <w:tcPr>
            <w:tcW w:w="960" w:type="dxa"/>
            <w:vAlign w:val="bottom"/>
            <w:gridSpan w:val="3"/>
          </w:tcPr>
          <w:p>
            <w:pPr>
              <w:jc w:val="right"/>
              <w:ind w:right="18"/>
              <w:spacing w:after="0"/>
              <w:rPr>
                <w:sz w:val="20"/>
                <w:szCs w:val="20"/>
                <w:color w:val="auto"/>
              </w:rPr>
            </w:pPr>
            <w:r>
              <w:rPr>
                <w:rFonts w:ascii="Arial" w:cs="Arial" w:eastAsia="Arial" w:hAnsi="Arial"/>
                <w:sz w:val="18"/>
                <w:szCs w:val="18"/>
                <w:color w:val="auto"/>
              </w:rPr>
              <w:t>7,068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22"/>
              <w:spacing w:after="0"/>
              <w:rPr>
                <w:sz w:val="20"/>
                <w:szCs w:val="20"/>
                <w:color w:val="auto"/>
              </w:rPr>
            </w:pPr>
            <w:r>
              <w:rPr>
                <w:rFonts w:ascii="Arial" w:cs="Arial" w:eastAsia="Arial" w:hAnsi="Arial"/>
                <w:sz w:val="18"/>
                <w:szCs w:val="18"/>
                <w:color w:val="auto"/>
              </w:rPr>
              <w:t>(15,536)</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(8,895)</w:t>
            </w:r>
          </w:p>
        </w:tc>
        <w:tc>
          <w:tcPr>
            <w:tcW w:w="1140" w:type="dxa"/>
            <w:vAlign w:val="bottom"/>
            <w:tcBorders>
              <w:right w:val="single" w:sz="8" w:color="CCEEFF"/>
            </w:tcBorders>
            <w:gridSpan w:val="4"/>
            <w:shd w:val="clear" w:color="auto" w:fill="CCEEFF"/>
          </w:tcPr>
          <w:p>
            <w:pPr>
              <w:jc w:val="right"/>
              <w:ind w:right="55"/>
              <w:spacing w:after="0"/>
              <w:rPr>
                <w:sz w:val="20"/>
                <w:szCs w:val="20"/>
                <w:color w:val="auto"/>
              </w:rPr>
            </w:pPr>
            <w:r>
              <w:rPr>
                <w:rFonts w:ascii="Arial" w:cs="Arial" w:eastAsia="Arial" w:hAnsi="Arial"/>
                <w:sz w:val="18"/>
                <w:szCs w:val="18"/>
                <w:color w:val="auto"/>
              </w:rPr>
              <w:t>(21,929)</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(22,463)</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Balance, December 31, 2013</w:t>
            </w:r>
          </w:p>
        </w:tc>
        <w:tc>
          <w:tcPr>
            <w:tcW w:w="10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3,869</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(137,431)</w:t>
            </w:r>
          </w:p>
        </w:tc>
        <w:tc>
          <w:tcPr>
            <w:tcW w:w="1140" w:type="dxa"/>
            <w:vAlign w:val="bottom"/>
            <w:gridSpan w:val="4"/>
          </w:tcPr>
          <w:p>
            <w:pPr>
              <w:jc w:val="right"/>
              <w:ind w:right="55"/>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(133,562)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(558)</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(133,004)</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6"/>
              </w:rPr>
              <w:t>107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reflects adjustments for items reclassified out of AOCI, by component, for the years ended December 31, 2015, 2014 and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8"/>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3"/>
              </w:rPr>
              <w:t>2015</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2014</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interest rate hedge (a)</w:t>
            </w:r>
          </w:p>
        </w:tc>
        <w:tc>
          <w:tcPr>
            <w:tcW w:w="1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$ 2,502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00" w:type="dxa"/>
            <w:vAlign w:val="bottom"/>
            <w:gridSpan w:val="3"/>
          </w:tcPr>
          <w:p>
            <w:pPr>
              <w:spacing w:after="0"/>
              <w:rPr>
                <w:sz w:val="20"/>
                <w:szCs w:val="20"/>
                <w:color w:val="auto"/>
              </w:rPr>
            </w:pPr>
            <w:r>
              <w:rPr>
                <w:rFonts w:ascii="Arial" w:cs="Arial" w:eastAsia="Arial" w:hAnsi="Arial"/>
                <w:sz w:val="18"/>
                <w:szCs w:val="18"/>
                <w:color w:val="auto"/>
              </w:rPr>
              <w:t>Amortization relating to employee benefit plans (b)</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7,816</w:t>
            </w:r>
          </w:p>
        </w:tc>
        <w:tc>
          <w:tcPr>
            <w:tcW w:w="10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6,672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related income taxes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1,507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1,923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spacing w:after="0"/>
              <w:rPr>
                <w:sz w:val="20"/>
                <w:szCs w:val="20"/>
                <w:color w:val="auto"/>
              </w:rPr>
            </w:pPr>
            <w:r>
              <w:rPr>
                <w:rFonts w:ascii="Arial" w:cs="Arial" w:eastAsia="Arial" w:hAnsi="Arial"/>
                <w:sz w:val="18"/>
                <w:szCs w:val="18"/>
                <w:color w:val="auto"/>
              </w:rPr>
              <w:t>Net of tax</w:t>
            </w: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gridSpan w:val="3"/>
            <w:vMerge w:val="continue"/>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6,309</w:t>
            </w:r>
          </w:p>
        </w:tc>
        <w:tc>
          <w:tcPr>
            <w:tcW w:w="10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4,749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6,309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4,749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Included in “interest expense” on the consolidated statements of operations.</w:t>
      </w:r>
    </w:p>
    <w:p>
      <w:pPr>
        <w:spacing w:after="0" w:line="15" w:lineRule="exact"/>
        <w:rPr>
          <w:rFonts w:ascii="Arial" w:cs="Arial" w:eastAsia="Arial" w:hAnsi="Arial"/>
          <w:sz w:val="18"/>
          <w:szCs w:val="18"/>
          <w:color w:val="auto"/>
        </w:rPr>
      </w:pPr>
    </w:p>
    <w:p>
      <w:pPr>
        <w:ind w:left="460" w:right="760" w:hanging="452"/>
        <w:spacing w:after="0" w:line="261"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15). Such amounts are included in “compensation and benefits” expense on the consolidated statements of operations.</w:t>
      </w:r>
    </w:p>
    <w:p>
      <w:pPr>
        <w:spacing w:after="0" w:line="13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(i)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 and (ii) Lazard Group by LAZ-MD Holdings until May 2014. Following the Final Exchange of LAZ-MD Interests, Lazard Group became a wholly-owned indirect subsidiary of Lazard Ltd.</w:t>
      </w:r>
    </w:p>
    <w:p>
      <w:pPr>
        <w:spacing w:after="0" w:line="14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tables below summarize net income (loss) attributable to noncontrolling interests for the years ended December 31, 2015, 2014 and 2013 and noncontrolling interests as of December 31, 2015 and 2014 in the Company’s consolidated financial statements: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Net Income (Loss)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60" w:type="dxa"/>
            <w:vAlign w:val="bottom"/>
            <w:gridSpan w:val="8"/>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Attributable to Noncontrolling Interests</w:t>
            </w: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Borders>
              <w:bottom w:val="single" w:sz="8" w:color="CCEEFF"/>
            </w:tcBorders>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89"/>
              </w:rPr>
              <w:t>2015</w:t>
            </w: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2014</w:t>
            </w: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LAZ-MD Holdings</w:t>
            </w: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80" w:type="dxa"/>
            <w:vAlign w:val="bottom"/>
            <w:vMerge w:val="continue"/>
          </w:tcPr>
          <w:p>
            <w:pPr>
              <w:spacing w:after="0"/>
              <w:rPr>
                <w:sz w:val="19"/>
                <w:szCs w:val="19"/>
                <w:color w:val="auto"/>
              </w:rPr>
            </w:pP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6,559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6,786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560" w:type="dxa"/>
            <w:vAlign w:val="bottom"/>
            <w:vMerge w:val="restart"/>
          </w:tcPr>
          <w:p>
            <w:pPr>
              <w:jc w:val="right"/>
              <w:ind w:right="2112"/>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6"/>
              </w:rPr>
              <w:t>Noncontrolling Interests</w:t>
            </w: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As Of December 31,</w:t>
            </w: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62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2015</w:t>
            </w:r>
          </w:p>
        </w:tc>
        <w:tc>
          <w:tcPr>
            <w:tcW w:w="118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4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$ 53,132</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$ 62,584</w:t>
            </w:r>
          </w:p>
        </w:tc>
        <w:tc>
          <w:tcPr>
            <w:tcW w:w="2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w:t>
            </w:r>
          </w:p>
        </w:tc>
        <w:tc>
          <w:tcPr>
            <w:tcW w:w="43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5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$ 53,851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$ 63,313</w:t>
            </w:r>
          </w:p>
        </w:tc>
        <w:tc>
          <w:tcPr>
            <w:tcW w:w="2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b w:val="1"/>
          <w:bCs w:val="1"/>
          <w:i w:val="1"/>
          <w:iCs w:val="1"/>
          <w:color w:val="auto"/>
        </w:rPr>
        <w:t>Dividends Declared, February 1, 2016</w:t>
      </w:r>
      <w:r>
        <w:rPr>
          <w:rFonts w:ascii="Arial" w:cs="Arial" w:eastAsia="Arial" w:hAnsi="Arial"/>
          <w:sz w:val="16"/>
          <w:szCs w:val="16"/>
          <w:color w:val="auto"/>
        </w:rPr>
        <w:t>— On February 1, 2016, the Board of Directors of Lazard declared a special dividend of $1.20 per share, as well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quarterly dividend of $0.35 per share, on our Class A common stock, payable on February 26, 2016, to stockholders of record on February 11, 2016.</w:t>
      </w:r>
    </w:p>
    <w:p>
      <w:pPr>
        <w:spacing w:after="0" w:line="207"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 description of Lazard Ltd’s 2008 Plan and 2005 Plan and activity with respect thereto during the years ended December 31, 2015, 2014 and 2013,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2008 Plan and 2005 Plan</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2008 Plan authorizes the issuance of shares of Class A common stock pursuant to the grant or exercise of stock options, stock appreciation rights, RSUs and other equity-based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14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2005 Plan authorized the issuance of up to 25,000,000 shares of Class A common stock pursuant to the grant or exercise of stock options, stock appreciation rights, RSUs and other equity-based awards. Each RSU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 The 2005 Plan expired in the second quarter of 2015, although awards granted under the 2005 Plan remain outstanding and continue to be subject to its terms.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PRSUs and restricted stock awards) and “professional services” expense (with respect to deferred stock units (“DSUs”)) within the Company’s accompanying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880" w:type="dxa"/>
            <w:vAlign w:val="bottom"/>
            <w:gridSpan w:val="6"/>
          </w:tcPr>
          <w:p>
            <w:pPr>
              <w:ind w:left="6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540" w:type="dxa"/>
            <w:vAlign w:val="bottom"/>
          </w:tcPr>
          <w:p>
            <w:pPr>
              <w:spacing w:after="0"/>
              <w:rPr>
                <w:sz w:val="12"/>
                <w:szCs w:val="12"/>
                <w:color w:val="auto"/>
              </w:rPr>
            </w:pPr>
          </w:p>
        </w:tc>
        <w:tc>
          <w:tcPr>
            <w:tcW w:w="70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8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RSUs (a)</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$ 166,395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$ 169,916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$ 209,974</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18,428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12,934</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Restricted Stock</w:t>
            </w:r>
          </w:p>
        </w:tc>
        <w:tc>
          <w:tcPr>
            <w:tcW w:w="700" w:type="dxa"/>
            <w:vAlign w:val="bottom"/>
          </w:tcPr>
          <w:p>
            <w:pPr>
              <w:jc w:val="right"/>
              <w:spacing w:after="0"/>
              <w:rPr>
                <w:sz w:val="20"/>
                <w:szCs w:val="20"/>
                <w:color w:val="auto"/>
              </w:rPr>
            </w:pPr>
            <w:r>
              <w:rPr>
                <w:rFonts w:ascii="Arial" w:cs="Arial" w:eastAsia="Arial" w:hAnsi="Arial"/>
                <w:sz w:val="18"/>
                <w:szCs w:val="18"/>
                <w:color w:val="auto"/>
              </w:rPr>
              <w:t>22,342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16,110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11,374</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CEEFF"/>
          </w:tcPr>
          <w:p>
            <w:pPr>
              <w:spacing w:after="0"/>
              <w:rPr>
                <w:sz w:val="18"/>
                <w:szCs w:val="18"/>
                <w:color w:val="auto"/>
              </w:rPr>
            </w:pPr>
          </w:p>
        </w:tc>
      </w:tr>
      <w:tr>
        <w:trPr>
          <w:trHeight w:val="222"/>
        </w:trPr>
        <w:tc>
          <w:tcPr>
            <w:tcW w:w="8540" w:type="dxa"/>
            <w:vAlign w:val="bottom"/>
          </w:tcPr>
          <w:p>
            <w:pPr>
              <w:ind w:left="440"/>
              <w:spacing w:after="0"/>
              <w:rPr>
                <w:sz w:val="20"/>
                <w:szCs w:val="20"/>
                <w:color w:val="auto"/>
              </w:rPr>
            </w:pPr>
            <w:r>
              <w:rPr>
                <w:rFonts w:ascii="Arial" w:cs="Arial" w:eastAsia="Arial" w:hAnsi="Arial"/>
                <w:sz w:val="18"/>
                <w:szCs w:val="18"/>
                <w:color w:val="auto"/>
              </w:rPr>
              <w:t>Total</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$ 226,723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$ 206,195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$ 235,898</w:t>
            </w:r>
          </w:p>
        </w:tc>
      </w:tr>
      <w:tr>
        <w:trPr>
          <w:trHeight w:val="20"/>
        </w:trPr>
        <w:tc>
          <w:tcPr>
            <w:tcW w:w="8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5580" w:right="2720" w:hanging="5572"/>
        <w:spacing w:after="0" w:line="440" w:lineRule="auto"/>
        <w:tabs>
          <w:tab w:leader="none" w:pos="451"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charges relating to the cost saving initiatives for the year ended December 31, 2013 of $9,099 (see Note 16). 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For purposes of calculating diluted net income per share, RSUs, DSUs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years ended December 31, 2015, 2014 and 2013, issuances of RSUs pertaining to such dividend participation rights and respective charges to “retained earnings”, net of estimated forfeitures (with corresponding credits to “additional paid-in-capital”), consisted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2015</w:t>
            </w:r>
          </w:p>
        </w:tc>
        <w:tc>
          <w:tcPr>
            <w:tcW w:w="120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2"/>
                <w:szCs w:val="12"/>
                <w:color w:val="auto"/>
              </w:rPr>
            </w:pPr>
          </w:p>
        </w:tc>
        <w:tc>
          <w:tcPr>
            <w:tcW w:w="66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6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Number of RSUs issued</w:t>
            </w:r>
          </w:p>
        </w:tc>
        <w:tc>
          <w:tcPr>
            <w:tcW w:w="2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693,714</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375,954</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454,059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$ 34,255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$ 17,536</w:t>
            </w: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$ 16,927</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Non-executive members of the Board of Directors (“Non-Executive Directors”) receive approximately 55% of their annual compensation for service on the Board of Directors and its committees in the form of DSUs, which resulted in 23,961, 26,360 and 39,315 DSUs granted in connection with annual compensation during the years ended December 31, 2015, 2014 and 2013,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 purposes of calculating diluted net income per share, are included in the diluted weighted average shares of Class A common stock outstanding using the “treasury stock” method. DSUs include a cash dividend participation right equivalent to any ordinary quarterly dividends paid on Class A common stock.</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in lieu of some or all of their cash fees. The number of DSUs granted to a Non-Executive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years ended December 31, 2015, 2014 and 2013, 2,482, 8,433 and 7,623 DSUs, respectively, had been granted pursuant to such Plan.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three-year period ended December 31, 2015:</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RSUs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060" w:type="dxa"/>
            <w:vAlign w:val="bottom"/>
            <w:gridSpan w:val="4"/>
          </w:tcPr>
          <w:p>
            <w:pPr>
              <w:jc w:val="center"/>
              <w:ind w:left="97"/>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Fair Value</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21,481,131</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204,496</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Granted (including 454,059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5,186,627</w:t>
            </w:r>
          </w:p>
        </w:tc>
        <w:tc>
          <w:tcPr>
            <w:tcW w:w="24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37.21</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46,938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(268,900)</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Vested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(9,768,849)</w:t>
            </w:r>
          </w:p>
        </w:tc>
        <w:tc>
          <w:tcPr>
            <w:tcW w:w="24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34.65</w:t>
            </w:r>
          </w:p>
        </w:tc>
        <w:tc>
          <w:tcPr>
            <w:tcW w:w="3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16,630,009</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251,434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Granted (including 375,954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3,825,737</w:t>
            </w:r>
          </w:p>
        </w:tc>
        <w:tc>
          <w:tcPr>
            <w:tcW w:w="24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42.59</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34,793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50.04</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(344,345)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(6,582,285)</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37.80</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13,529,116</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286,227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Granted (including 693,714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4,296,386</w:t>
            </w:r>
          </w:p>
        </w:tc>
        <w:tc>
          <w:tcPr>
            <w:tcW w:w="24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48.57</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26,443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(469,776)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(7,756,068)</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31.12</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9,599,658</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312,670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RSUs that vested during the years ended December 31, 2015, 2014 and 2013, the Company satisfied its minimum statutory tax withholding requirements in lieu of delivering 2,249,935, 1,896,930 and 3,651,050 shares of Class A common stock during such respective years. Accordingly, 5,506,133, 4,685,355 and 6,117,799 shares of Class A common stock held by the Company were delivered during the years ended December 31, 2015, 2014 and 2013, respectively.</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2015, estimated unrecognized RSU compensation expense was approximately $128,081, with such expense expected to be recognized over a weighted average period of approximately 0.8 years subsequent to December 31, 2015.</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three-year period ended December 31, 2015:</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9"/>
              </w:rPr>
              <w:t>Restricted</w:t>
            </w:r>
          </w:p>
        </w:tc>
        <w:tc>
          <w:tcPr>
            <w:tcW w:w="1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1,972,609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368,736</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36.74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(37,782)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(1,728,509)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575,054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449,911</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45.52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(13,336)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(281,802)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37.42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729,827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576,886</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50.88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(45,851)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(547,124)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39.50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713,738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years ended December 31, 2015, 2014 and 2013, the Company satisfied its minimum statutory tax withholding requirements in lieu of delivering 108,833, 43,905 and 18,599 shares of Class A common stock during such respective years. Accordingly, 438,291, 237,897 and 1,709,910 shares of Class A common stock held by the Company were delivered during the years ended December 31, 2015, 2014 and 2013, respectively.</w:t>
      </w:r>
    </w:p>
    <w:p>
      <w:pPr>
        <w:spacing w:after="0" w:line="143"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The restricted stock awards include a cash dividend participation right equivalent to any ordinary dividends paid on Class A common stock during the period, which will vest concurrently with the underlying restricted stock award. At December 31, 2015, estimated unrecognized restricted stock expense was approximately $15,230, with such expense to be recognized over a weighted average period of approximately 0.9 years subsequent to December 31, 2015.</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(with the exception of the PRSUs granted in 2013, for which (i) the performance period ended on December 31, 2014 and (ii) the number of shares of Class A common stock that may be received is equal to approximately 2.2 times the target number). The PRSUs granted in 2015 and 2014 will vest on a single date three years following the date of the grant and the PRSUs granted in 2013 vested 33% in March 2015 and will vest 67% in March 2016, in each case provided the applicable service and performance conditions are satisfied, other than with respect to the PRSUs granted in 2013, which performance conditions have been satisfied as of</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December 31, 2014.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PRSUs during the three-year period ended December 31, 2015:</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PRSUs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448,128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448,128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360,783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units earned (b)</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538,237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2014</w:t>
            </w: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37.79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7480" w:type="dxa"/>
            <w:vAlign w:val="bottom"/>
            <w:gridSpan w:val="2"/>
            <w:vMerge w:val="continue"/>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1,347,148</w:t>
            </w: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 (a)</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368,389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(696,499)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1,019,038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15" w:lineRule="exact"/>
        <w:rPr>
          <w:rFonts w:ascii="Arial" w:cs="Arial" w:eastAsia="Arial" w:hAnsi="Arial"/>
          <w:sz w:val="18"/>
          <w:szCs w:val="18"/>
          <w:color w:val="auto"/>
        </w:rPr>
      </w:pPr>
    </w:p>
    <w:p>
      <w:pPr>
        <w:ind w:left="460" w:right="160" w:hanging="452"/>
        <w:spacing w:after="0" w:line="261"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shares of Class A common stock earned during the fiscal year under the performance criteria of previously-granted PRSU awards in excess of the target payout level of such awards.</w:t>
      </w:r>
    </w:p>
    <w:p>
      <w:pPr>
        <w:spacing w:after="0" w:line="138" w:lineRule="exact"/>
        <w:rPr>
          <w:sz w:val="20"/>
          <w:szCs w:val="20"/>
          <w:color w:val="auto"/>
        </w:rPr>
      </w:pPr>
    </w:p>
    <w:p>
      <w:pPr>
        <w:ind w:right="680" w:firstLine="456"/>
        <w:spacing w:after="0" w:line="259" w:lineRule="auto"/>
        <w:rPr>
          <w:sz w:val="20"/>
          <w:szCs w:val="20"/>
          <w:color w:val="auto"/>
        </w:rPr>
      </w:pPr>
      <w:r>
        <w:rPr>
          <w:rFonts w:ascii="Arial" w:cs="Arial" w:eastAsia="Arial" w:hAnsi="Arial"/>
          <w:sz w:val="18"/>
          <w:szCs w:val="18"/>
          <w:color w:val="auto"/>
        </w:rPr>
        <w:t>In connection with PRSUs that vested during the year ended December 31, 2015, the Company satisfied its minimum statutory tax withholding requirements in lieu of issuing 32,086 shares of Class A common stock in the period. Accordingly, 664,413 shares of Class A common stock held by the Company were delivered during the year ended December 31, 2015.</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December 31, 2015, the total estimated unrecognized compensation expense was approximately $17,353, and the Company expects to amortize such expense over a weighted-average period of approximately 0.7 years subsequent to December 31, 2015.</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90"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is a summary of activity relating to LFI and other similar deferred compensation arrangements during the years ended December 31, 2015 and 2014:</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80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61"/>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r>
      <w:tr>
        <w:trPr>
          <w:trHeight w:val="210"/>
        </w:trPr>
        <w:tc>
          <w:tcPr>
            <w:tcW w:w="7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73,278</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89,817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89,817</w:t>
            </w:r>
          </w:p>
        </w:tc>
      </w:tr>
      <w:tr>
        <w:trPr>
          <w:trHeight w:val="230"/>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(96,223)</w:t>
            </w:r>
          </w:p>
        </w:tc>
      </w:tr>
      <w:tr>
        <w:trPr>
          <w:trHeight w:val="229"/>
        </w:trPr>
        <w:tc>
          <w:tcPr>
            <w:tcW w:w="78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(4,099)</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(8,052)</w:t>
            </w:r>
          </w:p>
        </w:tc>
      </w:tr>
      <w:tr>
        <w:trPr>
          <w:trHeight w:val="217"/>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(82,736)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Decrease in fair value of underlying investments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(3,827)</w:t>
            </w:r>
          </w:p>
        </w:tc>
      </w:tr>
      <w:tr>
        <w:trPr>
          <w:trHeight w:val="216"/>
        </w:trPr>
        <w:tc>
          <w:tcPr>
            <w:tcW w:w="78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1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6,780</w:t>
            </w: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(2,227)</w:t>
            </w: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Balance, December 31, 2015</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75,703</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193,574</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780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61"/>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r>
      <w:tr>
        <w:trPr>
          <w:trHeight w:val="210"/>
        </w:trPr>
        <w:tc>
          <w:tcPr>
            <w:tcW w:w="7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60,433</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92,728</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92,728</w:t>
            </w:r>
          </w:p>
        </w:tc>
      </w:tr>
      <w:tr>
        <w:trPr>
          <w:trHeight w:val="230"/>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(55,880)</w:t>
            </w:r>
          </w:p>
        </w:tc>
      </w:tr>
      <w:tr>
        <w:trPr>
          <w:trHeight w:val="229"/>
        </w:trPr>
        <w:tc>
          <w:tcPr>
            <w:tcW w:w="78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(2,634)</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(5,531)</w:t>
            </w:r>
          </w:p>
        </w:tc>
      </w:tr>
      <w:tr>
        <w:trPr>
          <w:trHeight w:val="217"/>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(76,508)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7,326</w:t>
            </w:r>
          </w:p>
        </w:tc>
      </w:tr>
      <w:tr>
        <w:trPr>
          <w:trHeight w:val="216"/>
        </w:trPr>
        <w:tc>
          <w:tcPr>
            <w:tcW w:w="78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1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8,748</w:t>
            </w: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(2,507)</w:t>
            </w: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Balance, December 31, 2014</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73,278</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207,306</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0.8 years subsequent to December 31, 2015.</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00"/>
          </w:cols>
          <w:pgMar w:left="240" w:top="459" w:right="3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is a summary of the impact of LFI and other similar deferred compensation arrangements on “compensation and benefits” expense within the accompanying consolidated statements of operations for the years ended December 31, 2015, 2014 and 2013:</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102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2"/>
                <w:szCs w:val="12"/>
                <w:color w:val="auto"/>
              </w:rPr>
            </w:pPr>
          </w:p>
        </w:tc>
        <w:tc>
          <w:tcPr>
            <w:tcW w:w="64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 (a)</w:t>
            </w:r>
          </w:p>
        </w:tc>
        <w:tc>
          <w:tcPr>
            <w:tcW w:w="10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$85,563</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$82,359</w:t>
            </w: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$62,197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0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(3,827)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7,326</w:t>
            </w:r>
          </w:p>
        </w:tc>
        <w:tc>
          <w:tcPr>
            <w:tcW w:w="5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81,736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89,685</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76,296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charges relating to the cost saving initiatives for the year ended December 31, 2013 of $2,665 (See Note 16).</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 Awards Granted In February 2016</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February 2016, the Company granted approximately $336,000 of deferred incentive compensation awards (including PRSUs valued at the target payout level) to eligible employees. These grants included: RSUs or shares of restricted Class A common stock; deferred incentive compensation awards that allow eligible employees the choice of receiving a portion of their award in a combination of (i) LFI and (ii) additional RSUs or shares of restricted Class A common stock; deferred cash awards; and a portion of fund managers’ year-end incentive compensation that is reinvested in certain asset management funds.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RSUs, restricted Class A common stock and LFI granted each provide for one-third vesting on or around March 1, 2018 and the remaining two-thirds vesting on or around March 1, 2019. The PRSUs granted provide for vesting on or around March 1, 2019, provided that the applicable service and performance conditions are satisfied, and will convert into Class A common stock within a range equal to zero to two times the target number of shares of Class A common stock subject to the awards. Compensation expense with respect to such incentive awards will generally be recognized over the vesting period, with such compensation expense to be recognized over a weighted average period of approximately 2.7 years.</w:t>
      </w:r>
    </w:p>
    <w:p>
      <w:pPr>
        <w:spacing w:after="0" w:line="237"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March 31, 2015, the Company and the Trustees of the U.K. defined benefit pension plans concluded the December 31, 2013 triennial valuations of the plans. In connection with such valuations, the Company and the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20"/>
          </w:cols>
          <w:pgMar w:left="240" w:top="459" w:right="3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Trustees agreed upon pension funding terms pursuant to which the Company agreed, among other things, (i) to make contributions of 11.2 million British pounds into the plans by way of three equal contributions at June 30, September 30 and December 31, 2015, and (ii) that the Company’s existing account security arrangement would be dissolved and the cash balance within such accounts would be paid into the plans by June 30, 2015. On June 4, 2015, the full balance of 11.2 million British pounds in the account security arrangement was paid into the plans, and as of December 31, 2015, contributions totaling an additional 11.2 million British pounds had been paid into the plans. At December 31, 2014, the balance of the account security arrangement was approximately $17,500 and was recorded in “cash deposited with clearing organizations and other segregated cash” on the accompanying consolidated statements of financial condition. Income on the account security arrangement accreted to the Company and was recorded in interest income.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does not expect to make a contribution to the U.S. and U.K. pension plans during the year ending December 31, 2016. The Company expects to contribute approximately $10,343 to the other non-U.S. pension plans during the year ending December 31, 2016.</w:t>
      </w:r>
    </w:p>
    <w:p>
      <w:pPr>
        <w:spacing w:after="0" w:line="13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following table summarizes the changes in the benefit obligations, the fair value of the assets, the funded status and amounts recognized in the consolidated statements of financial condition for the post-retirement plans. The Company uses December 31 as the measurement date for its post-retirement plans.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Pension</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Plans</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2015</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benefit obligation</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764,169</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709,850</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5,514</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30,041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(22,395)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97,495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(33,253)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(29,663)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 adjustments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(40,464)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(44,525)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Benefit obligation at end of year</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694,187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764,169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4,750</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5,514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672,576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643,844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91,829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(32,321)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(28,877)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Foreign currency translation and other adjustments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(33,345)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(41,868)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656,084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672,576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Funded (deficit) at end of year</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(38,103)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(91,593)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(4,750)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1"/>
              </w:rPr>
              <w:t>Amounts recognized in the consolidated statements of financial condition at December 31, 2015 and 2014</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consist of:</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Prepaid pension asset (included in “other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20,785</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benefit liability (included in “other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(58,888)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(91,593)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(4,750)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(5,514)</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(38,103)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(91,593)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(4,750)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3"/>
              </w:rPr>
              <w:t>Amounts recognized in AOCI (excluding tax benefits of $30,416 and $37,567 at December 31, 2015 and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 respectively) consist of:</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Actuarial net loss (gain)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165,462</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186,637</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Prior service cost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167,824</w:t>
            </w:r>
          </w:p>
        </w:tc>
        <w:tc>
          <w:tcPr>
            <w:tcW w:w="1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191,872</w:t>
            </w:r>
          </w:p>
        </w:tc>
        <w:tc>
          <w:tcPr>
            <w:tcW w:w="26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5580"/>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the fair value of plan assets, the accumulated benefit obligation and the projected benefit obligation at December 31, 2015 and 2014: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U.S. Pension Plans</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Non-U.S. Pension Plans</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9"/>
              </w:rPr>
              <w:t>Total</w:t>
            </w:r>
          </w:p>
        </w:tc>
      </w:tr>
      <w:tr>
        <w:trPr>
          <w:trHeight w:val="161"/>
        </w:trPr>
        <w:tc>
          <w:tcPr>
            <w:tcW w:w="4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As Of December 31,</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As Of December 31,</w:t>
            </w:r>
          </w:p>
        </w:tc>
        <w:tc>
          <w:tcPr>
            <w:tcW w:w="30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As Of December 31,</w:t>
            </w:r>
          </w:p>
        </w:tc>
      </w:tr>
      <w:tr>
        <w:trPr>
          <w:trHeight w:val="142"/>
        </w:trPr>
        <w:tc>
          <w:tcPr>
            <w:tcW w:w="4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2014</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980" w:type="dxa"/>
            <w:vAlign w:val="bottom"/>
            <w:tcBorders>
              <w:top w:val="single" w:sz="8" w:color="auto"/>
            </w:tcBorders>
            <w:gridSpan w:val="2"/>
          </w:tcPr>
          <w:p>
            <w:pPr>
              <w:jc w:val="center"/>
              <w:ind w:left="242"/>
              <w:spacing w:after="0" w:line="142" w:lineRule="exact"/>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2"/>
                <w:szCs w:val="12"/>
                <w:color w:val="auto"/>
              </w:rPr>
            </w:pP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w:t>
            </w:r>
          </w:p>
        </w:tc>
        <w:tc>
          <w:tcPr>
            <w:tcW w:w="1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$23,195</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$26,766</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$632,889</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$645,810</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$656,084</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$672,576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2720" w:type="dxa"/>
            <w:vAlign w:val="bottom"/>
            <w:gridSpan w:val="3"/>
          </w:tcPr>
          <w:p>
            <w:pPr>
              <w:jc w:val="center"/>
              <w:ind w:left="1432"/>
              <w:spacing w:after="0"/>
              <w:rPr>
                <w:sz w:val="20"/>
                <w:szCs w:val="20"/>
                <w:color w:val="auto"/>
              </w:rPr>
            </w:pPr>
            <w:r>
              <w:rPr>
                <w:rFonts w:ascii="Arial" w:cs="Arial" w:eastAsia="Arial" w:hAnsi="Arial"/>
                <w:sz w:val="18"/>
                <w:szCs w:val="18"/>
                <w:color w:val="auto"/>
                <w:w w:val="92"/>
              </w:rPr>
              <w:t>$32,900</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$37,035</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$661,287</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$727,134</w:t>
            </w:r>
          </w:p>
        </w:tc>
        <w:tc>
          <w:tcPr>
            <w:tcW w:w="9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$694,187</w:t>
            </w:r>
          </w:p>
        </w:tc>
        <w:tc>
          <w:tcPr>
            <w:tcW w:w="980" w:type="dxa"/>
            <w:vAlign w:val="bottom"/>
            <w:gridSpan w:val="2"/>
          </w:tcPr>
          <w:p>
            <w:pPr>
              <w:jc w:val="center"/>
              <w:ind w:left="242"/>
              <w:spacing w:after="0"/>
              <w:rPr>
                <w:sz w:val="20"/>
                <w:szCs w:val="20"/>
                <w:color w:val="auto"/>
              </w:rPr>
            </w:pPr>
            <w:r>
              <w:rPr>
                <w:rFonts w:ascii="Arial" w:cs="Arial" w:eastAsia="Arial" w:hAnsi="Arial"/>
                <w:sz w:val="18"/>
                <w:szCs w:val="18"/>
                <w:color w:val="auto"/>
                <w:w w:val="87"/>
              </w:rPr>
              <w:t>$764,169</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720" w:type="dxa"/>
            <w:vAlign w:val="bottom"/>
            <w:gridSpan w:val="3"/>
            <w:shd w:val="clear" w:color="auto" w:fill="CCEEFF"/>
          </w:tcPr>
          <w:p>
            <w:pPr>
              <w:jc w:val="center"/>
              <w:ind w:left="1432"/>
              <w:spacing w:after="0"/>
              <w:rPr>
                <w:sz w:val="20"/>
                <w:szCs w:val="20"/>
                <w:color w:val="auto"/>
              </w:rPr>
            </w:pPr>
            <w:r>
              <w:rPr>
                <w:rFonts w:ascii="Arial" w:cs="Arial" w:eastAsia="Arial" w:hAnsi="Arial"/>
                <w:sz w:val="18"/>
                <w:szCs w:val="18"/>
                <w:color w:val="auto"/>
                <w:w w:val="92"/>
              </w:rPr>
              <w:t>$32,900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$37,035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$661,287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$727,134</w:t>
            </w:r>
          </w:p>
        </w:tc>
        <w:tc>
          <w:tcPr>
            <w:tcW w:w="9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$694,187</w:t>
            </w:r>
          </w:p>
        </w:tc>
        <w:tc>
          <w:tcPr>
            <w:tcW w:w="980" w:type="dxa"/>
            <w:vAlign w:val="bottom"/>
            <w:gridSpan w:val="2"/>
            <w:shd w:val="clear" w:color="auto" w:fill="CCEEFF"/>
          </w:tcPr>
          <w:p>
            <w:pPr>
              <w:jc w:val="center"/>
              <w:ind w:left="242"/>
              <w:spacing w:after="0"/>
              <w:rPr>
                <w:sz w:val="20"/>
                <w:szCs w:val="20"/>
                <w:color w:val="auto"/>
              </w:rPr>
            </w:pPr>
            <w:r>
              <w:rPr>
                <w:rFonts w:ascii="Arial" w:cs="Arial" w:eastAsia="Arial" w:hAnsi="Arial"/>
                <w:sz w:val="18"/>
                <w:szCs w:val="18"/>
                <w:color w:val="auto"/>
                <w:w w:val="87"/>
              </w:rPr>
              <w:t>$764,169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(credit), the return on the Company’s post-retirement plan assets, benefits paid, contributions and other amounts recognized in AOCI for the years ended December 31, 2015, 2014 and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3"/>
              </w:rPr>
              <w:t>Pension Plans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Medical Plan</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For The Year Ended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For The Year Ended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2015</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2014</w:t>
            </w: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1,530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971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940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24,600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30,041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27,219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(28,301)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(32,607)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(27,078)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Prior service cost</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2,841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2,843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actuarial loss (gain)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5,645</w:t>
            </w:r>
          </w:p>
        </w:tc>
        <w:tc>
          <w:tcPr>
            <w:tcW w:w="6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5,606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7,615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9,873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91,829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41,353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39,301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7,648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2,274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32,321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28,877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23,258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changes in plan assets and benefit obligations recognized in AOCI</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w w:val="97"/>
              </w:rPr>
              <w:t>(excluding tax expense (benefit) of $7,151, $(7,119) and $(4,459) during the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years ended December 31, 2015, 2014 and 2013, respectively):</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actuarial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41,082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17,251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(695)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Reclassification of prior service (cost) credit to earnings</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(2,841)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(2,843)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actuarial gain (loss) to earnings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Currency translation and other adjustments</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(11,582)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(10,485)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3,284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recognized in AOCI</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(24,048)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23,396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14,001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(695)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 in total periodic benefit cost and AOCI</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(18,403)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29,002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21,616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
              <w:spacing w:after="0"/>
              <w:rPr>
                <w:sz w:val="20"/>
                <w:szCs w:val="20"/>
                <w:color w:val="auto"/>
              </w:rPr>
            </w:pPr>
            <w:r>
              <w:rPr>
                <w:rFonts w:ascii="Arial" w:cs="Arial" w:eastAsia="Arial" w:hAnsi="Arial"/>
                <w:sz w:val="18"/>
                <w:szCs w:val="18"/>
                <w:color w:val="auto"/>
              </w:rPr>
              <w:t>(489)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655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jc w:val="right"/>
              <w:ind w:right="192"/>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amounts in AOCI on the consolidated statement of financial condition as of December 31, 2015 that are expected to be recognized as components of net periodic benefit cost (credit) for the year ending December 31, 2016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Pension</w:t>
            </w:r>
          </w:p>
        </w:tc>
        <w:tc>
          <w:tcPr>
            <w:tcW w:w="9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Medical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0"/>
              </w:rPr>
              <w:t>Plans</w:t>
            </w:r>
          </w:p>
        </w:tc>
        <w:tc>
          <w:tcPr>
            <w:tcW w:w="100" w:type="dxa"/>
            <w:vAlign w:val="bottom"/>
          </w:tcPr>
          <w:p>
            <w:pPr>
              <w:spacing w:after="0"/>
              <w:rPr>
                <w:sz w:val="14"/>
                <w:szCs w:val="14"/>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Plan</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5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Prior service cost</w:t>
            </w:r>
          </w:p>
        </w:tc>
        <w:tc>
          <w:tcPr>
            <w:tcW w:w="3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$2,332</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$2,332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Net actuarial loss (gain)</w:t>
            </w:r>
          </w:p>
        </w:tc>
        <w:tc>
          <w:tcPr>
            <w:tcW w:w="4560" w:type="dxa"/>
            <w:vAlign w:val="bottom"/>
            <w:gridSpan w:val="3"/>
          </w:tcPr>
          <w:p>
            <w:pPr>
              <w:jc w:val="center"/>
              <w:ind w:left="3092"/>
              <w:spacing w:after="0"/>
              <w:rPr>
                <w:sz w:val="20"/>
                <w:szCs w:val="20"/>
                <w:color w:val="auto"/>
              </w:rPr>
            </w:pPr>
            <w:r>
              <w:rPr>
                <w:rFonts w:ascii="Arial" w:cs="Arial" w:eastAsia="Arial" w:hAnsi="Arial"/>
                <w:sz w:val="18"/>
                <w:szCs w:val="18"/>
                <w:color w:val="auto"/>
                <w:w w:val="90"/>
              </w:rPr>
              <w:t>$4,010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$4,010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assumptions used to develop actuarial present value of the projected benefit obligation and net periodic pension cost as of or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2014 and 2013 are set forth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Pension Plans</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3"/>
          </w:tcPr>
          <w:p>
            <w:pPr>
              <w:ind w:left="140"/>
              <w:spacing w:after="0"/>
              <w:rPr>
                <w:sz w:val="20"/>
                <w:szCs w:val="20"/>
                <w:color w:val="auto"/>
              </w:rPr>
            </w:pPr>
            <w:r>
              <w:rPr>
                <w:rFonts w:ascii="Arial" w:cs="Arial" w:eastAsia="Arial" w:hAnsi="Arial"/>
                <w:sz w:val="14"/>
                <w:szCs w:val="14"/>
                <w:b w:val="1"/>
                <w:bCs w:val="1"/>
                <w:color w:val="auto"/>
              </w:rPr>
              <w:t>Medical Plan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8"/>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680" w:type="dxa"/>
            <w:vAlign w:val="bottom"/>
            <w:gridSpan w:val="2"/>
          </w:tcPr>
          <w:p>
            <w:pPr>
              <w:ind w:left="340"/>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4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assumptions used to determine benefit obligations:</w:t>
            </w: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980" w:type="dxa"/>
            <w:vAlign w:val="bottom"/>
            <w:gridSpan w:val="3"/>
          </w:tcPr>
          <w:p>
            <w:pPr>
              <w:ind w:left="320"/>
              <w:spacing w:after="0"/>
              <w:rPr>
                <w:sz w:val="20"/>
                <w:szCs w:val="20"/>
                <w:color w:val="auto"/>
              </w:rPr>
            </w:pPr>
            <w:r>
              <w:rPr>
                <w:rFonts w:ascii="Arial" w:cs="Arial" w:eastAsia="Arial" w:hAnsi="Arial"/>
                <w:sz w:val="18"/>
                <w:szCs w:val="18"/>
                <w:color w:val="auto"/>
              </w:rPr>
              <w:t>3.4%</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4.3%</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3.9%</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3.7%</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4.3%</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 to determine net periodic benefit cost: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980" w:type="dxa"/>
            <w:vAlign w:val="bottom"/>
            <w:gridSpan w:val="3"/>
          </w:tcPr>
          <w:p>
            <w:pPr>
              <w:ind w:left="320"/>
              <w:spacing w:after="0"/>
              <w:rPr>
                <w:sz w:val="20"/>
                <w:szCs w:val="20"/>
                <w:color w:val="auto"/>
              </w:rPr>
            </w:pPr>
            <w:r>
              <w:rPr>
                <w:rFonts w:ascii="Arial" w:cs="Arial" w:eastAsia="Arial" w:hAnsi="Arial"/>
                <w:sz w:val="18"/>
                <w:szCs w:val="18"/>
                <w:color w:val="auto"/>
              </w:rPr>
              <w:t>2.0%</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3.3%</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3.7%</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4.3%</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3.4%</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long-term rate of return on plan assets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5.1%</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Healthcare cost trend rates used to determine net periodic benefit cost: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Initial</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Ultimate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5.0%</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5.0%</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5.0%</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Year ultimate trend rate achieved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2019</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2019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historical returns. This basis is consistent for all years presented.</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assumed cost of healthcare has an effect on the amounts reported for the Company’s medical plan. A 1% change in the assumed healthcare cost trend rate would increase (decrease) our cost and obligation as follows:</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1% Increase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1% Decrease</w:t>
            </w:r>
          </w:p>
        </w:tc>
      </w:tr>
      <w:tr>
        <w:trPr>
          <w:trHeight w:val="142"/>
        </w:trPr>
        <w:tc>
          <w:tcPr>
            <w:tcW w:w="28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8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210"/>
        </w:trPr>
        <w:tc>
          <w:tcPr>
            <w:tcW w:w="2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w:t>
            </w:r>
          </w:p>
        </w:tc>
        <w:tc>
          <w:tcPr>
            <w:tcW w:w="4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w:t>
            </w:r>
          </w:p>
        </w:tc>
        <w:tc>
          <w:tcPr>
            <w:tcW w:w="120" w:type="dxa"/>
            <w:vAlign w:val="bottom"/>
            <w:tcBorders>
              <w:top w:val="single" w:sz="8" w:color="CCEEFF"/>
            </w:tcBorders>
            <w:shd w:val="clear" w:color="auto" w:fill="CCEEFF"/>
          </w:tcPr>
          <w:p>
            <w:pPr>
              <w:spacing w:after="0"/>
              <w:rPr>
                <w:sz w:val="18"/>
                <w:szCs w:val="18"/>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Obligation</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661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779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(433)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(580)</w:t>
            </w:r>
          </w:p>
        </w:tc>
      </w:tr>
      <w:tr>
        <w:trPr>
          <w:trHeight w:val="356"/>
        </w:trPr>
        <w:tc>
          <w:tcPr>
            <w:tcW w:w="2880" w:type="dxa"/>
            <w:vAlign w:val="bottom"/>
          </w:tcPr>
          <w:p>
            <w:pPr>
              <w:spacing w:after="0"/>
              <w:rPr>
                <w:sz w:val="24"/>
                <w:szCs w:val="24"/>
                <w:color w:val="auto"/>
              </w:rPr>
            </w:pPr>
          </w:p>
        </w:tc>
        <w:tc>
          <w:tcPr>
            <w:tcW w:w="4360" w:type="dxa"/>
            <w:vAlign w:val="bottom"/>
          </w:tcPr>
          <w:p>
            <w:pPr>
              <w:jc w:val="right"/>
              <w:ind w:right="1892"/>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Expected Benefit Payments</w:t>
      </w:r>
      <w:r>
        <w:rPr>
          <w:rFonts w:ascii="Arial" w:cs="Arial" w:eastAsia="Arial" w:hAnsi="Arial"/>
          <w:sz w:val="18"/>
          <w:szCs w:val="18"/>
          <w:color w:val="auto"/>
        </w:rPr>
        <w:t>—The following table summarizes the expected benefit payments for the Company’s post-retirement plans for each of the next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five fiscal years and in the aggregate for the five fiscal years thereafter:</w:t>
      </w:r>
    </w:p>
    <w:p>
      <w:pPr>
        <w:spacing w:after="0" w:line="3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4"/>
                <w:szCs w:val="14"/>
                <w:b w:val="1"/>
                <w:bCs w:val="1"/>
                <w:color w:val="auto"/>
                <w:w w:val="99"/>
              </w:rPr>
              <w:t>Pension</w:t>
            </w:r>
          </w:p>
        </w:tc>
        <w:tc>
          <w:tcPr>
            <w:tcW w:w="46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Medical</w:t>
            </w: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80" w:type="dxa"/>
            <w:vAlign w:val="bottom"/>
          </w:tcPr>
          <w:p>
            <w:pPr>
              <w:jc w:val="right"/>
              <w:ind w:right="126"/>
              <w:spacing w:after="0"/>
              <w:rPr>
                <w:sz w:val="20"/>
                <w:szCs w:val="20"/>
                <w:color w:val="auto"/>
              </w:rPr>
            </w:pPr>
            <w:r>
              <w:rPr>
                <w:rFonts w:ascii="Arial" w:cs="Arial" w:eastAsia="Arial" w:hAnsi="Arial"/>
                <w:sz w:val="14"/>
                <w:szCs w:val="14"/>
                <w:b w:val="1"/>
                <w:bCs w:val="1"/>
                <w:color w:val="auto"/>
              </w:rPr>
              <w:t>Plans</w:t>
            </w:r>
          </w:p>
        </w:tc>
        <w:tc>
          <w:tcPr>
            <w:tcW w:w="46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Plan</w:t>
            </w: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3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$ 23,902</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354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2017</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24,678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2019</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27,789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2021-2025</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158,469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1,682</w:t>
            </w:r>
          </w:p>
        </w:tc>
        <w:tc>
          <w:tcPr>
            <w:tcW w:w="80" w:type="dxa"/>
            <w:vAlign w:val="bottom"/>
          </w:tcPr>
          <w:p>
            <w:pPr>
              <w:spacing w:after="0"/>
              <w:rPr>
                <w:sz w:val="19"/>
                <w:szCs w:val="19"/>
                <w:color w:val="auto"/>
              </w:rPr>
            </w:pPr>
          </w:p>
        </w:tc>
      </w:tr>
    </w:tbl>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Plan Assets</w:t>
      </w:r>
      <w:r>
        <w:rPr>
          <w:rFonts w:ascii="Arial" w:cs="Arial" w:eastAsia="Arial" w:hAnsi="Arial"/>
          <w:sz w:val="18"/>
          <w:szCs w:val="18"/>
          <w:color w:val="auto"/>
        </w:rPr>
        <w:t>—The following tables present the categorization of our pension plans’ assets as of December 31, 2015 and 2014, measured at fair value, into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 value hierarchy and investments measured at NAV or its equivalent as a practical expedient in accordance with fair value measurement disclosure requirements: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4"/>
              </w:rPr>
              <w:t>As of December 31, 2015</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8"/>
              </w:rPr>
              <w:t>Level 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4"/>
              </w:rPr>
              <w:t>Level 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90"/>
              </w:rPr>
              <w:t>NAV (a)</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1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19,172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56,247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25,901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Arial" w:cs="Arial" w:eastAsia="Arial" w:hAnsi="Arial"/>
                <w:sz w:val="18"/>
                <w:szCs w:val="18"/>
                <w:color w:val="auto"/>
              </w:rPr>
              <w:t>Alternative investments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325,312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337,011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80" w:type="dxa"/>
            <w:vAlign w:val="bottom"/>
            <w:gridSpan w:val="2"/>
          </w:tcPr>
          <w:p>
            <w:pPr>
              <w:ind w:left="440"/>
              <w:spacing w:after="0"/>
              <w:rPr>
                <w:sz w:val="20"/>
                <w:szCs w:val="20"/>
                <w:color w:val="auto"/>
              </w:rPr>
            </w:pPr>
            <w:r>
              <w:rPr>
                <w:rFonts w:ascii="Arial" w:cs="Arial" w:eastAsia="Arial" w:hAnsi="Arial"/>
                <w:sz w:val="18"/>
                <w:szCs w:val="18"/>
                <w:color w:val="auto"/>
              </w:rPr>
              <w:t>Equity</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210,897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217,144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324,584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332,084</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656,668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3"/>
            <w:vMerge w:val="restart"/>
          </w:tcPr>
          <w:p>
            <w:pPr>
              <w:ind w:left="58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Derivatives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8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51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584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December 31, 2014 (b)</w:t>
            </w: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8"/>
              </w:rPr>
              <w:t>Level 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4"/>
              </w:rPr>
              <w:t>Level 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90"/>
              </w:rPr>
              <w:t>NAV (a)</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1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13,226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52,439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31,253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Arial" w:cs="Arial" w:eastAsia="Arial" w:hAnsi="Arial"/>
                <w:sz w:val="18"/>
                <w:szCs w:val="18"/>
                <w:color w:val="auto"/>
              </w:rPr>
              <w:t>Alternative investments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359,315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372,885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194,898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6,536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201,434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Derivatives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305,843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366,429</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672,576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332"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Represents certain investments measured at NAV or its equivalent as a practical expedient in determining fair value. In accordance with current accounting guidance, these investments have not been classified in the fair value hierarchy. See Note 3 for additional information.</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table as of December 31, 2014 reflects the retrospective application of new disclosure guidance adopted by the Company for investments using NAV or its equivalent as a practical expedient when measuring fair value. See Note 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Included in equity funds are $70,444 and $70,490 as of December 31, 2015 and 2014, respectively, that are invested in funds managed by LAM.</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Consistent with the plans’ investment strategies, at December 31, 2015 and 2014, the Company’s U.S. pension plan had 50% and 49%, respectively, of the plans’ assets invested in equity funds in Level 1 and measured at NAV or its equivalent as a practical expedient and 50% and 51%, respectively, invested in Level 1 debt funds. The Company’s non-U.S. pension plans at December 31, 2015 and 2014 had 37% and 34%, respectively, of the plans’ assets invested in equities and equity funds that are primarily Level 1 assets; 60% and 64%, respectively of the plans’ assets invested in debt and debt funds that are primarily measured at NAV or its equivalent as a practical expedient, and 3% and 2%, respectively, of the plans’ assets invested in cash, which is a Level 1 asset, or in alternative investment funds that are primarily Level 1 assets.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Investment Policies and Strategies</w:t>
      </w:r>
      <w:r>
        <w:rPr>
          <w:rFonts w:ascii="Arial" w:cs="Arial" w:eastAsia="Arial" w:hAnsi="Arial"/>
          <w:sz w:val="16"/>
          <w:szCs w:val="16"/>
          <w:color w:val="auto"/>
        </w:rPr>
        <w:t>—The primary investment goal is to ensure that the plans remain well funded, taking account of the likely future risks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returns and contributions. As a result, a portfolio of assets is maintained with appropriate liquidity and diversification that can be expected to generate long-term future returns that minimize the long-term costs of the pension plans without exposing the trust to an unacceptable risk of under-funding. The Company’s likely future ability to pay such contributions as are required to maintain the funded status of the plans over a reasonable time period is considered when determining the level of risk that is appropriate. The fair value of plan investments classified as Level 1 assets are based on market quotes. The fair value of plan investments measured at NAV or its equivalent as a practical expedient is determined based on information provided by external fund administrators and such investments are redeemable in the near term.</w:t>
      </w:r>
    </w:p>
    <w:p>
      <w:pPr>
        <w:spacing w:after="0" w:line="11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b w:val="1"/>
          <w:bCs w:val="1"/>
          <w:i w:val="1"/>
          <w:iCs w:val="1"/>
          <w:color w:val="auto"/>
        </w:rPr>
        <w:t>Defined Contribution Plans</w:t>
      </w:r>
      <w:r>
        <w:rPr>
          <w:rFonts w:ascii="Arial" w:cs="Arial" w:eastAsia="Arial" w:hAnsi="Arial"/>
          <w:sz w:val="18"/>
          <w:szCs w:val="18"/>
          <w:color w:val="auto"/>
        </w:rPr>
        <w:t>—Pursuant to certain matching contributions, the Company contributes to employer sponsored defined contribution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contributions amounted to $12,493, $11,904 and $11,778 for the years ended December 31, 2015, 2014 and 2013, respectively, which are included in “compensation and benefits” expense on the consolidated statements of operations.</w:t>
      </w:r>
    </w:p>
    <w:p>
      <w:pPr>
        <w:spacing w:after="0" w:line="262"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SAVING INITIATIVES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October 2012, the Company announced cost saving initiatives (the “Cost Saving Initiatives”) relating to the Company’s operations. These initiatives included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Expenses associated with the implementation of the Cost Saving Initiatives were completed during the year ended December 31, 2013. The Company incurred these expenses, by segment, as reflected in the tables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8"/>
              </w:rPr>
              <w:t>Financial</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Asset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0"/>
              </w:rPr>
              <w:t>Advisory</w:t>
            </w:r>
          </w:p>
        </w:tc>
        <w:tc>
          <w:tcPr>
            <w:tcW w:w="6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3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2013:</w:t>
            </w:r>
          </w:p>
        </w:tc>
        <w:tc>
          <w:tcPr>
            <w:tcW w:w="2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$45,746</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236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5,417</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11,272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60" w:type="dxa"/>
            <w:vAlign w:val="bottom"/>
            <w:vMerge w:val="continue"/>
          </w:tcPr>
          <w:p>
            <w:pPr>
              <w:spacing w:after="0"/>
              <w:rPr>
                <w:sz w:val="19"/>
                <w:szCs w:val="19"/>
                <w:color w:val="auto"/>
              </w:rPr>
            </w:pPr>
          </w:p>
        </w:tc>
        <w:tc>
          <w:tcPr>
            <w:tcW w:w="2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47,779</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235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16,689</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64,703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100" w:type="dxa"/>
            <w:vAlign w:val="bottom"/>
            <w:vMerge w:val="restart"/>
          </w:tcPr>
          <w:p>
            <w:pPr>
              <w:jc w:val="right"/>
              <w:ind w:right="392"/>
              <w:spacing w:after="0"/>
              <w:rPr>
                <w:sz w:val="20"/>
                <w:szCs w:val="20"/>
                <w:color w:val="auto"/>
              </w:rPr>
            </w:pPr>
            <w:r>
              <w:rPr>
                <w:rFonts w:ascii="Arial" w:cs="Arial" w:eastAsia="Arial" w:hAnsi="Arial"/>
                <w:sz w:val="18"/>
                <w:szCs w:val="18"/>
                <w:color w:val="auto"/>
              </w:rPr>
              <w:t>120</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Lazard Ltd, through its subsidiaries, is subject to U.S. federal income taxes on all of its U.S. operating income, as well as on the portion of non-U.S. income attributable to its U.S. subsidiaries. Outside the U.S., Lazard Group operates principally through subsidiary corporations that are subject to local income taxes in foreign jurisdictions. Lazard Group is also subject to UBT attributable to its operations apportioned to New York City.</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The Company provides for U.S. income taxes on a current basis for those earnings. The repatriation of prior earnings attributable to “non-pass-through” entities would not result in the recognition of a material amount of additional U.S. income taxes.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components of the Company’s provision (benefit) for income taxes for the years ended December 31, 2015, 2014 and 2013, and a reconciliation of the U.S. federal statutory income tax rate to the Company’s effective tax rates for such years, are shown below.</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88"/>
              </w:rPr>
              <w:t>Year Ended December 31,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Federal</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32"/>
              <w:spacing w:after="0"/>
              <w:rPr>
                <w:sz w:val="20"/>
                <w:szCs w:val="20"/>
                <w:color w:val="auto"/>
              </w:rPr>
            </w:pPr>
            <w:r>
              <w:rPr>
                <w:rFonts w:ascii="Arial" w:cs="Arial" w:eastAsia="Arial" w:hAnsi="Arial"/>
                <w:sz w:val="18"/>
                <w:szCs w:val="18"/>
                <w:color w:val="auto"/>
              </w:rPr>
              <w:t>8,177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3,112</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 (3,678)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78,086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61,143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State and local (primarily UBT)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32"/>
              <w:spacing w:after="0"/>
              <w:rPr>
                <w:sz w:val="20"/>
                <w:szCs w:val="20"/>
                <w:color w:val="auto"/>
              </w:rPr>
            </w:pPr>
            <w:r>
              <w:rPr>
                <w:rFonts w:ascii="Arial" w:cs="Arial" w:eastAsia="Arial" w:hAnsi="Arial"/>
                <w:sz w:val="18"/>
                <w:szCs w:val="18"/>
                <w:color w:val="auto"/>
              </w:rPr>
              <w:t>4,970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5,519</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91,233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69,774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Deferred:</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(988,900)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2,766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Foreign</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72"/>
              <w:spacing w:after="0"/>
              <w:rPr>
                <w:sz w:val="20"/>
                <w:szCs w:val="20"/>
                <w:color w:val="auto"/>
              </w:rPr>
            </w:pPr>
            <w:r>
              <w:rPr>
                <w:rFonts w:ascii="Arial" w:cs="Arial" w:eastAsia="Arial" w:hAnsi="Arial"/>
                <w:sz w:val="18"/>
                <w:szCs w:val="18"/>
                <w:color w:val="auto"/>
              </w:rPr>
              <w:t>(3,960)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9,239</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(107,925)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3,623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Total deferred</w:t>
            </w: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72"/>
              <w:spacing w:after="0"/>
              <w:rPr>
                <w:sz w:val="20"/>
                <w:szCs w:val="20"/>
                <w:color w:val="auto"/>
              </w:rPr>
            </w:pPr>
            <w:r>
              <w:rPr>
                <w:rFonts w:ascii="Arial" w:cs="Arial" w:eastAsia="Arial" w:hAnsi="Arial"/>
                <w:sz w:val="18"/>
                <w:szCs w:val="18"/>
                <w:color w:val="auto"/>
                <w:w w:val="86"/>
              </w:rPr>
              <w:t>(1,100,785)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15,628</w:t>
            </w:r>
          </w:p>
        </w:tc>
        <w:tc>
          <w:tcPr>
            <w:tcW w:w="580" w:type="dxa"/>
            <w:vAlign w:val="bottom"/>
          </w:tcPr>
          <w:p>
            <w:pPr>
              <w:jc w:val="right"/>
              <w:spacing w:after="0"/>
              <w:rPr>
                <w:sz w:val="20"/>
                <w:szCs w:val="20"/>
                <w:color w:val="auto"/>
              </w:rPr>
            </w:pPr>
            <w:r>
              <w:rPr>
                <w:rFonts w:ascii="Arial" w:cs="Arial" w:eastAsia="Arial" w:hAnsi="Arial"/>
                <w:sz w:val="18"/>
                <w:szCs w:val="18"/>
                <w:color w:val="auto"/>
              </w:rPr>
              <w:t>14,454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6"/>
              </w:rPr>
              <w:t>(1,009,552)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85,402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51,693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88"/>
              </w:rPr>
              <w:t>Year Ended December 31,</w:t>
            </w: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income tax rate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Income of noncontrolling interests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32"/>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(0.5)</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Foreign source income not subject to U.S. income tax</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419.4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Foreign taxes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72"/>
              <w:spacing w:after="0"/>
              <w:rPr>
                <w:sz w:val="20"/>
                <w:szCs w:val="20"/>
                <w:color w:val="auto"/>
              </w:rPr>
            </w:pPr>
            <w:r>
              <w:rPr>
                <w:rFonts w:ascii="Arial" w:cs="Arial" w:eastAsia="Arial" w:hAnsi="Arial"/>
                <w:sz w:val="18"/>
                <w:szCs w:val="18"/>
                <w:color w:val="auto"/>
              </w:rPr>
              <w:t>(361.6)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8.2</w:t>
            </w:r>
          </w:p>
        </w:tc>
        <w:tc>
          <w:tcPr>
            <w:tcW w:w="58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taxes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522.2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Change in U.S. federal valuation allowance</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32"/>
              <w:spacing w:after="0"/>
              <w:rPr>
                <w:sz w:val="20"/>
                <w:szCs w:val="20"/>
                <w:color w:val="auto"/>
              </w:rPr>
            </w:pPr>
            <w:r>
              <w:rPr>
                <w:rFonts w:ascii="Arial" w:cs="Arial" w:eastAsia="Arial" w:hAnsi="Arial"/>
                <w:sz w:val="18"/>
                <w:szCs w:val="18"/>
                <w:color w:val="auto"/>
              </w:rPr>
              <w:t>5,477.0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(18.7)</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Effective income tax rate (a)</w:t>
            </w: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72"/>
              <w:spacing w:after="0"/>
              <w:rPr>
                <w:sz w:val="20"/>
                <w:szCs w:val="20"/>
                <w:color w:val="auto"/>
              </w:rPr>
            </w:pPr>
            <w:r>
              <w:rPr>
                <w:rFonts w:ascii="Arial" w:cs="Arial" w:eastAsia="Arial" w:hAnsi="Arial"/>
                <w:sz w:val="18"/>
                <w:szCs w:val="18"/>
                <w:color w:val="auto"/>
              </w:rPr>
              <w:t>6,074.3%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16.4%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line="256"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the year ended December 31, 2015, the effective tax rate on “operating income (loss)” includes (i) the significant effect of the release of substantially all of our valuation allowance on deferred tax assets and the recognition of deferred tax assets associated with the recording of the tax receivable agreement obligation, as described below, and (ii) the negative impact on “operating income (loss)” as a result of the provision pursuant to the tax receivable agreement described below.</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20 regarding “operating income (loss)” by geographic region.</w:t>
      </w:r>
    </w:p>
    <w:p>
      <w:pPr>
        <w:spacing w:after="0" w:line="171"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79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9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Basis adjustments (a)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727,696</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598,607</w:t>
            </w: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204,780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258,976</w:t>
            </w:r>
          </w:p>
        </w:tc>
      </w:tr>
      <w:tr>
        <w:trPr>
          <w:trHeight w:val="216"/>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Net operating loss and tax credit carryforwards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309,811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283,198</w:t>
            </w: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r>
      <w:tr>
        <w:trPr>
          <w:trHeight w:val="223"/>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36,154</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36,470</w:t>
            </w:r>
          </w:p>
        </w:tc>
        <w:tc>
          <w:tcPr>
            <w:tcW w:w="100" w:type="dxa"/>
            <w:vAlign w:val="bottom"/>
          </w:tcPr>
          <w:p>
            <w:pPr>
              <w:spacing w:after="0"/>
              <w:rPr>
                <w:sz w:val="19"/>
                <w:szCs w:val="19"/>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1,279,281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1,178,201</w:t>
            </w:r>
          </w:p>
        </w:tc>
      </w:tr>
      <w:tr>
        <w:trPr>
          <w:trHeight w:val="223"/>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Valuation allowance</w:t>
            </w:r>
          </w:p>
        </w:tc>
        <w:tc>
          <w:tcPr>
            <w:tcW w:w="8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(89,251)</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(1,044,152)</w:t>
            </w: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assets (net of valuation allowance)</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1,190,030</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134,049</w:t>
            </w:r>
          </w:p>
        </w:tc>
        <w:tc>
          <w:tcPr>
            <w:tcW w:w="100" w:type="dxa"/>
            <w:vAlign w:val="bottom"/>
            <w:shd w:val="clear" w:color="auto" w:fill="CCEEFF"/>
          </w:tcPr>
          <w:p>
            <w:pPr>
              <w:spacing w:after="0"/>
              <w:rPr>
                <w:sz w:val="18"/>
                <w:szCs w:val="18"/>
                <w:color w:val="auto"/>
              </w:rPr>
            </w:pPr>
          </w:p>
        </w:tc>
      </w:tr>
      <w:tr>
        <w:trPr>
          <w:trHeight w:val="229"/>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17,629</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21,908</w:t>
            </w:r>
          </w:p>
        </w:tc>
      </w:tr>
      <w:tr>
        <w:trPr>
          <w:trHeight w:val="216"/>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Compensation and benefits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9,332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28,035</w:t>
            </w: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15,289</w:t>
            </w:r>
          </w:p>
        </w:tc>
      </w:tr>
      <w:tr>
        <w:trPr>
          <w:trHeight w:val="223"/>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39,705</w:t>
            </w:r>
          </w:p>
        </w:tc>
        <w:tc>
          <w:tcPr>
            <w:tcW w:w="100" w:type="dxa"/>
            <w:vAlign w:val="bottom"/>
          </w:tcPr>
          <w:p>
            <w:pPr>
              <w:spacing w:after="0"/>
              <w:rPr>
                <w:sz w:val="19"/>
                <w:szCs w:val="19"/>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liabilities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70,539</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104,937</w:t>
            </w:r>
          </w:p>
        </w:tc>
        <w:tc>
          <w:tcPr>
            <w:tcW w:w="100" w:type="dxa"/>
            <w:vAlign w:val="bottom"/>
            <w:shd w:val="clear" w:color="auto" w:fill="CCEEFF"/>
          </w:tcPr>
          <w:p>
            <w:pPr>
              <w:spacing w:after="0"/>
              <w:rPr>
                <w:sz w:val="18"/>
                <w:szCs w:val="18"/>
                <w:color w:val="auto"/>
              </w:rPr>
            </w:pPr>
          </w:p>
        </w:tc>
      </w:tr>
      <w:tr>
        <w:trPr>
          <w:trHeight w:val="222"/>
        </w:trPr>
        <w:tc>
          <w:tcPr>
            <w:tcW w:w="9100" w:type="dxa"/>
            <w:vAlign w:val="bottom"/>
            <w:gridSpan w:val="2"/>
          </w:tcPr>
          <w:p>
            <w:pPr>
              <w:ind w:left="880"/>
              <w:spacing w:after="0"/>
              <w:rPr>
                <w:sz w:val="20"/>
                <w:szCs w:val="20"/>
                <w:color w:val="auto"/>
              </w:rPr>
            </w:pPr>
            <w:r>
              <w:rPr>
                <w:rFonts w:ascii="Arial" w:cs="Arial" w:eastAsia="Arial" w:hAnsi="Arial"/>
                <w:sz w:val="18"/>
                <w:szCs w:val="18"/>
                <w:color w:val="auto"/>
              </w:rPr>
              <w:t>Net deferred tax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1,119,491</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29,112</w:t>
            </w:r>
          </w:p>
        </w:tc>
      </w:tr>
      <w:tr>
        <w:trPr>
          <w:trHeight w:val="20"/>
        </w:trPr>
        <w:tc>
          <w:tcPr>
            <w:tcW w:w="11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80" w:hanging="452"/>
        <w:spacing w:after="0" w:line="332"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basis adjustments recorded as of December 31, 2015 and 2014 are primarily the result of additional basis from acquisitions of interests, including the impact of recording the tax receivable agreement obligation during the year ended December 31, 2015, discussed below.</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December 31, 2014, the Company had a valuation allowance on substantially all of our deferred tax assets. Certain of our tax-paying entities at which we have historically recorded significant valuation allowances were profitable on a cumulative basis for the three year periods ended June 30, 2015. In assessing our valuation allowance as of June 30, 2015, we considered all available information, including the magnitude of recent and current operating results, the relatively long duration of statutory carryforward periods, our historical experience utilizing tax attributes prior to their expiration dates, the historical volatility of operating results of these entities and our assessment regarding the sustainability of their profitability. At that time, we concluded that there was a sufficient history of sustained profitability at these entities that it was more likely than not that these entities would be able to realize deferred tax assets. Accordingly, during the period ended June 30, 2015, we released substantially all of the valuation allowance against the deferred tax assets held by these entities.</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As a result, during the year ended December 31, 2015, we recorded a deferred tax benefit of approximately $878,000. In addition, included in basis adjustments, we also recorded (i) a separate deferred tax benefit of approximately $378,000 that reflected the tax deductibility of payments under the tax receivable agreement and (ii) a deferred tax expense of approximately $161,000 relating to the reduction of a deferred tax asset as a result of the partial extinguishment of our tax receivable agreement obligation. See “—Tax Receivable Agreement” below for more information regarding our accrual under the tax receivable agreement in the second quarter of 2015 and the partial extinguishment of our tax receivable agreement obligation in the third quarter of 2015.</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Changes in the deferred tax assets valuation allowance for the years ended December 31, 2015, 2014 and 2013 was as follows:</w:t>
      </w:r>
    </w:p>
    <w:p>
      <w:pPr>
        <w:sectPr>
          <w:pgSz w:w="11900" w:h="16838" w:orient="portrait"/>
          <w:cols w:equalWidth="0" w:num="1">
            <w:col w:w="11320"/>
          </w:cols>
          <w:pgMar w:left="24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Beginning Balance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Credited to provision (benefit) for income taxes (a)</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Charged (credited) to other comprehensive income</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r>
      <w:tr>
        <w:trPr>
          <w:trHeight w:val="215"/>
        </w:trPr>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1,044,152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$ 1,225,305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1,238,765</w:t>
            </w: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(954,487)</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(203,051)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(35,470)</w:t>
            </w:r>
          </w:p>
        </w:tc>
      </w:tr>
      <w:tr>
        <w:trPr>
          <w:trHeight w:val="231"/>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(414)</w:t>
            </w:r>
          </w:p>
        </w:tc>
        <w:tc>
          <w:tcPr>
            <w:tcW w:w="5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22,010</w:t>
            </w:r>
          </w:p>
        </w:tc>
        <w:tc>
          <w:tcPr>
            <w:tcW w:w="60" w:type="dxa"/>
            <w:vAlign w:val="bottom"/>
          </w:tcPr>
          <w:p>
            <w:pPr>
              <w:spacing w:after="0"/>
              <w:rPr>
                <w:sz w:val="20"/>
                <w:szCs w:val="20"/>
                <w:color w:val="auto"/>
              </w:rPr>
            </w:pPr>
          </w:p>
        </w:tc>
      </w:tr>
      <w:tr>
        <w:trPr>
          <w:trHeight w:val="237"/>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89,251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$ 1,044,152</w:t>
            </w:r>
          </w:p>
        </w:tc>
        <w:tc>
          <w:tcPr>
            <w:tcW w:w="26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1,225,305</w:t>
            </w:r>
          </w:p>
        </w:tc>
        <w:tc>
          <w:tcPr>
            <w:tcW w:w="60" w:type="dxa"/>
            <w:vAlign w:val="bottom"/>
          </w:tcPr>
          <w:p>
            <w:pPr>
              <w:spacing w:after="0"/>
              <w:rPr>
                <w:sz w:val="20"/>
                <w:szCs w:val="20"/>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-625475</wp:posOffset>
            </wp:positionV>
            <wp:extent cx="6080125"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80125" cy="146050"/>
                    </a:xfrm>
                    <a:prstGeom prst="rect">
                      <a:avLst/>
                    </a:prstGeom>
                    <a:noFill/>
                  </pic:spPr>
                </pic:pic>
              </a:graphicData>
            </a:graphic>
          </wp:anchor>
        </w:drawing>
        <w:drawing>
          <wp:anchor simplePos="0" relativeHeight="251657728" behindDoc="1" locked="0" layoutInCell="0" allowOverlap="1">
            <wp:simplePos x="0" y="0"/>
            <wp:positionH relativeFrom="column">
              <wp:posOffset>-3703955</wp:posOffset>
            </wp:positionH>
            <wp:positionV relativeFrom="paragraph">
              <wp:posOffset>-334010</wp:posOffset>
            </wp:positionV>
            <wp:extent cx="6080125"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6040" w:space="720"/>
            <w:col w:w="4560"/>
          </w:cols>
          <w:pgMar w:left="240" w:top="459" w:right="339" w:bottom="1440" w:gutter="0" w:footer="0" w:header="0"/>
          <w:type w:val="continuous"/>
        </w:sectPr>
      </w:pPr>
    </w:p>
    <w:p>
      <w:pPr>
        <w:ind w:left="460" w:right="280" w:hanging="452"/>
        <w:spacing w:after="0" w:line="268"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Of the amount in 2014 of $203,051, approximately $106,000 is due primarily to the remeasurement of certain deferred tax assets with a corresponding valuation allowance.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had net operating loss and tax credit carryforwards for which related deferred tax assets of $309,811 were recorded at December 31, 2015 primarily relating to:</w:t>
      </w:r>
    </w:p>
    <w:p>
      <w:pPr>
        <w:spacing w:after="0" w:line="51" w:lineRule="exact"/>
        <w:rPr>
          <w:sz w:val="20"/>
          <w:szCs w:val="20"/>
          <w:color w:val="auto"/>
        </w:rPr>
      </w:pPr>
    </w:p>
    <w:p>
      <w:pPr>
        <w:ind w:left="900" w:right="70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indefinite-lived carryforwards (subject to various limitations) of approximately $24,892, primarily in Germany, Hong Kong, Luxembourg, Singapore, Spain and U.K.;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certain carryforwards of approximately $281,483 in the U.S., which begin expiring in 2029.</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result of certain realization requirements regarding share-based incentive plan awards, certain deferred tax assets pertaining to tax deductions related to equity compensation in excess of compensation recognized for financial reporting that would otherwise have been recognized at December 31, 2015 and 2014 of $111,587 and $46,633 are not included in the deferred tax assets and liabilities table above. The impact of such excess tax deductions will be recorded in stockholders’ equity if and when such deferred tax assets are ultimately realized.</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With few exceptions, the Company is no longer subject to income tax examination by foreign tax authorities and by U.S. federal, state and local tax authorities for years prior to 2011. While we are under examination in various tax jurisdictions with respect to certain open years, the Company does not expect that the result of any final determination related to these examinations will have a material impact on its financial statements. Developments with respect to such examinations are monitored on an ongoing basis and adjustments to tax liabilities are made as appropriate.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20"/>
          </w:cols>
          <w:pgMar w:left="240" w:top="459" w:right="33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reconciliation of the beginning to the ending amount of gross unrecognized tax benefits (excluding interest and penalties) for the years ended December 31, 2015, 2014 and 2013 is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69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9"/>
              </w:rPr>
              <w:t>Balance, January 1 (excluding interest and penalties of $13,004, $12,200 and $14,799,</w:t>
            </w: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$ 68,224</w:t>
            </w:r>
          </w:p>
        </w:tc>
        <w:tc>
          <w:tcPr>
            <w:tcW w:w="24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$ 62,905</w:t>
            </w:r>
          </w:p>
        </w:tc>
        <w:tc>
          <w:tcPr>
            <w:tcW w:w="4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$55,947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Increases in gross unrecognized tax benefits relating to tax positions taken during:</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Prior years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tcPr>
          <w:p>
            <w:pPr>
              <w:ind w:left="440"/>
              <w:spacing w:after="0"/>
              <w:rPr>
                <w:sz w:val="20"/>
                <w:szCs w:val="20"/>
                <w:color w:val="auto"/>
              </w:rPr>
            </w:pPr>
            <w:r>
              <w:rPr>
                <w:rFonts w:ascii="Arial" w:cs="Arial" w:eastAsia="Arial" w:hAnsi="Arial"/>
                <w:sz w:val="18"/>
                <w:szCs w:val="18"/>
                <w:color w:val="auto"/>
              </w:rPr>
              <w:t>Current year</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22,212</w:t>
            </w:r>
          </w:p>
        </w:tc>
        <w:tc>
          <w:tcPr>
            <w:tcW w:w="24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18,698</w:t>
            </w:r>
          </w:p>
        </w:tc>
        <w:tc>
          <w:tcPr>
            <w:tcW w:w="4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17,596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Decreases in gross unrecognized tax benefits relating to:</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tcPr>
          <w:p>
            <w:pPr>
              <w:ind w:left="440"/>
              <w:spacing w:after="0"/>
              <w:rPr>
                <w:sz w:val="20"/>
                <w:szCs w:val="20"/>
                <w:color w:val="auto"/>
              </w:rPr>
            </w:pPr>
            <w:r>
              <w:rPr>
                <w:rFonts w:ascii="Arial" w:cs="Arial" w:eastAsia="Arial" w:hAnsi="Arial"/>
                <w:sz w:val="18"/>
                <w:szCs w:val="18"/>
                <w:color w:val="auto"/>
              </w:rPr>
              <w:t>Tax positions taken during prior years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32"/>
              <w:spacing w:after="0"/>
              <w:rPr>
                <w:sz w:val="20"/>
                <w:szCs w:val="20"/>
                <w:color w:val="auto"/>
              </w:rPr>
            </w:pPr>
            <w:r>
              <w:rPr>
                <w:rFonts w:ascii="Arial" w:cs="Arial" w:eastAsia="Arial" w:hAnsi="Arial"/>
                <w:sz w:val="18"/>
                <w:szCs w:val="18"/>
                <w:color w:val="auto"/>
              </w:rPr>
              <w:t>(621)</w:t>
            </w:r>
          </w:p>
        </w:tc>
        <w:tc>
          <w:tcPr>
            <w:tcW w:w="1340" w:type="dxa"/>
            <w:vAlign w:val="bottom"/>
            <w:gridSpan w:val="5"/>
          </w:tcPr>
          <w:p>
            <w:pPr>
              <w:jc w:val="right"/>
              <w:ind w:right="380"/>
              <w:spacing w:after="0"/>
              <w:rPr>
                <w:sz w:val="20"/>
                <w:szCs w:val="20"/>
                <w:color w:val="auto"/>
              </w:rPr>
            </w:pPr>
            <w:r>
              <w:rPr>
                <w:rFonts w:ascii="Arial" w:cs="Arial" w:eastAsia="Arial" w:hAnsi="Arial"/>
                <w:sz w:val="18"/>
                <w:szCs w:val="18"/>
                <w:color w:val="auto"/>
              </w:rPr>
              <w:t>(3,191)</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with tax authorities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920" w:type="dxa"/>
            <w:vAlign w:val="bottom"/>
          </w:tcPr>
          <w:p>
            <w:pPr>
              <w:ind w:left="440"/>
              <w:spacing w:after="0"/>
              <w:rPr>
                <w:sz w:val="20"/>
                <w:szCs w:val="20"/>
                <w:color w:val="auto"/>
              </w:rPr>
            </w:pPr>
            <w:r>
              <w:rPr>
                <w:rFonts w:ascii="Arial" w:cs="Arial" w:eastAsia="Arial" w:hAnsi="Arial"/>
                <w:sz w:val="18"/>
                <w:szCs w:val="18"/>
                <w:color w:val="auto"/>
              </w:rPr>
              <w:t>Lapse of the applicable statute of limitations</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132"/>
              <w:spacing w:after="0"/>
              <w:rPr>
                <w:sz w:val="20"/>
                <w:szCs w:val="20"/>
                <w:color w:val="auto"/>
              </w:rPr>
            </w:pPr>
            <w:r>
              <w:rPr>
                <w:rFonts w:ascii="Arial" w:cs="Arial" w:eastAsia="Arial" w:hAnsi="Arial"/>
                <w:sz w:val="18"/>
                <w:szCs w:val="18"/>
                <w:color w:val="auto"/>
              </w:rPr>
              <w:t>(12,535)</w:t>
            </w:r>
          </w:p>
        </w:tc>
        <w:tc>
          <w:tcPr>
            <w:tcW w:w="1340" w:type="dxa"/>
            <w:vAlign w:val="bottom"/>
            <w:gridSpan w:val="5"/>
          </w:tcPr>
          <w:p>
            <w:pPr>
              <w:jc w:val="right"/>
              <w:ind w:right="380"/>
              <w:spacing w:after="0"/>
              <w:rPr>
                <w:sz w:val="20"/>
                <w:szCs w:val="20"/>
                <w:color w:val="auto"/>
              </w:rPr>
            </w:pPr>
            <w:r>
              <w:rPr>
                <w:rFonts w:ascii="Arial" w:cs="Arial" w:eastAsia="Arial" w:hAnsi="Arial"/>
                <w:sz w:val="18"/>
                <w:szCs w:val="18"/>
                <w:color w:val="auto"/>
              </w:rPr>
              <w:t>(13,025)</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 December 31 (excluding interest and penalties of $13,083, $13,004 and $12,200,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$ 77,280</w:t>
            </w:r>
          </w:p>
        </w:tc>
        <w:tc>
          <w:tcPr>
            <w:tcW w:w="24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$ 68,224</w:t>
            </w:r>
          </w:p>
        </w:tc>
        <w:tc>
          <w:tcPr>
            <w:tcW w:w="4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62,905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Additional information with respect to unrecognized tax benefits is as follows:</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0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94"/>
              </w:rPr>
              <w:t>Year Ended December 31,</w:t>
            </w: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3"/>
          </w:tcPr>
          <w:p>
            <w:pPr>
              <w:jc w:val="center"/>
              <w:ind w:left="116"/>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69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2"/>
              </w:rPr>
              <w:t>Unrecognized tax benefits at the end of the year that, if recognized, would favorably affect the</w:t>
            </w: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effective tax rate (includes interest and penalties of $13,083, $13,004 and $12,200,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$74,785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center"/>
              <w:ind w:left="96"/>
              <w:spacing w:after="0"/>
              <w:rPr>
                <w:sz w:val="20"/>
                <w:szCs w:val="20"/>
                <w:color w:val="auto"/>
              </w:rPr>
            </w:pPr>
            <w:r>
              <w:rPr>
                <w:rFonts w:ascii="Arial" w:cs="Arial" w:eastAsia="Arial" w:hAnsi="Arial"/>
                <w:sz w:val="18"/>
                <w:szCs w:val="18"/>
                <w:color w:val="auto"/>
                <w:w w:val="89"/>
              </w:rPr>
              <w:t>$40,353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$36,272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w w:val="92"/>
              </w:rPr>
              <w:t>Offset to deferred tax assets for unrecognized tax benefits that, if recognized, would not affect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6920" w:type="dxa"/>
            <w:vAlign w:val="bottom"/>
          </w:tcPr>
          <w:p>
            <w:pPr>
              <w:ind w:left="220"/>
              <w:spacing w:after="0"/>
              <w:rPr>
                <w:sz w:val="20"/>
                <w:szCs w:val="20"/>
                <w:color w:val="auto"/>
              </w:rPr>
            </w:pPr>
            <w:r>
              <w:rPr>
                <w:rFonts w:ascii="Arial" w:cs="Arial" w:eastAsia="Arial" w:hAnsi="Arial"/>
                <w:sz w:val="18"/>
                <w:szCs w:val="18"/>
                <w:color w:val="auto"/>
              </w:rPr>
              <w:t>the effective tax rate</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$15,578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center"/>
              <w:ind w:left="96"/>
              <w:spacing w:after="0"/>
              <w:rPr>
                <w:sz w:val="20"/>
                <w:szCs w:val="20"/>
                <w:color w:val="auto"/>
              </w:rPr>
            </w:pPr>
            <w:r>
              <w:rPr>
                <w:rFonts w:ascii="Arial" w:cs="Arial" w:eastAsia="Arial" w:hAnsi="Arial"/>
                <w:sz w:val="18"/>
                <w:szCs w:val="18"/>
                <w:color w:val="auto"/>
                <w:w w:val="89"/>
              </w:rPr>
              <w:t>$40,875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$38,833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w w:val="97"/>
              </w:rPr>
              <w:t>Interest and penalties recognized in current income tax expense (after giving effect to the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reversal of interest and penalties of $3,865, $3,177 and $7,326, respectively)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center"/>
              <w:ind w:left="96"/>
              <w:spacing w:after="0"/>
              <w:rPr>
                <w:sz w:val="20"/>
                <w:szCs w:val="20"/>
                <w:color w:val="auto"/>
              </w:rPr>
            </w:pPr>
            <w:r>
              <w:rPr>
                <w:rFonts w:ascii="Arial" w:cs="Arial" w:eastAsia="Arial" w:hAnsi="Arial"/>
                <w:sz w:val="18"/>
                <w:szCs w:val="18"/>
                <w:color w:val="auto"/>
              </w:rPr>
              <w:t>$   804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 (2,599)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anticipates that it is reasonably possible that approximately $17,000 of unrecognized tax benefits, including interest and penalties recorded at December 31, 2015 may be recognized within 12 months as a result of the lapse of the statute of limitations in various tax jurisdictions.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connection with our initial public offering and related transactions in May 2005, we entered into a tax receivable agreement with the predecessor of LMDC Holdings on May 10, 2005 (the “Tax Receivable Agreement”). The agreement was based on the mutual recognition that the redemption of Lazard Group membership interests that were held by the historical partners of Lazard Group on May 10, 2005 for cash resulted in an increase in the tax basis of the tangible and intangible assets of Lazard Group attributable to our subsidiaries’ interest in Lazard Group that otherwise would not have been available. The agreement also was based on the mutual recognition that the exchange from time to time by such historical partners of exchangeable interests in LAZ-MD Holdings LLC for shares of our Class A common stock could subsequently result in additional increases in such tax basis.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June 16, 2015, Lazard and LMDC Holdings amended and restated the Tax Receivable Agreement and, on October 26, 2015, Lazard and LTBP Trust, a Delaware statutory trust (the “Trust”), entered into a Second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Amended and Restated Tax Receivable Agreement (the “Amended and Restated Tax Receivable Agreement”). Pursuant to these transactions, among other things,</w:t>
      </w:r>
    </w:p>
    <w:p>
      <w:pPr>
        <w:spacing w:after="0" w:line="50" w:lineRule="exact"/>
        <w:rPr>
          <w:sz w:val="20"/>
          <w:szCs w:val="20"/>
          <w:color w:val="auto"/>
        </w:rPr>
      </w:pPr>
    </w:p>
    <w:p>
      <w:pPr>
        <w:ind w:right="360" w:firstLine="8"/>
        <w:spacing w:after="0" w:line="295" w:lineRule="auto"/>
        <w:tabs>
          <w:tab w:leader="none" w:pos="210" w:val="left"/>
        </w:tabs>
        <w:numPr>
          <w:ilvl w:val="0"/>
          <w:numId w:val="86"/>
        </w:numPr>
        <w:rPr>
          <w:rFonts w:ascii="Arial" w:cs="Arial" w:eastAsia="Arial" w:hAnsi="Arial"/>
          <w:sz w:val="16"/>
          <w:szCs w:val="16"/>
          <w:color w:val="auto"/>
        </w:rPr>
      </w:pPr>
      <w:r>
        <w:rPr>
          <w:rFonts w:ascii="Arial" w:cs="Arial" w:eastAsia="Arial" w:hAnsi="Arial"/>
          <w:sz w:val="16"/>
          <w:szCs w:val="16"/>
          <w:color w:val="auto"/>
        </w:rPr>
        <w:t>LMDC Holdings assigned all of its obligations under the Tax Receivable Agreement, including the obligation to receive payments and promptly distribute them to historical partners of Lazard Group, to LTBP Trust, and the Trust assumed all of LMDC Holdings’ obligations thereunder, (ii) LMDC Holdings distributed the interests in the Trust to certain owners of LMDC Holdings, and (iii) holders of interests in the Trust obtained the ability, subject to certain restrictions and conditions, to transfer such interests to certain additional persons and entities, including Lazard.</w:t>
      </w:r>
    </w:p>
    <w:p>
      <w:pPr>
        <w:spacing w:after="0" w:line="11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Amended and Restated Tax Receivable Agreement provides for the payment by our subsidiaries to the Trust of (i) approximately 45% (following the July 2015 purchase described below) of the amount of cash savings, if any, in U.S. federal, state and local income tax or franchise tax that we actually realize as a result of the increases in tax basis and of certain other tax benefits related to the Amended and Restated Tax Receivable Agreement, and (ii) an amount that we currently expect will approximate 85% of the cash tax savings that may arise from tax benefits attributable to payments under the Amended and Restated Tax Receivable Agreement. Our subsidiaries expect to benefit from the balance of cash savings, if any, in income tax that our subsidiaries realize. Any amount paid by our subsidiaries to the Trust will generally be distributed to the owners of the Trust, including our executive officers, in proportion to their beneficial interests in the Trust.</w:t>
      </w:r>
    </w:p>
    <w:p>
      <w:pPr>
        <w:spacing w:after="0" w:line="147" w:lineRule="exact"/>
        <w:rPr>
          <w:sz w:val="20"/>
          <w:szCs w:val="20"/>
          <w:color w:val="auto"/>
        </w:rPr>
      </w:pPr>
    </w:p>
    <w:p>
      <w:pPr>
        <w:ind w:right="460" w:firstLine="456"/>
        <w:spacing w:after="0" w:line="294" w:lineRule="auto"/>
        <w:rPr>
          <w:sz w:val="20"/>
          <w:szCs w:val="20"/>
          <w:color w:val="auto"/>
        </w:rPr>
      </w:pPr>
      <w:r>
        <w:rPr>
          <w:rFonts w:ascii="Arial" w:cs="Arial" w:eastAsia="Arial" w:hAnsi="Arial"/>
          <w:sz w:val="16"/>
          <w:szCs w:val="16"/>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the tangible and intangible assets of Lazard Group attributable to our subsidiaries’ interest in Lazard Group as a result of the redemption and exchanges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described above, during the period ended June 30, 2015, we released substantially all of our valuation allowance against deferred tax assets. As a result, we accrued a corresponding liability of $961,948 during the quarter ended June 30, 2015 for amounts relating to the Amended and Restated Tax Receivable Agreement at that time.</w:t>
      </w:r>
    </w:p>
    <w:p>
      <w:pPr>
        <w:spacing w:after="0" w:line="140"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consolidated statement of operations. Adjustments, if necessary, to the related deferred tax assets would be recorded through the “provision (benefit) for income taxes”.</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July 2015, we purchased approximately 47% of the then-outstanding beneficial interests in the Trust from certain owners of the Trust for $42,222 in cash, which resulted in the automatic cancellation of such beneficial interests and the extinguishment of a significant portion of our payment obligations under the Amended and Restated Tax Receivable Agreement. The extinguishment of these payment obligations resulted in a pre-tax gain of $420,792 recorded in “provision pursuant to tax receivable agreement” on the consolidated statement of operations for the year ended December 31, 2015. In addition, the extinguishment of these payment obligations resulted in a reduction of the tax benefits that would have been attributable to the actual payments and, accordingly, we recorded a deferred tax expense of approximately $161,000 on the consolidated statement of operations for the year ended December 31, 2015.</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cumulative liability relating to our obligations under the Amended and Restated Tax Receivable Agreement as of December 31, 2015 was $523,962.</w:t>
      </w:r>
    </w:p>
    <w:p>
      <w:pPr>
        <w:spacing w:after="0" w:line="316"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Company’s basic and diluted net income per share calculations for the years ended December 31, 2015, 2014 and 2013 are computed as described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years, plus applicable adjustments to such net income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of shares of Class A common stock issuable on a non-contingent basis.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years, plus applicable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such shares associated with shares of Class A common stock issuable on a non-contingent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years as in the basic net income per share calculation described above, plus,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applicable and dilutive, (i) changes in net income attributable to noncontrolling interests resulting from assumed Class A common stock issuances in connection with share-based incentive compensation and, in 2014 and 2013, on an “as-if-exchanged” basis, amounts applicable to LAZ-MD Holdings exchangeable interests and (ii) income tax related to (i) above.</w:t>
      </w:r>
    </w:p>
    <w:p>
      <w:pPr>
        <w:spacing w:after="0" w:line="143"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i w:val="1"/>
          <w:iCs w:val="1"/>
          <w:color w:val="auto"/>
        </w:rPr>
        <w:t>Denominator</w:t>
      </w:r>
      <w:r>
        <w:rPr>
          <w:rFonts w:ascii="Arial" w:cs="Arial" w:eastAsia="Arial" w:hAnsi="Arial"/>
          <w:sz w:val="15"/>
          <w:szCs w:val="15"/>
          <w:color w:val="auto"/>
        </w:rPr>
        <w:t>—utilizes the weighted average number of shares of Class A common stock outstanding for the respective years as in the basic net income per</w:t>
      </w:r>
      <w:r>
        <w:rPr>
          <w:rFonts w:ascii="Arial" w:cs="Arial" w:eastAsia="Arial" w:hAnsi="Arial"/>
          <w:sz w:val="15"/>
          <w:szCs w:val="15"/>
          <w:i w:val="1"/>
          <w:iCs w:val="1"/>
          <w:color w:val="auto"/>
        </w:rPr>
        <w:t xml:space="preserve"> </w:t>
      </w:r>
      <w:r>
        <w:rPr>
          <w:rFonts w:ascii="Arial" w:cs="Arial" w:eastAsia="Arial" w:hAnsi="Arial"/>
          <w:sz w:val="15"/>
          <w:szCs w:val="15"/>
          <w:color w:val="auto"/>
        </w:rPr>
        <w:t>share calculation described above, plus, to the extent dilutive, the incremental number of shares of Class A common stock required to settle share-based incentive compensation and, in 2014 and 2013, LAZ-MD Holdings exchangeable interests, using the “treasury stock” method or the “as-if-exchanged” basis, as applicable.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calculations of the Company’s basic and diluted net income per share and weighted average shares outstanding for the years ended December 31, 2015, 2014 and 2013 are presented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1"/>
              </w:rPr>
              <w:t>Year Ended December 31,</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Lazard Ltd - basic</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427,277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income relating to interest expense and changes in net income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attributable to noncontrolling interests resulting from assumed Class A common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9"/>
              </w:rPr>
              <w:t>stock issuances in connection with share-based incentive compensation, and, in 2014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2013, exchangeable interests, net of tax</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581</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Lazard Ltd - diluted</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$986,373</w:t>
            </w:r>
          </w:p>
        </w:tc>
        <w:tc>
          <w:tcPr>
            <w:tcW w:w="4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427,858</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6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125,294,261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121,942,939</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120,096,305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w w:val="94"/>
              </w:rPr>
              <w:t>Add - adjustment for shares of Class A common stock issuable on a non-contingent basis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72,011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408,897</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757,962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 - basic</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125,366,272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122,351,836</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120,854,267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Weighted average number of incremental shares of Class A common stock issuable from</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0"/>
              </w:rPr>
              <w:t>share-based incentive compensation and, in 2014 and 2013, exchangeable interests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7,878,274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11,461,287</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12,882,812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of Class A common stock outstanding - diluted</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133,244,546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133,813,123</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133,737,079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per share of Class A common stock:</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0"/>
          <w:szCs w:val="10"/>
          <w:color w:val="auto"/>
        </w:rPr>
        <w:t>2</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December 31, 2015, LFNY’s regulatory net capital was $118,303, which exceeded the minimum requirement by $114,849. LFNY’s aggregate indebtedness to net capital ratio was 0.44:1 as of December 31, 2015.</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December 31, 2015, the aggregate regulatory net capital of the U.K. Subsidiaries was $118,558, which exceeded the minimum requirement by $101,176.</w:t>
      </w:r>
    </w:p>
    <w:p>
      <w:pPr>
        <w:spacing w:after="0" w:line="14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December 31, 2015, the consolidated regulatory net capital of CFLF was $130,151, which exceeded the minimum requirement set for regulatory capital levels by $89,918.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December 31, 2015, the regulatory net capital of the combined European regulated group was $165,662, which exceeded the minimum requirement set for regulatory capital levels by $91,445.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December 31, 2015, for those subsidiaries with regulatory capital requirements, their aggregate net capital was $121,713, which exceeded the minimum required capital by $94,750.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2015, each of these subsidiaries individually was in compliance with its regulatory capital requirements.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254"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of Notes to Consolidated Financial Statements. In addition, as described in Note 1 above, the Company records selected other activities in its Corporate segment.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60"/>
          </w:cols>
          <w:pgMar w:left="240" w:top="459" w:right="2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years ended December 31, 2015, 2014 and 2013 is prepared using the following methodology:</w:t>
      </w:r>
    </w:p>
    <w:p>
      <w:pPr>
        <w:spacing w:after="0" w:line="113"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For the years ended December 31, 2015, 2014 and 2013, no individual client constituted more than 10% of the net revenue of any of the Company’s business segments.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240" w:top="459" w:right="4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w w:val="97"/>
              </w:rPr>
              <w:t>As Of Or 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2013(b)</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1,279,628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1,206,734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1,005,837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977,681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959,668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229,053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763,374</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785,557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714,708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 Management</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1,111,105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1,134,595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1,039,130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736,798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749,345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704,045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385,250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640,034</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588,403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(37,125)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(40,882)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627,593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53,956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104,832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(664,718)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(94,838)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3,083,358</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1,958,276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1,684,411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2,353,608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2,300,447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1,985,352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2,370,228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1,780,982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1,768,545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519,465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4,486,766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3,332,236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3,011,137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of property as set forth in table below.</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2015</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Asset Management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2,957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2,610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25,416</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27,028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26,938</w:t>
            </w:r>
          </w:p>
        </w:tc>
        <w:tc>
          <w:tcPr>
            <w:tcW w:w="80" w:type="dxa"/>
            <w:vAlign w:val="bottom"/>
            <w:shd w:val="clear" w:color="auto" w:fill="CCEEFF"/>
          </w:tcPr>
          <w:p>
            <w:pPr>
              <w:spacing w:after="0"/>
              <w:rPr>
                <w:sz w:val="18"/>
                <w:szCs w:val="18"/>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32,785</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34,464</w:t>
            </w:r>
          </w:p>
        </w:tc>
        <w:tc>
          <w:tcPr>
            <w:tcW w:w="4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34,750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See Note 16 for information regarding the Cost Saving Initiatives and the impact on each of the Company’s business segments.</w:t>
      </w:r>
    </w:p>
    <w:p>
      <w:pPr>
        <w:spacing w:after="0" w:line="15" w:lineRule="exact"/>
        <w:rPr>
          <w:rFonts w:ascii="Arial" w:cs="Arial" w:eastAsia="Arial" w:hAnsi="Arial"/>
          <w:sz w:val="18"/>
          <w:szCs w:val="18"/>
          <w:color w:val="auto"/>
        </w:rPr>
      </w:pPr>
    </w:p>
    <w:p>
      <w:pPr>
        <w:ind w:left="460" w:right="60" w:hanging="452"/>
        <w:spacing w:after="0" w:line="323"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Operating expenses include $547,691, $18,307 and $1,249 for the years ended December 31, 2015, 2014 and 2013, respectively, recorded for the provision pursuant to the tax receivable agreement. See Note 17 for information regarding the tax receivable agreement obligation.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4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sets forth the net revenue from, and identifiable assets for, the Company and its consolidated subsidiaries by geographic region allocated on the basis described above.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0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As Of Or For The Year Ended December 31,</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880" w:type="dxa"/>
            <w:vAlign w:val="bottom"/>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3740" w:type="dxa"/>
            <w:vAlign w:val="bottom"/>
            <w:tcBorders>
              <w:bottom w:val="single" w:sz="8" w:color="CCEEFF"/>
            </w:tcBorders>
          </w:tcPr>
          <w:p>
            <w:pPr>
              <w:spacing w:after="0"/>
              <w:rPr>
                <w:sz w:val="10"/>
                <w:szCs w:val="10"/>
                <w:color w:val="auto"/>
              </w:rPr>
            </w:pPr>
          </w:p>
        </w:tc>
        <w:tc>
          <w:tcPr>
            <w:tcW w:w="20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1,310,577</w:t>
            </w:r>
          </w:p>
        </w:tc>
        <w:tc>
          <w:tcPr>
            <w:tcW w:w="2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1,308,220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1,217,014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307,072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France</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350,841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376,432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Western Europe</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Rest of World</w:t>
            </w:r>
          </w:p>
        </w:tc>
        <w:tc>
          <w:tcPr>
            <w:tcW w:w="2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233,226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187,375</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2,353,608</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2,300,447</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1,985,352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ind w:left="860"/>
              <w:spacing w:after="0"/>
              <w:rPr>
                <w:sz w:val="20"/>
                <w:szCs w:val="20"/>
                <w:color w:val="auto"/>
              </w:rPr>
            </w:pPr>
            <w:r>
              <w:rPr>
                <w:rFonts w:ascii="Arial" w:cs="Arial" w:eastAsia="Arial" w:hAnsi="Arial"/>
                <w:sz w:val="18"/>
                <w:szCs w:val="18"/>
                <w:color w:val="auto"/>
              </w:rPr>
              <w:t>Operating Income (Loss):</w:t>
            </w:r>
          </w:p>
        </w:tc>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gridSpan w:val="3"/>
            <w:vMerge w:val="continue"/>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 (a)</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(259,344)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320,082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United Kingdom</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70,742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61,744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France</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Other Western Europe</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22,277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12,634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 of World</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(17,551)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40" w:type="dxa"/>
            <w:vAlign w:val="bottom"/>
            <w:vMerge w:val="restart"/>
          </w:tcPr>
          <w:p>
            <w:pPr>
              <w:ind w:left="140"/>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4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(16,620)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519,465</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216,807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2,809,683</w:t>
            </w:r>
          </w:p>
        </w:tc>
        <w:tc>
          <w:tcPr>
            <w:tcW w:w="2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1,840,882</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1,529,695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282,403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France</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992,541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809,241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824,712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Western Europe</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125,921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Rest of World</w:t>
            </w:r>
          </w:p>
        </w:tc>
        <w:tc>
          <w:tcPr>
            <w:tcW w:w="2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276,218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279,640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4,486,766</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3,332,236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3,011,137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370" w:lineRule="auto"/>
        <w:tabs>
          <w:tab w:leader="none" w:pos="4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Operating income (loss) for the United States includes $547,691, $18,307 and $1,249 for the years ended December 31, 2015, 2014 and 2013, respectively, recorded for the provision pursuant to the tax receivable agreement. See Note 17 for information regarding the tax receivable agreement obligation.</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(UNAUDITED)</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following represents the Company’s unaudited quarterly results for the years ended December 31, 2015 and 2014.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2015 Fiscal Quarter</w:t>
            </w: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2"/>
              </w:rPr>
              <w:t>First(a)</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4"/>
              </w:rPr>
              <w:t>Second(b)</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4"/>
              </w:rPr>
              <w:t>Third(b)</w:t>
            </w:r>
          </w:p>
        </w:tc>
        <w:tc>
          <w:tcPr>
            <w:tcW w:w="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9"/>
              </w:rPr>
              <w:t>Fourth(b)</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40" w:type="dxa"/>
            <w:vAlign w:val="bottom"/>
            <w:gridSpan w:val="9"/>
          </w:tcPr>
          <w:p>
            <w:pPr>
              <w:jc w:val="center"/>
              <w:ind w:right="260"/>
              <w:spacing w:after="0" w:line="142" w:lineRule="exact"/>
              <w:rPr>
                <w:sz w:val="20"/>
                <w:szCs w:val="20"/>
                <w:color w:val="auto"/>
              </w:rPr>
            </w:pPr>
            <w:r>
              <w:rPr>
                <w:rFonts w:ascii="Arial" w:cs="Arial" w:eastAsia="Arial" w:hAnsi="Arial"/>
                <w:sz w:val="14"/>
                <w:szCs w:val="14"/>
                <w:b w:val="1"/>
                <w:bCs w:val="1"/>
                <w:color w:val="auto"/>
                <w:w w:val="85"/>
              </w:rPr>
              <w:t>(dollars in thousands, except per share data)</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$ 577,749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609,092</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$ 573,518</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$ 593,249</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$ 2,353,608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503,086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1,410,468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453,900</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2,370,228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(801,376)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$ 570,744</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$ 139,349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(16,620)</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62,646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375,155</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$ 399,790</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$ 155,341</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992,932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Less - net income (loss) attributable to noncontrolling interests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Lazard Ltd</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55,953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374,113</w:t>
            </w:r>
          </w:p>
        </w:tc>
        <w:tc>
          <w:tcPr>
            <w:tcW w:w="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$ 398,521</w:t>
            </w:r>
          </w:p>
        </w:tc>
        <w:tc>
          <w:tcPr>
            <w:tcW w:w="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$ 157,786</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986,373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Lazard Ltd Class A common stockholders: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Net income per share of common stock:</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 of common stock</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2014 Fiscal Quarter</w:t>
            </w: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2"/>
              </w:rPr>
              <w:t>First</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8"/>
              </w:rPr>
              <w:t>Second</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7"/>
              </w:rPr>
              <w:t>Third</w:t>
            </w:r>
          </w:p>
        </w:tc>
        <w:tc>
          <w:tcPr>
            <w:tcW w:w="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Fourth</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40" w:type="dxa"/>
            <w:vAlign w:val="bottom"/>
            <w:gridSpan w:val="9"/>
          </w:tcPr>
          <w:p>
            <w:pPr>
              <w:jc w:val="center"/>
              <w:ind w:right="260"/>
              <w:spacing w:after="0" w:line="142" w:lineRule="exact"/>
              <w:rPr>
                <w:sz w:val="20"/>
                <w:szCs w:val="20"/>
                <w:color w:val="auto"/>
              </w:rPr>
            </w:pPr>
            <w:r>
              <w:rPr>
                <w:rFonts w:ascii="Arial" w:cs="Arial" w:eastAsia="Arial" w:hAnsi="Arial"/>
                <w:sz w:val="14"/>
                <w:szCs w:val="14"/>
                <w:b w:val="1"/>
                <w:bCs w:val="1"/>
                <w:color w:val="auto"/>
                <w:w w:val="85"/>
              </w:rPr>
              <w:t>(dollars in thousands, except per share data)</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$ 533,400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566,896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$ 566,211</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$ 633,940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$ 2,300,447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426,220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452,499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434,347</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1,780,982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$ 107,180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98,980</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$ 113,712</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$ 199,593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85,429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85,909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89,920</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$ 172,805</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434,063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Less - net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color w:val="auto"/>
              </w:rPr>
              <w:t>Net income attributable to Lazard Ltd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80,842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85,192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88,859</w:t>
            </w:r>
          </w:p>
        </w:tc>
        <w:tc>
          <w:tcPr>
            <w:tcW w:w="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$ 172,384</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427,277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Lazard Ltd Class A common stockholders: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Net income per share of common stock:</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$0.67</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 of common stock</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See Note 11 for information regarding the debt refinancing.</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See Note 17 for information regarding the provision pursuant to the tax receivable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changes in or disagreements with accountants on accounting and financial disclosure during the last two fiscal years.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December 31, 2015 (the end of the period covered by this Annual Report on Form 10-K). Based on that evaluation, our Chief Executive Officer and Chief Financial Officer have concluded that, as of the end of the period covered by this Annual Report on Form</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Management’s Report on Internal Controls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20"/>
          </w:cols>
          <w:pgMar w:left="240" w:top="459" w:right="3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Information regarding members of the Board of Directors, including its audit committee and audit committee financial expert, as well as information regarding our Code of Business Conduct and Ethics that applies to our Chief Executive Officer and senior financial officers, will be presented in Lazard Ltd’s definitive proxy statement for its 2016 annual general meeting of shareholders, which will be held in April 2016, and is incorporated herein by reference. Information regarding our executive officers is included in Part I of this Annual Report on Form 10-K under the caption “Executive Officers of the Registrant.”</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information required to be furnished pursuant to this item with respect to compliance with Section 16(a) of the Exchange Act will be set forth under the caption “Section 16(a) Beneficial Ownership Reporting Compliance” in Lazard Ltd’s definitive proxy statement for its 2016 annual general meeting of shareholders, and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Information regarding executive officer and director compensation will be presented in Lazard Ltd’s definitive proxy statement for its 2016 annual general meeting of shareholders, which will be held in April 2016, and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Information regarding security ownership of certain beneficial owners and management and related shareholder matters will be presented in Lazard Ltd’s definitive proxy statement for its 2016 annual general meeting of shareholders, which will be held in April 2016, and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2015 regarding securities issued under our 2005 Equity Incentive Plan and 2008 Incentive Compensation Plan.</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right="520" w:hanging="215"/>
        <w:spacing w:after="0" w:line="268" w:lineRule="auto"/>
        <w:rPr>
          <w:sz w:val="20"/>
          <w:szCs w:val="20"/>
          <w:color w:val="auto"/>
        </w:rPr>
      </w:pPr>
      <w:r>
        <w:rPr>
          <w:rFonts w:ascii="Arial" w:cs="Arial" w:eastAsia="Arial" w:hAnsi="Arial"/>
          <w:sz w:val="18"/>
          <w:szCs w:val="18"/>
          <w:color w:val="auto"/>
        </w:rPr>
        <w:t>Equity compensation plans approved by security holders</w:t>
      </w:r>
    </w:p>
    <w:p>
      <w:pPr>
        <w:spacing w:after="0" w:line="199" w:lineRule="exact"/>
        <w:rPr>
          <w:sz w:val="20"/>
          <w:szCs w:val="20"/>
          <w:color w:val="auto"/>
        </w:rPr>
      </w:pPr>
    </w:p>
    <w:p>
      <w:pPr>
        <w:ind w:left="220" w:right="240" w:hanging="215"/>
        <w:spacing w:after="0" w:line="266" w:lineRule="auto"/>
        <w:rPr>
          <w:sz w:val="20"/>
          <w:szCs w:val="20"/>
          <w:color w:val="auto"/>
        </w:rPr>
      </w:pPr>
      <w:r>
        <w:rPr>
          <w:rFonts w:ascii="Arial" w:cs="Arial" w:eastAsia="Arial" w:hAnsi="Arial"/>
          <w:sz w:val="18"/>
          <w:szCs w:val="18"/>
          <w:color w:val="auto"/>
        </w:rPr>
        <w:t>Equity compensation plans not approved by security holders</w:t>
      </w: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Remaining Available</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Future Issuance</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0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Under Equity</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to be Issued</w:t>
            </w:r>
          </w:p>
        </w:tc>
        <w:tc>
          <w:tcPr>
            <w:tcW w:w="20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Compensation Plans</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Upon Exercise of</w:t>
            </w:r>
          </w:p>
        </w:tc>
        <w:tc>
          <w:tcPr>
            <w:tcW w:w="20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(Excluding Securities</w:t>
            </w:r>
          </w:p>
        </w:tc>
      </w:tr>
      <w:tr>
        <w:trPr>
          <w:trHeight w:val="149"/>
        </w:trPr>
        <w:tc>
          <w:tcPr>
            <w:tcW w:w="20" w:type="dxa"/>
            <w:vAlign w:val="bottom"/>
          </w:tcPr>
          <w:p>
            <w:pPr>
              <w:spacing w:after="0"/>
              <w:rPr>
                <w:sz w:val="12"/>
                <w:szCs w:val="12"/>
                <w:color w:val="auto"/>
              </w:rPr>
            </w:pPr>
          </w:p>
        </w:tc>
        <w:tc>
          <w:tcPr>
            <w:tcW w:w="17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Plan</w:t>
            </w:r>
          </w:p>
        </w:tc>
        <w:tc>
          <w:tcPr>
            <w:tcW w:w="21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0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Options,</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Reflected in the</w:t>
            </w:r>
          </w:p>
        </w:tc>
      </w:tr>
      <w:tr>
        <w:trPr>
          <w:trHeight w:val="161"/>
        </w:trPr>
        <w:tc>
          <w:tcPr>
            <w:tcW w:w="20" w:type="dxa"/>
            <w:vAlign w:val="bottom"/>
          </w:tcPr>
          <w:p>
            <w:pPr>
              <w:spacing w:after="0"/>
              <w:rPr>
                <w:sz w:val="14"/>
                <w:szCs w:val="14"/>
                <w:color w:val="auto"/>
              </w:rPr>
            </w:pPr>
          </w:p>
        </w:tc>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Category</w:t>
            </w:r>
          </w:p>
        </w:tc>
        <w:tc>
          <w:tcPr>
            <w:tcW w:w="21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9"/>
              </w:rPr>
              <w:t>Warrants and Rights</w:t>
            </w:r>
          </w:p>
        </w:tc>
        <w:tc>
          <w:tcPr>
            <w:tcW w:w="20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Warrants and Rights</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Second Column)</w:t>
            </w:r>
          </w:p>
        </w:tc>
      </w:tr>
      <w:tr>
        <w:trPr>
          <w:trHeight w:val="201"/>
        </w:trPr>
        <w:tc>
          <w:tcPr>
            <w:tcW w:w="20" w:type="dxa"/>
            <w:vAlign w:val="bottom"/>
          </w:tcPr>
          <w:p>
            <w:pPr>
              <w:spacing w:after="0"/>
              <w:rPr>
                <w:sz w:val="17"/>
                <w:szCs w:val="17"/>
                <w:color w:val="auto"/>
              </w:rPr>
            </w:pPr>
          </w:p>
        </w:tc>
        <w:tc>
          <w:tcPr>
            <w:tcW w:w="1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7"/>
              </w:rPr>
              <w:t>2008 Incentive</w:t>
            </w:r>
          </w:p>
        </w:tc>
        <w:tc>
          <w:tcPr>
            <w:tcW w:w="7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76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760" w:type="dxa"/>
            <w:vAlign w:val="bottom"/>
            <w:gridSpan w:val="3"/>
          </w:tcPr>
          <w:p>
            <w:pPr>
              <w:spacing w:after="0"/>
              <w:rPr>
                <w:sz w:val="20"/>
                <w:szCs w:val="20"/>
                <w:color w:val="auto"/>
              </w:rPr>
            </w:pPr>
            <w:r>
              <w:rPr>
                <w:rFonts w:ascii="Arial" w:cs="Arial" w:eastAsia="Arial" w:hAnsi="Arial"/>
                <w:sz w:val="18"/>
                <w:szCs w:val="18"/>
                <w:color w:val="auto"/>
              </w:rPr>
              <w:t>Plan</w:t>
            </w:r>
            <w:r>
              <w:rPr>
                <w:rFonts w:ascii="Arial" w:cs="Arial" w:eastAsia="Arial" w:hAnsi="Arial"/>
                <w:sz w:val="11"/>
                <w:szCs w:val="11"/>
                <w:color w:val="auto"/>
              </w:rPr>
              <w:t>(1)</w:t>
            </w:r>
          </w:p>
        </w:tc>
        <w:tc>
          <w:tcPr>
            <w:tcW w:w="1260" w:type="dxa"/>
            <w:vAlign w:val="bottom"/>
          </w:tcPr>
          <w:p>
            <w:pPr>
              <w:jc w:val="right"/>
              <w:spacing w:after="0"/>
              <w:rPr>
                <w:sz w:val="20"/>
                <w:szCs w:val="20"/>
                <w:color w:val="auto"/>
              </w:rPr>
            </w:pPr>
            <w:r>
              <w:rPr>
                <w:rFonts w:ascii="Arial" w:cs="Arial" w:eastAsia="Arial" w:hAnsi="Arial"/>
                <w:sz w:val="18"/>
                <w:szCs w:val="18"/>
                <w:color w:val="auto"/>
              </w:rPr>
              <w:t>11,604,699</w:t>
            </w:r>
          </w:p>
        </w:tc>
        <w:tc>
          <w:tcPr>
            <w:tcW w:w="900" w:type="dxa"/>
            <w:vAlign w:val="bottom"/>
          </w:tcPr>
          <w:p>
            <w:pPr>
              <w:spacing w:after="0"/>
              <w:rPr>
                <w:sz w:val="19"/>
                <w:szCs w:val="19"/>
                <w:color w:val="auto"/>
              </w:rPr>
            </w:pPr>
          </w:p>
        </w:tc>
        <w:tc>
          <w:tcPr>
            <w:tcW w:w="2040" w:type="dxa"/>
            <w:vAlign w:val="bottom"/>
            <w:gridSpan w:val="2"/>
          </w:tcPr>
          <w:p>
            <w:pPr>
              <w:jc w:val="right"/>
              <w:ind w:right="820"/>
              <w:spacing w:after="0"/>
              <w:rPr>
                <w:sz w:val="20"/>
                <w:szCs w:val="20"/>
                <w:color w:val="auto"/>
              </w:rPr>
            </w:pPr>
            <w:r>
              <w:rPr>
                <w:rFonts w:ascii="Arial" w:cs="Arial" w:eastAsia="Arial" w:hAnsi="Arial"/>
                <w:sz w:val="11"/>
                <w:szCs w:val="11"/>
                <w:color w:val="auto"/>
              </w:rPr>
              <w:t>(4)</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27,325,128</w:t>
            </w:r>
          </w:p>
        </w:tc>
      </w:tr>
      <w:tr>
        <w:trPr>
          <w:trHeight w:val="216"/>
        </w:trPr>
        <w:tc>
          <w:tcPr>
            <w:tcW w:w="1760" w:type="dxa"/>
            <w:vAlign w:val="bottom"/>
            <w:gridSpan w:val="3"/>
          </w:tcPr>
          <w:p>
            <w:pPr>
              <w:spacing w:after="0"/>
              <w:rPr>
                <w:sz w:val="20"/>
                <w:szCs w:val="20"/>
                <w:color w:val="auto"/>
              </w:rPr>
            </w:pPr>
            <w:r>
              <w:rPr>
                <w:rFonts w:ascii="Arial" w:cs="Arial" w:eastAsia="Arial" w:hAnsi="Arial"/>
                <w:sz w:val="18"/>
                <w:szCs w:val="18"/>
                <w:color w:val="auto"/>
              </w:rPr>
              <w:t>2005 Equity</w:t>
            </w: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760" w:type="dxa"/>
            <w:vAlign w:val="bottom"/>
            <w:gridSpan w:val="3"/>
          </w:tcPr>
          <w:p>
            <w:pPr>
              <w:spacing w:after="0"/>
              <w:rPr>
                <w:sz w:val="20"/>
                <w:szCs w:val="20"/>
                <w:color w:val="auto"/>
              </w:rPr>
            </w:pPr>
            <w:r>
              <w:rPr>
                <w:rFonts w:ascii="Arial" w:cs="Arial" w:eastAsia="Arial" w:hAnsi="Arial"/>
                <w:sz w:val="18"/>
                <w:szCs w:val="18"/>
                <w:color w:val="auto"/>
              </w:rPr>
              <w:t>Incentive</w:t>
            </w: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1760" w:type="dxa"/>
            <w:vAlign w:val="bottom"/>
            <w:gridSpan w:val="3"/>
          </w:tcPr>
          <w:p>
            <w:pPr>
              <w:spacing w:after="0"/>
              <w:rPr>
                <w:sz w:val="20"/>
                <w:szCs w:val="20"/>
                <w:color w:val="auto"/>
              </w:rPr>
            </w:pPr>
            <w:r>
              <w:rPr>
                <w:rFonts w:ascii="Arial" w:cs="Arial" w:eastAsia="Arial" w:hAnsi="Arial"/>
                <w:sz w:val="18"/>
                <w:szCs w:val="18"/>
                <w:color w:val="auto"/>
              </w:rPr>
              <w:t>Plan</w:t>
            </w:r>
            <w:r>
              <w:rPr>
                <w:rFonts w:ascii="Arial" w:cs="Arial" w:eastAsia="Arial" w:hAnsi="Arial"/>
                <w:sz w:val="11"/>
                <w:szCs w:val="11"/>
                <w:color w:val="auto"/>
              </w:rPr>
              <w:t>(2)</w:t>
            </w:r>
          </w:p>
        </w:tc>
        <w:tc>
          <w:tcPr>
            <w:tcW w:w="2160" w:type="dxa"/>
            <w:vAlign w:val="bottom"/>
            <w:gridSpan w:val="2"/>
          </w:tcPr>
          <w:p>
            <w:pPr>
              <w:jc w:val="right"/>
              <w:ind w:right="760"/>
              <w:spacing w:after="0"/>
              <w:rPr>
                <w:sz w:val="20"/>
                <w:szCs w:val="20"/>
                <w:color w:val="auto"/>
              </w:rPr>
            </w:pPr>
            <w:r>
              <w:rPr>
                <w:rFonts w:ascii="Arial" w:cs="Arial" w:eastAsia="Arial" w:hAnsi="Arial"/>
                <w:sz w:val="18"/>
                <w:szCs w:val="18"/>
                <w:color w:val="auto"/>
              </w:rPr>
              <w:t>40,405</w:t>
            </w:r>
            <w:r>
              <w:rPr>
                <w:rFonts w:ascii="Arial" w:cs="Arial" w:eastAsia="Arial" w:hAnsi="Arial"/>
                <w:sz w:val="11"/>
                <w:szCs w:val="11"/>
                <w:color w:val="auto"/>
              </w:rPr>
              <w:t>(3)</w:t>
            </w:r>
          </w:p>
        </w:tc>
        <w:tc>
          <w:tcPr>
            <w:tcW w:w="2040" w:type="dxa"/>
            <w:vAlign w:val="bottom"/>
            <w:gridSpan w:val="2"/>
          </w:tcPr>
          <w:p>
            <w:pPr>
              <w:jc w:val="right"/>
              <w:ind w:right="820"/>
              <w:spacing w:after="0"/>
              <w:rPr>
                <w:sz w:val="20"/>
                <w:szCs w:val="20"/>
                <w:color w:val="auto"/>
              </w:rPr>
            </w:pPr>
            <w:r>
              <w:rPr>
                <w:rFonts w:ascii="Arial" w:cs="Arial" w:eastAsia="Arial" w:hAnsi="Arial"/>
                <w:sz w:val="11"/>
                <w:szCs w:val="11"/>
                <w:color w:val="auto"/>
              </w:rPr>
              <w:t>(4)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6,825,575</w:t>
            </w:r>
            <w:r>
              <w:rPr>
                <w:rFonts w:ascii="Arial" w:cs="Arial" w:eastAsia="Arial" w:hAnsi="Arial"/>
                <w:sz w:val="11"/>
                <w:szCs w:val="11"/>
                <w:color w:val="auto"/>
              </w:rPr>
              <w:t>(5)</w:t>
            </w: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160" w:type="dxa"/>
            <w:vAlign w:val="bottom"/>
            <w:gridSpan w:val="2"/>
          </w:tcPr>
          <w:p>
            <w:pPr>
              <w:jc w:val="right"/>
              <w:ind w:right="760"/>
              <w:spacing w:after="0"/>
              <w:rPr>
                <w:sz w:val="20"/>
                <w:szCs w:val="20"/>
                <w:color w:val="auto"/>
              </w:rPr>
            </w:pPr>
            <w:r>
              <w:rPr>
                <w:rFonts w:ascii="Arial" w:cs="Arial" w:eastAsia="Arial" w:hAnsi="Arial"/>
                <w:sz w:val="18"/>
                <w:szCs w:val="18"/>
                <w:color w:val="auto"/>
              </w:rPr>
              <w:t>11,645,104</w:t>
            </w:r>
            <w:r>
              <w:rPr>
                <w:rFonts w:ascii="Arial" w:cs="Arial" w:eastAsia="Arial" w:hAnsi="Arial"/>
                <w:sz w:val="11"/>
                <w:szCs w:val="11"/>
                <w:color w:val="auto"/>
              </w:rPr>
              <w:t>(3)</w:t>
            </w:r>
          </w:p>
        </w:tc>
        <w:tc>
          <w:tcPr>
            <w:tcW w:w="1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34,150,703</w:t>
            </w: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-1028700</wp:posOffset>
            </wp:positionV>
            <wp:extent cx="7246620" cy="4286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-162560</wp:posOffset>
            </wp:positionV>
            <wp:extent cx="72466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3340" w:space="720"/>
            <w:col w:w="7320"/>
          </w:cols>
          <w:pgMar w:left="240" w:top="459" w:right="279" w:bottom="1440" w:gutter="0" w:footer="0" w:header="0"/>
          <w:type w:val="continuous"/>
        </w:sectPr>
      </w:pPr>
    </w:p>
    <w:p>
      <w:pPr>
        <w:ind w:left="460" w:right="40" w:hanging="452"/>
        <w:spacing w:after="0" w:line="235" w:lineRule="auto"/>
        <w:tabs>
          <w:tab w:leader="none" w:pos="460" w:val="left"/>
        </w:tabs>
        <w:numPr>
          <w:ilvl w:val="0"/>
          <w:numId w:val="95"/>
        </w:numPr>
        <w:rPr>
          <w:rFonts w:ascii="Arial" w:cs="Arial" w:eastAsia="Arial" w:hAnsi="Arial"/>
          <w:sz w:val="22"/>
          <w:szCs w:val="22"/>
          <w:color w:val="auto"/>
          <w:vertAlign w:val="superscript"/>
        </w:rPr>
      </w:pPr>
      <w:r>
        <w:rPr>
          <w:rFonts w:ascii="Arial" w:cs="Arial" w:eastAsia="Arial" w:hAnsi="Arial"/>
          <w:sz w:val="18"/>
          <w:szCs w:val="18"/>
          <w:color w:val="auto"/>
        </w:rPr>
        <w:t>Our 2008 Incentive Compensation Plan was approved by the stockholders of Lazard Ltd on May 6, 2008. The number of shares of Lazard Ltd Class A common stock available for issuance under the 2008 Incentive Compensation Plan is determined by a formula, which generally provides that the aggregate number of</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459" w:right="27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44" w:lineRule="auto"/>
        <w:rPr>
          <w:sz w:val="20"/>
          <w:szCs w:val="20"/>
          <w:color w:val="auto"/>
        </w:rPr>
      </w:pPr>
      <w:r>
        <w:rPr>
          <w:rFonts w:ascii="Arial" w:cs="Arial" w:eastAsia="Arial" w:hAnsi="Arial"/>
          <w:sz w:val="18"/>
          <w:szCs w:val="18"/>
          <w:color w:val="auto"/>
        </w:rPr>
        <w:t>shares subject to outstanding awards under the 2008 Incentive Compensation Plan may not exceed 30% of the aggregate number of then-outstanding shares of Lazard Ltd Class A common stock.</w:t>
      </w:r>
    </w:p>
    <w:p>
      <w:pPr>
        <w:spacing w:after="0" w:line="11" w:lineRule="exact"/>
        <w:rPr>
          <w:sz w:val="20"/>
          <w:szCs w:val="20"/>
          <w:color w:val="auto"/>
        </w:rPr>
      </w:pPr>
    </w:p>
    <w:p>
      <w:pPr>
        <w:ind w:left="460" w:right="140" w:hanging="452"/>
        <w:spacing w:after="0" w:line="235" w:lineRule="auto"/>
        <w:tabs>
          <w:tab w:leader="none" w:pos="460" w:val="left"/>
        </w:tabs>
        <w:numPr>
          <w:ilvl w:val="0"/>
          <w:numId w:val="96"/>
        </w:numPr>
        <w:rPr>
          <w:rFonts w:ascii="Arial" w:cs="Arial" w:eastAsia="Arial" w:hAnsi="Arial"/>
          <w:sz w:val="22"/>
          <w:szCs w:val="22"/>
          <w:color w:val="auto"/>
          <w:vertAlign w:val="superscript"/>
        </w:rPr>
      </w:pPr>
      <w:r>
        <w:rPr>
          <w:rFonts w:ascii="Arial" w:cs="Arial" w:eastAsia="Arial" w:hAnsi="Arial"/>
          <w:sz w:val="18"/>
          <w:szCs w:val="18"/>
          <w:color w:val="auto"/>
        </w:rPr>
        <w:t>Our 2005 Equity Incentive Plan was established prior to our equity public offering in May 2005 and, as a result, did not require approval by security holders. The 2005 Plan expired in the second quarter of 2015, although awards granted under the 2005 Plan remain outstanding and continue to be subject to its terms.</w:t>
      </w:r>
    </w:p>
    <w:p>
      <w:pPr>
        <w:spacing w:after="0" w:line="1" w:lineRule="exact"/>
        <w:rPr>
          <w:rFonts w:ascii="Arial" w:cs="Arial" w:eastAsia="Arial" w:hAnsi="Arial"/>
          <w:sz w:val="22"/>
          <w:szCs w:val="22"/>
          <w:color w:val="auto"/>
          <w:vertAlign w:val="superscript"/>
        </w:rPr>
      </w:pPr>
    </w:p>
    <w:p>
      <w:pPr>
        <w:ind w:left="460" w:right="60" w:hanging="452"/>
        <w:spacing w:after="0" w:line="233" w:lineRule="auto"/>
        <w:tabs>
          <w:tab w:leader="none" w:pos="460" w:val="left"/>
        </w:tabs>
        <w:numPr>
          <w:ilvl w:val="0"/>
          <w:numId w:val="96"/>
        </w:numPr>
        <w:rPr>
          <w:rFonts w:ascii="Arial" w:cs="Arial" w:eastAsia="Arial" w:hAnsi="Arial"/>
          <w:sz w:val="22"/>
          <w:szCs w:val="22"/>
          <w:color w:val="auto"/>
          <w:vertAlign w:val="superscript"/>
        </w:rPr>
      </w:pPr>
      <w:r>
        <w:rPr>
          <w:rFonts w:ascii="Arial" w:cs="Arial" w:eastAsia="Arial" w:hAnsi="Arial"/>
          <w:sz w:val="18"/>
          <w:szCs w:val="18"/>
          <w:color w:val="auto"/>
        </w:rPr>
        <w:t>Represents outstanding stock unit awards, after giving effect to forfeitures, as of December 31, 2015. As of that date, the only grants made under the 2008 Incentive Compensation Plan and 2005 Equity Incentive Plan have been in the form of stock unit awards and restricted stock awards. See Note 14 of Notes to Consolidated Financial Statements for a description of the plans.</w:t>
      </w:r>
    </w:p>
    <w:p>
      <w:pPr>
        <w:ind w:left="460" w:hanging="452"/>
        <w:spacing w:after="0" w:line="237" w:lineRule="auto"/>
        <w:tabs>
          <w:tab w:leader="none" w:pos="460" w:val="left"/>
        </w:tabs>
        <w:numPr>
          <w:ilvl w:val="0"/>
          <w:numId w:val="96"/>
        </w:numPr>
        <w:rPr>
          <w:rFonts w:ascii="Arial" w:cs="Arial" w:eastAsia="Arial" w:hAnsi="Arial"/>
          <w:sz w:val="22"/>
          <w:szCs w:val="22"/>
          <w:color w:val="auto"/>
          <w:vertAlign w:val="superscript"/>
        </w:rPr>
      </w:pPr>
      <w:r>
        <w:rPr>
          <w:rFonts w:ascii="Arial" w:cs="Arial" w:eastAsia="Arial" w:hAnsi="Arial"/>
          <w:sz w:val="18"/>
          <w:szCs w:val="18"/>
          <w:color w:val="auto"/>
        </w:rPr>
        <w:t>Each restricted stock unit awarded under our 2008 Incentive Compensation Plan and 2005 Equity Incentive Plan was granted at no cost to the persons receiving them and represents the contingent right to receive the equivalent number of shares of Lazard Ltd Class A common stock. PRSUs awarded are based on the achievement of performance criteria and the number of shares of Class A common stock that may be received generally can range from zero to two times the target number.</w:t>
      </w:r>
    </w:p>
    <w:p>
      <w:pPr>
        <w:spacing w:after="0" w:line="1" w:lineRule="exact"/>
        <w:rPr>
          <w:rFonts w:ascii="Arial" w:cs="Arial" w:eastAsia="Arial" w:hAnsi="Arial"/>
          <w:sz w:val="22"/>
          <w:szCs w:val="22"/>
          <w:color w:val="auto"/>
          <w:vertAlign w:val="superscript"/>
        </w:rPr>
      </w:pPr>
    </w:p>
    <w:p>
      <w:pPr>
        <w:ind w:left="460" w:right="120" w:hanging="452"/>
        <w:spacing w:after="0" w:line="225" w:lineRule="auto"/>
        <w:tabs>
          <w:tab w:leader="none" w:pos="460" w:val="left"/>
        </w:tabs>
        <w:numPr>
          <w:ilvl w:val="0"/>
          <w:numId w:val="96"/>
        </w:numPr>
        <w:rPr>
          <w:rFonts w:ascii="Arial" w:cs="Arial" w:eastAsia="Arial" w:hAnsi="Arial"/>
          <w:sz w:val="22"/>
          <w:szCs w:val="22"/>
          <w:color w:val="auto"/>
          <w:vertAlign w:val="superscript"/>
        </w:rPr>
      </w:pPr>
      <w:r>
        <w:rPr>
          <w:rFonts w:ascii="Arial" w:cs="Arial" w:eastAsia="Arial" w:hAnsi="Arial"/>
          <w:sz w:val="18"/>
          <w:szCs w:val="18"/>
          <w:color w:val="auto"/>
        </w:rPr>
        <w:t>Gives effect to the number of securities remaining available for future issuance, after considering the impact of vested RSUs that will not be delivered as a result of withholding taxes.</w:t>
      </w:r>
    </w:p>
    <w:p>
      <w:pPr>
        <w:spacing w:after="0" w:line="27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Information regarding certain relationships and related transactions, and director independence, will be presented in Lazard Ltd’s definitive proxy statement for its 2016 annual general meeting of shareholders, which will be held in April 2016, and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Information regarding principal accountant fees and services will be presented in Lazard Ltd’s definitive proxy statement for its 2016 annual general meeting of shareholders, which will be held in April 2016, and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0"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96" w:lineRule="exact"/>
        <w:rPr>
          <w:rFonts w:ascii="Arial" w:cs="Arial" w:eastAsia="Arial" w:hAnsi="Arial"/>
          <w:sz w:val="18"/>
          <w:szCs w:val="18"/>
          <w:b w:val="1"/>
          <w:bCs w:val="1"/>
          <w:color w:val="auto"/>
        </w:rPr>
      </w:pPr>
    </w:p>
    <w:p>
      <w:pPr>
        <w:ind w:left="900" w:right="2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Annual Report on Form 10-K are listed on page F-1 hereof and in Part II, Item 8 hereof.</w:t>
      </w:r>
    </w:p>
    <w:p>
      <w:pPr>
        <w:spacing w:after="0" w:line="166" w:lineRule="exact"/>
        <w:rPr>
          <w:rFonts w:ascii="Arial" w:cs="Arial" w:eastAsia="Arial" w:hAnsi="Arial"/>
          <w:sz w:val="18"/>
          <w:szCs w:val="18"/>
          <w:b w:val="1"/>
          <w:bCs w:val="1"/>
          <w:color w:val="auto"/>
        </w:rPr>
      </w:pPr>
    </w:p>
    <w:p>
      <w:pPr>
        <w:ind w:left="900" w:hanging="446"/>
        <w:spacing w:after="0"/>
        <w:tabs>
          <w:tab w:leader="none" w:pos="900" w:val="left"/>
        </w:tabs>
        <w:numPr>
          <w:ilvl w:val="1"/>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96" w:lineRule="exact"/>
        <w:rPr>
          <w:rFonts w:ascii="Arial" w:cs="Arial" w:eastAsia="Arial" w:hAnsi="Arial"/>
          <w:sz w:val="18"/>
          <w:szCs w:val="18"/>
          <w:b w:val="1"/>
          <w:bCs w:val="1"/>
          <w:color w:val="auto"/>
        </w:rPr>
      </w:pPr>
    </w:p>
    <w:p>
      <w:pPr>
        <w:jc w:val="both"/>
        <w:ind w:left="900" w:right="8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The financial statement schedule required in the Annual Report on Form 10-K is listed on page F-1 hereof. The required schedule appears on pages F-2 through F-6 hereof. Ratio of Earnings to Fixed Charges has been included as Exhibit 12.1. All other schedules have been omitted because they are not applicable, not required or the information required is included in the Company’s consolidated financial statements or notes thereto.</w:t>
      </w:r>
    </w:p>
    <w:p>
      <w:pPr>
        <w:spacing w:after="0" w:line="122" w:lineRule="exact"/>
        <w:rPr>
          <w:rFonts w:ascii="Arial" w:cs="Arial" w:eastAsia="Arial" w:hAnsi="Arial"/>
          <w:sz w:val="18"/>
          <w:szCs w:val="18"/>
          <w:b w:val="1"/>
          <w:bCs w:val="1"/>
          <w:color w:val="auto"/>
        </w:rPr>
      </w:pPr>
    </w:p>
    <w:p>
      <w:pPr>
        <w:ind w:left="900" w:hanging="446"/>
        <w:spacing w:after="0"/>
        <w:tabs>
          <w:tab w:leader="none" w:pos="900" w:val="left"/>
        </w:tabs>
        <w:numPr>
          <w:ilvl w:val="1"/>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3.1</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and Memorandum of Association of the Registrant (incorporated by reference to Exhibit 3.1 to the Registrant’s</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3.2</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in Change of Name of the Registrant (incorporated by reference to Exhibit 3.2 to the Registrant’s Registration</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Amended and Restated Bye-Laws of Lazard Ltd (incorporated by reference to Exhibit 3.3 to the Registrant’s Quarterly Report (File No. 001-</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3.4</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First Amendment to Amended and Restated Bye-Laws of Lazard Ltd (incorporated by reference to Exhibit 3.4 to the Registrant’s Quarterly</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3.5</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Second Amendment to the Amended and Restated Bye-Laws of Lazard Ltd (incorporated by reference to Exhibit 3.5 to the Registrant’s</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4.1</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Form of Specimen Certificate for Class A common stock (incorporated by reference to Exhibit 4.1 to the Registrant’s Registration Statement</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S-1/A filed on April 11,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4.2</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Indenture, dated as of May 10, 2005, by and between Lazard Group LLC and The Bank of New York, as Trustee (incorporated by reference to</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4.3</w:t>
            </w:r>
          </w:p>
        </w:tc>
        <w:tc>
          <w:tcPr>
            <w:tcW w:w="10560" w:type="dxa"/>
            <w:vAlign w:val="bottom"/>
          </w:tcPr>
          <w:p>
            <w:pPr>
              <w:ind w:left="480"/>
              <w:spacing w:after="0"/>
              <w:rPr>
                <w:sz w:val="20"/>
                <w:szCs w:val="20"/>
                <w:color w:val="auto"/>
              </w:rPr>
            </w:pPr>
            <w:r>
              <w:rPr>
                <w:rFonts w:ascii="Arial" w:cs="Arial" w:eastAsia="Arial" w:hAnsi="Arial"/>
                <w:sz w:val="18"/>
                <w:szCs w:val="18"/>
                <w:color w:val="auto"/>
                <w:w w:val="96"/>
              </w:rPr>
              <w:t>First Supplemental Indenture, dated as of May 10, 2005, by and between Lazard Group LLC and The Bank of New York, as trustee</w:t>
            </w:r>
          </w:p>
        </w:tc>
      </w:tr>
      <w:tr>
        <w:trPr>
          <w:trHeight w:val="216"/>
        </w:trPr>
        <w:tc>
          <w:tcPr>
            <w:tcW w:w="6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(incorporated by reference to Exhibit 4.2 to Lazard Group LLC’s Registration Statement (File No. 333-126751) on Form S-4 filed on July 21,</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2005).</w:t>
            </w:r>
          </w:p>
        </w:tc>
      </w:tr>
      <w:tr>
        <w:trPr>
          <w:trHeight w:val="331"/>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4.4</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4.5</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Fifth Supplemental Indenture, dated as of November 14, 2013, between Lazard Group LLC and The Bank of New York Mellon, as trustee</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(incorporated by reference to Exhibit 4.1 to the Registrant’s Current Report on Form 8-K (File No. 001-32492) filed on November 14, 2013).</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4.6</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Sixth Supplemental Indenture, dated as of February 13, 2015, between Lazard Group LLC and The Bank of New York Mellon, as trustee</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(incorporated by reference to Exhibit 4.1 of the Registrant’s Current Report on Form 8-K (File No. 001-32492) filed on February 13, 2015).</w:t>
            </w:r>
          </w:p>
        </w:tc>
      </w:tr>
      <w:tr>
        <w:trPr>
          <w:trHeight w:val="365"/>
        </w:trPr>
        <w:tc>
          <w:tcPr>
            <w:tcW w:w="680" w:type="dxa"/>
            <w:vAlign w:val="bottom"/>
          </w:tcPr>
          <w:p>
            <w:pPr>
              <w:spacing w:after="0"/>
              <w:rPr>
                <w:sz w:val="24"/>
                <w:szCs w:val="24"/>
                <w:color w:val="auto"/>
              </w:rPr>
            </w:pPr>
          </w:p>
        </w:tc>
        <w:tc>
          <w:tcPr>
            <w:tcW w:w="10560" w:type="dxa"/>
            <w:vAlign w:val="bottom"/>
          </w:tcPr>
          <w:p>
            <w:pPr>
              <w:ind w:left="4800"/>
              <w:spacing w:after="0"/>
              <w:rPr>
                <w:sz w:val="20"/>
                <w:szCs w:val="20"/>
                <w:color w:val="auto"/>
              </w:rPr>
            </w:pPr>
            <w:r>
              <w:rPr>
                <w:rFonts w:ascii="Arial" w:cs="Arial" w:eastAsia="Arial" w:hAnsi="Arial"/>
                <w:sz w:val="18"/>
                <w:szCs w:val="18"/>
                <w:color w:val="auto"/>
              </w:rPr>
              <w:t>136</w:t>
            </w:r>
          </w:p>
        </w:tc>
      </w:tr>
    </w:tbl>
    <w:p>
      <w:pPr>
        <w:sectPr>
          <w:pgSz w:w="11900" w:h="16838" w:orient="portrait"/>
          <w:cols w:equalWidth="0" w:num="1">
            <w:col w:w="11340"/>
          </w:cols>
          <w:pgMar w:left="240" w:top="459" w:right="3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ind w:left="100"/>
              <w:spacing w:after="0"/>
              <w:rPr>
                <w:sz w:val="20"/>
                <w:szCs w:val="20"/>
                <w:color w:val="auto"/>
              </w:rPr>
            </w:pPr>
            <w:r>
              <w:rPr>
                <w:rFonts w:ascii="Arial" w:cs="Arial" w:eastAsia="Arial" w:hAnsi="Arial"/>
                <w:sz w:val="18"/>
                <w:szCs w:val="18"/>
                <w:color w:val="auto"/>
              </w:rPr>
              <w:t>4.7</w:t>
            </w:r>
          </w:p>
        </w:tc>
        <w:tc>
          <w:tcPr>
            <w:tcW w:w="10520" w:type="dxa"/>
            <w:vAlign w:val="bottom"/>
          </w:tcPr>
          <w:p>
            <w:pPr>
              <w:ind w:left="400"/>
              <w:spacing w:after="0"/>
              <w:rPr>
                <w:sz w:val="20"/>
                <w:szCs w:val="20"/>
                <w:color w:val="auto"/>
              </w:rPr>
            </w:pPr>
            <w:r>
              <w:rPr>
                <w:rFonts w:ascii="Arial" w:cs="Arial" w:eastAsia="Arial" w:hAnsi="Arial"/>
                <w:sz w:val="18"/>
                <w:szCs w:val="18"/>
                <w:color w:val="auto"/>
              </w:rPr>
              <w:t>Form of Senior Note (included in Exhibits 4.3, 4.4, 4.5 and 4.6).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520" w:type="dxa"/>
            <w:vAlign w:val="bottom"/>
          </w:tcPr>
          <w:p>
            <w:pPr>
              <w:ind w:left="400"/>
              <w:spacing w:after="0"/>
              <w:rPr>
                <w:sz w:val="20"/>
                <w:szCs w:val="20"/>
                <w:color w:val="auto"/>
              </w:rPr>
            </w:pPr>
            <w:r>
              <w:rPr>
                <w:rFonts w:ascii="Arial" w:cs="Arial" w:eastAsia="Arial" w:hAnsi="Arial"/>
                <w:sz w:val="18"/>
                <w:szCs w:val="18"/>
                <w:color w:val="auto"/>
                <w:w w:val="88"/>
              </w:rPr>
              <w:t>Amended and Restated Operating Agreement of Lazard Group LLC, dated as of October 26, 2015 (incorporated by reference to Exhibit 10.1 to</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Registrant’s Quarterly Report (File No. 001-32492) on Form 10-Q filed on October 27, 2015).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0520" w:type="dxa"/>
            <w:vAlign w:val="bottom"/>
          </w:tcPr>
          <w:p>
            <w:pPr>
              <w:ind w:left="400"/>
              <w:spacing w:after="0"/>
              <w:rPr>
                <w:sz w:val="20"/>
                <w:szCs w:val="20"/>
                <w:color w:val="auto"/>
              </w:rPr>
            </w:pPr>
            <w:r>
              <w:rPr>
                <w:rFonts w:ascii="Arial" w:cs="Arial" w:eastAsia="Arial" w:hAnsi="Arial"/>
                <w:sz w:val="18"/>
                <w:szCs w:val="18"/>
                <w:color w:val="auto"/>
                <w:w w:val="87"/>
              </w:rPr>
              <w:t>Second Amended and Restated Tax Receivable Agreement, dated as of October 26, 2015, by and among Ltd Sub A, Ltd Sub B and LTBP Trust</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(incorporated by reference to Exhibit 10.2 to the Registrant’s Quarterly Report (File No. 001-32492) on Form 10-Q filed on October 27, 2015).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10520" w:type="dxa"/>
            <w:vAlign w:val="bottom"/>
          </w:tcPr>
          <w:p>
            <w:pPr>
              <w:ind w:left="40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tcPr>
          <w:p>
            <w:pPr>
              <w:ind w:left="400"/>
              <w:spacing w:after="0"/>
              <w:rPr>
                <w:sz w:val="20"/>
                <w:szCs w:val="20"/>
                <w:color w:val="auto"/>
              </w:rPr>
            </w:pPr>
            <w:r>
              <w:rPr>
                <w:rFonts w:ascii="Arial" w:cs="Arial" w:eastAsia="Arial" w:hAnsi="Arial"/>
                <w:sz w:val="18"/>
                <w:szCs w:val="18"/>
                <w:color w:val="auto"/>
                <w:w w:val="87"/>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0"/>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10.16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10520" w:type="dxa"/>
            <w:vAlign w:val="bottom"/>
          </w:tcPr>
          <w:p>
            <w:pPr>
              <w:ind w:left="40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0"/>
              </w:rPr>
              <w:t>Burford (Stratton) Limited, Lazard &amp; Co., Limited and Lazard LLC (incorporated by reference to Exhibit 10.21 to the Registrant’s Registration</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10520" w:type="dxa"/>
            <w:vAlign w:val="bottom"/>
          </w:tcPr>
          <w:p>
            <w:pPr>
              <w:ind w:left="400"/>
              <w:spacing w:after="0"/>
              <w:rPr>
                <w:sz w:val="20"/>
                <w:szCs w:val="20"/>
                <w:color w:val="auto"/>
              </w:rPr>
            </w:pPr>
            <w:r>
              <w:rPr>
                <w:rFonts w:ascii="Arial" w:cs="Arial" w:eastAsia="Arial" w:hAnsi="Arial"/>
                <w:sz w:val="18"/>
                <w:szCs w:val="18"/>
                <w:color w:val="auto"/>
                <w:w w:val="91"/>
              </w:rPr>
              <w:t>Lazard Ltd 2005 Equity Incentive Plan (incorporated by reference to Exhibit 10.21 to the Registrant’s Registration Statement (File No. 333-</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121407) on 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10520" w:type="dxa"/>
            <w:vAlign w:val="bottom"/>
          </w:tcPr>
          <w:p>
            <w:pPr>
              <w:ind w:left="400"/>
              <w:spacing w:after="0"/>
              <w:rPr>
                <w:sz w:val="20"/>
                <w:szCs w:val="20"/>
                <w:color w:val="auto"/>
              </w:rPr>
            </w:pPr>
            <w:r>
              <w:rPr>
                <w:rFonts w:ascii="Arial" w:cs="Arial" w:eastAsia="Arial" w:hAnsi="Arial"/>
                <w:sz w:val="18"/>
                <w:szCs w:val="18"/>
                <w:color w:val="auto"/>
                <w:w w:val="94"/>
              </w:rPr>
              <w:t>Lazard Ltd 2008 Incentive Compensation Plan (incorporated by reference to Annex B to the Registrant’s Definitive Proxy Statement on</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10520" w:type="dxa"/>
            <w:vAlign w:val="bottom"/>
          </w:tcPr>
          <w:p>
            <w:pPr>
              <w:ind w:left="40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2"/>
              </w:rPr>
              <w:t>Schedule I for, Scott D. Hoffman (incorporated by reference to Exhibit 10.26 to the Registrant’s Quarterly Report (File No. 001-32492) on</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tcPr>
          <w:p>
            <w:pPr>
              <w:ind w:left="400"/>
              <w:spacing w:after="0"/>
              <w:rPr>
                <w:sz w:val="20"/>
                <w:szCs w:val="20"/>
                <w:color w:val="auto"/>
              </w:rPr>
            </w:pPr>
            <w:r>
              <w:rPr>
                <w:rFonts w:ascii="Arial" w:cs="Arial" w:eastAsia="Arial" w:hAnsi="Arial"/>
                <w:sz w:val="18"/>
                <w:szCs w:val="18"/>
                <w:color w:val="auto"/>
                <w:w w:val="88"/>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1"/>
              </w:rPr>
              <w:t>May 4, 2005, for Scott D. Hoffman (incorporated by reference to Exhibit 10.2 to the Registrant’s Current Report on Form 8-K (File No. 001-</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32492) filed on May 9,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400"/>
              <w:spacing w:after="0"/>
              <w:rPr>
                <w:sz w:val="20"/>
                <w:szCs w:val="20"/>
                <w:color w:val="auto"/>
              </w:rPr>
            </w:pPr>
            <w:r>
              <w:rPr>
                <w:rFonts w:ascii="Arial" w:cs="Arial" w:eastAsia="Arial" w:hAnsi="Arial"/>
                <w:sz w:val="18"/>
                <w:szCs w:val="18"/>
                <w:color w:val="auto"/>
                <w:w w:val="87"/>
              </w:rPr>
              <w:t>Amendment, dated as of February 23, 2011, to the Agreement Relating to Retention and Noncompetition and Other Covenants, dated as of May</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4, 2005 and amended as of May 7, 2008, for Scott D. Hoffman (incorporated by reference to Exhibit 10.25 to the Registrant’s Quarterly Report</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400"/>
              <w:spacing w:after="0"/>
              <w:rPr>
                <w:sz w:val="20"/>
                <w:szCs w:val="20"/>
                <w:color w:val="auto"/>
              </w:rPr>
            </w:pPr>
            <w:r>
              <w:rPr>
                <w:rFonts w:ascii="Arial" w:cs="Arial" w:eastAsia="Arial" w:hAnsi="Arial"/>
                <w:sz w:val="18"/>
                <w:szCs w:val="18"/>
                <w:color w:val="auto"/>
                <w:w w:val="94"/>
              </w:rPr>
              <w:t>Form of Agreement Relating to Retention and Noncompetition and Other Covenants (incorporated by reference to Exhibit 10.27 to the</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Registrant’s Registration Statement (File No. 333-121407) on Form S-1/A filed on April 11, 2005).</w:t>
            </w:r>
          </w:p>
        </w:tc>
      </w:tr>
      <w:tr>
        <w:trPr>
          <w:trHeight w:val="365"/>
        </w:trPr>
        <w:tc>
          <w:tcPr>
            <w:tcW w:w="880" w:type="dxa"/>
            <w:vAlign w:val="bottom"/>
          </w:tcPr>
          <w:p>
            <w:pPr>
              <w:spacing w:after="0"/>
              <w:rPr>
                <w:sz w:val="24"/>
                <w:szCs w:val="24"/>
                <w:color w:val="auto"/>
              </w:rPr>
            </w:pPr>
          </w:p>
        </w:tc>
        <w:tc>
          <w:tcPr>
            <w:tcW w:w="10520" w:type="dxa"/>
            <w:vAlign w:val="bottom"/>
          </w:tcPr>
          <w:p>
            <w:pPr>
              <w:ind w:left="4700"/>
              <w:spacing w:after="0"/>
              <w:rPr>
                <w:sz w:val="20"/>
                <w:szCs w:val="20"/>
                <w:color w:val="auto"/>
              </w:rPr>
            </w:pPr>
            <w:r>
              <w:rPr>
                <w:rFonts w:ascii="Arial" w:cs="Arial" w:eastAsia="Arial" w:hAnsi="Arial"/>
                <w:sz w:val="18"/>
                <w:szCs w:val="18"/>
                <w:color w:val="auto"/>
              </w:rPr>
              <w:t>137</w:t>
            </w:r>
          </w:p>
        </w:tc>
      </w:tr>
    </w:tbl>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10.12*</w:t>
            </w: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and Alexander F. Stern (incorporated by reference to Exhibit 10.28 to the Registrant’s Annual Report (File No. 001-32492) on Form 10-K filed</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on March 2, 2009).</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10.13*</w:t>
            </w: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(File No. 001-32492) filed on March 23, 2010).</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10.14*</w:t>
            </w:r>
          </w:p>
        </w:tc>
        <w:tc>
          <w:tcPr>
            <w:tcW w:w="10520" w:type="dxa"/>
            <w:vAlign w:val="bottom"/>
          </w:tcPr>
          <w:p>
            <w:pPr>
              <w:ind w:left="40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and Kenneth M. Jacobs (incorporated by reference to Exhibit 10.29 to the Registrant’s Annual Report on Form 10-K (File No. 001-32492) filed</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on March 1, 2010).</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10.15*</w:t>
            </w: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(File No. 001-32492) field on March 23, 2010).</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10.16*</w:t>
            </w: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2"/>
              </w:rPr>
              <w:t>and Matthieu Bucaille (incorporated by reference to Exhibit 10.31 to the Registrant’s Quarterly Report (File No. 001-32492) on Form 10-Q</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filed on April 29, 2011).</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10.17*</w:t>
            </w:r>
          </w:p>
        </w:tc>
        <w:tc>
          <w:tcPr>
            <w:tcW w:w="10520" w:type="dxa"/>
            <w:vAlign w:val="bottom"/>
          </w:tcPr>
          <w:p>
            <w:pPr>
              <w:ind w:left="40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0"/>
              </w:rPr>
              <w:t>October 4, 2004, between Lazard Group LLC and Matthieu Bucaille (incorporated by reference to Exhibit 10.32 to the Registrant’s Quarterly</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10.18*</w:t>
            </w: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10.19*</w:t>
            </w:r>
          </w:p>
        </w:tc>
        <w:tc>
          <w:tcPr>
            <w:tcW w:w="10520" w:type="dxa"/>
            <w:vAlign w:val="bottom"/>
          </w:tcPr>
          <w:p>
            <w:pPr>
              <w:ind w:left="400"/>
              <w:spacing w:after="0"/>
              <w:rPr>
                <w:sz w:val="20"/>
                <w:szCs w:val="20"/>
                <w:color w:val="auto"/>
              </w:rPr>
            </w:pPr>
            <w:r>
              <w:rPr>
                <w:rFonts w:ascii="Arial" w:cs="Arial" w:eastAsia="Arial" w:hAnsi="Arial"/>
                <w:sz w:val="18"/>
                <w:szCs w:val="18"/>
                <w:color w:val="auto"/>
                <w:w w:val="91"/>
              </w:rPr>
              <w:t>Form of Award Letter for Annual Grant of Deferred Stock Units to Non-Executive Directors (incorporated by reference to Exhibit 99.1 to the</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10.20*</w:t>
            </w: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10.21*</w:t>
            </w:r>
          </w:p>
        </w:tc>
        <w:tc>
          <w:tcPr>
            <w:tcW w:w="10520" w:type="dxa"/>
            <w:vAlign w:val="bottom"/>
          </w:tcPr>
          <w:p>
            <w:pPr>
              <w:ind w:left="400"/>
              <w:spacing w:after="0"/>
              <w:rPr>
                <w:sz w:val="20"/>
                <w:szCs w:val="20"/>
                <w:color w:val="auto"/>
              </w:rPr>
            </w:pPr>
            <w:r>
              <w:rPr>
                <w:rFonts w:ascii="Arial" w:cs="Arial" w:eastAsia="Arial" w:hAnsi="Arial"/>
                <w:sz w:val="18"/>
                <w:szCs w:val="18"/>
                <w:color w:val="auto"/>
                <w:w w:val="96"/>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2"/>
              </w:rPr>
              <w:t>(incorporated by reference to Exhibit 10.41 to the Registrant’s Annual Report (File No. 001-32492) on Form 10-K filed on March 2, 2009).</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10.22*</w:t>
            </w:r>
          </w:p>
        </w:tc>
        <w:tc>
          <w:tcPr>
            <w:tcW w:w="10520" w:type="dxa"/>
            <w:vAlign w:val="bottom"/>
          </w:tcPr>
          <w:p>
            <w:pPr>
              <w:ind w:left="40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2"/>
              </w:rPr>
              <w:t>(incorporated by reference to Exhibit 10.42 to the Registrant’s Annual Report (File No. 001-32492) on Form 10-K filed on March 2, 2009).</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10.23*</w:t>
            </w:r>
          </w:p>
        </w:tc>
        <w:tc>
          <w:tcPr>
            <w:tcW w:w="10520" w:type="dxa"/>
            <w:vAlign w:val="bottom"/>
          </w:tcPr>
          <w:p>
            <w:pPr>
              <w:ind w:left="400"/>
              <w:spacing w:after="0"/>
              <w:rPr>
                <w:sz w:val="20"/>
                <w:szCs w:val="20"/>
                <w:color w:val="auto"/>
              </w:rPr>
            </w:pPr>
            <w:r>
              <w:rPr>
                <w:rFonts w:ascii="Arial" w:cs="Arial" w:eastAsia="Arial" w:hAnsi="Arial"/>
                <w:sz w:val="18"/>
                <w:szCs w:val="18"/>
                <w:color w:val="auto"/>
                <w:w w:val="92"/>
              </w:rPr>
              <w:t>Directors’ Fee Deferral Unit Plan (incorporated by reference to Exhibit 10.39 to the Registrant’s Quarterly Report (File No. 001-32492) on</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Form 10-Q filed on May 11, 2006).</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10.24*</w:t>
            </w:r>
          </w:p>
        </w:tc>
        <w:tc>
          <w:tcPr>
            <w:tcW w:w="10520" w:type="dxa"/>
            <w:vAlign w:val="bottom"/>
          </w:tcPr>
          <w:p>
            <w:pPr>
              <w:ind w:left="40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3"/>
              </w:rPr>
              <w:t>Plan (incorporated by reference to Exhibit 10.43 to the Registrant’s Annual Report (File No. 001-32492) on Form 10-K filed on March 1,</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2007).</w:t>
            </w:r>
          </w:p>
        </w:tc>
      </w:tr>
      <w:tr>
        <w:trPr>
          <w:trHeight w:val="365"/>
        </w:trPr>
        <w:tc>
          <w:tcPr>
            <w:tcW w:w="880" w:type="dxa"/>
            <w:vAlign w:val="bottom"/>
          </w:tcPr>
          <w:p>
            <w:pPr>
              <w:spacing w:after="0"/>
              <w:rPr>
                <w:sz w:val="24"/>
                <w:szCs w:val="24"/>
                <w:color w:val="auto"/>
              </w:rPr>
            </w:pPr>
          </w:p>
        </w:tc>
        <w:tc>
          <w:tcPr>
            <w:tcW w:w="10520" w:type="dxa"/>
            <w:vAlign w:val="bottom"/>
          </w:tcPr>
          <w:p>
            <w:pPr>
              <w:ind w:left="4700"/>
              <w:spacing w:after="0"/>
              <w:rPr>
                <w:sz w:val="20"/>
                <w:szCs w:val="20"/>
                <w:color w:val="auto"/>
              </w:rPr>
            </w:pPr>
            <w:r>
              <w:rPr>
                <w:rFonts w:ascii="Arial" w:cs="Arial" w:eastAsia="Arial" w:hAnsi="Arial"/>
                <w:sz w:val="18"/>
                <w:szCs w:val="18"/>
                <w:color w:val="auto"/>
              </w:rPr>
              <w:t>138</w:t>
            </w:r>
          </w:p>
        </w:tc>
      </w:tr>
    </w:tbl>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Amended and Restated Credit Agreement, dated as of September 25, 2015, among Lazard Group LLC, the Banks from time to time parties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thereto, and Citibank, N.A., as Administrative Agent (incorporated by reference to Exhibit 10.27 to the Registrants’s Quarterly Report (File No.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001-32492) on Form 10-Q filed on October 27, 2015).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10.55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Form of Agreement evidencing a grant of Lazard Fund Interests under the 2008 Incentive Compensation Plan (incorporated by reference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Exhibit 10.55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and Restricted Stock to Executive Officers who are or may become eligible for</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retirement under the 2008 Incentive Compensation Plan (incorporated by reference to Exhibit 10.53 to the Registrant’s Quarterly Report (File</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No. 001-32492) on Form 10-Q filed on May 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First Amendment, dated as of August 2,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March 15, 2005, between Lazard Group LLC and Ashish Bhutani (incorporated by reference to Exhibit 10.56 to the Registrant’s Quarterly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August 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October 24, 2012,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of March 18, 2005 and amended on March 23, 2010, among the Registrant, Lazard Group LLC and Kenneth M. Jacobs (incorporated by</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 to Exhibit 10.52 to the Registrant’s Quarterly Report (File No. 001-32492) on Form 10-Q</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filed on November 1, 2012).</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March 15, 2005 and amended on August 2, 2011, among the Registrant, Lazard Group LLC and Ashish Bhutani (incorporated by reference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Exhibit 10.50 to the Registrant’s Quarterly Report (File No. 001-32492)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October 4, 2004 and amended on April 1, 2011, among the Registrant, Lazard Group LLC and Matthieu Bucaille (incorporated by reference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Exhibit 10.51 to the Registrant’s Quarterly Report (File No. 001-32492)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6"/>
              </w:rPr>
              <w:t>May 4, 2005 and amended on May 7, 2008 and February 23, 2011, among the Registrant, Lazard Group LLC and Scott D. Hoffman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10.52 to the Registrant’s Quarterly Report (File No. 001-32492)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October 4, 2004 and amended on March 23, 2010, among the Registrant, Lazard Group LLC and Alexander F. Stern (incorporated by reference</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to Exhibit 10.53 to the Registrant’s Quarterly Report (File No. 001-32492)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Form of Agreement evidencing a grant of Performance-Based Stock Units under the 2008 Incentive Compensation Plan (incorporated by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 to Exhibit 10.54 to the Registrant’s Quarterly Report (File No. 001-32492) on Form 10-Q filed on April 30, 2013).</w:t>
            </w:r>
          </w:p>
        </w:tc>
      </w:tr>
      <w:tr>
        <w:trPr>
          <w:trHeight w:val="365"/>
        </w:trPr>
        <w:tc>
          <w:tcPr>
            <w:tcW w:w="880" w:type="dxa"/>
            <w:vAlign w:val="bottom"/>
          </w:tcPr>
          <w:p>
            <w:pPr>
              <w:spacing w:after="0"/>
              <w:rPr>
                <w:sz w:val="24"/>
                <w:szCs w:val="24"/>
                <w:color w:val="auto"/>
              </w:rPr>
            </w:pPr>
          </w:p>
        </w:tc>
        <w:tc>
          <w:tcPr>
            <w:tcW w:w="10520" w:type="dxa"/>
            <w:vAlign w:val="bottom"/>
          </w:tcPr>
          <w:p>
            <w:pPr>
              <w:ind w:left="4700"/>
              <w:spacing w:after="0"/>
              <w:rPr>
                <w:sz w:val="20"/>
                <w:szCs w:val="20"/>
                <w:color w:val="auto"/>
              </w:rPr>
            </w:pPr>
            <w:r>
              <w:rPr>
                <w:rFonts w:ascii="Arial" w:cs="Arial" w:eastAsia="Arial" w:hAnsi="Arial"/>
                <w:sz w:val="18"/>
                <w:szCs w:val="18"/>
                <w:color w:val="auto"/>
              </w:rPr>
              <w:t>139</w:t>
            </w:r>
          </w:p>
        </w:tc>
      </w:tr>
    </w:tbl>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10.36*</w:t>
            </w: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grant of Lazard Fund Interests to Named Executive Officers under the 2008 Incentive Compensation Plan</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(incorporated by reference to Exhibit 10.55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10.37*</w:t>
            </w: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grant of Restricted Stock Units to Named Executive Officers under the 2008 Incentive Compensation Plan</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(incorporated by reference to Exhibit 10.56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10.38*</w:t>
            </w: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February 20, 2014 grant of Performance-Based Stock Units under the 2008 Incentive Compensation Plan</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4"/>
              </w:rPr>
              <w:t>(incorporated by reference to Exhibit 10.55 to the Registrant’s Quarterly Report (File No. 001-32492) on Form 10-Q filed May 6, 2014).</w:t>
            </w:r>
          </w:p>
        </w:tc>
      </w:tr>
      <w:tr>
        <w:trPr>
          <w:trHeight w:val="331"/>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10.39*</w:t>
            </w:r>
          </w:p>
        </w:tc>
        <w:tc>
          <w:tcPr>
            <w:tcW w:w="10440" w:type="dxa"/>
            <w:vAlign w:val="bottom"/>
          </w:tcPr>
          <w:p>
            <w:pPr>
              <w:ind w:left="300"/>
              <w:spacing w:after="0"/>
              <w:rPr>
                <w:sz w:val="20"/>
                <w:szCs w:val="20"/>
                <w:color w:val="auto"/>
              </w:rPr>
            </w:pPr>
            <w:r>
              <w:rPr>
                <w:rFonts w:ascii="Arial" w:cs="Arial" w:eastAsia="Arial" w:hAnsi="Arial"/>
                <w:sz w:val="18"/>
                <w:szCs w:val="18"/>
                <w:color w:val="auto"/>
                <w:w w:val="87"/>
              </w:rPr>
              <w:t>Agreement between the Company and Kenneth M. Jacobs, dated as of February 20, 2014, evidencing a grant of Performance-Based Stock Units</w:t>
            </w:r>
          </w:p>
        </w:tc>
      </w:tr>
      <w:tr>
        <w:trPr>
          <w:trHeight w:val="216"/>
        </w:trPr>
        <w:tc>
          <w:tcPr>
            <w:tcW w:w="96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under the 2008 Incentive Compensation Plan (incorporated by reference to Exhibit 10.56 to the Registrant’s Quarterly Report</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(File No. 001-32492) on Form 10-Q filed on May 6, 2014).</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12.1</w:t>
            </w:r>
          </w:p>
        </w:tc>
        <w:tc>
          <w:tcPr>
            <w:tcW w:w="1044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21.1</w:t>
            </w:r>
          </w:p>
        </w:tc>
        <w:tc>
          <w:tcPr>
            <w:tcW w:w="10440" w:type="dxa"/>
            <w:vAlign w:val="bottom"/>
          </w:tcPr>
          <w:p>
            <w:pPr>
              <w:ind w:left="30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23.1</w:t>
            </w:r>
          </w:p>
        </w:tc>
        <w:tc>
          <w:tcPr>
            <w:tcW w:w="1044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31.1</w:t>
            </w:r>
          </w:p>
        </w:tc>
        <w:tc>
          <w:tcPr>
            <w:tcW w:w="10440" w:type="dxa"/>
            <w:vAlign w:val="bottom"/>
          </w:tcPr>
          <w:p>
            <w:pPr>
              <w:ind w:left="3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31.2</w:t>
            </w:r>
          </w:p>
        </w:tc>
        <w:tc>
          <w:tcPr>
            <w:tcW w:w="10440" w:type="dxa"/>
            <w:vAlign w:val="bottom"/>
          </w:tcPr>
          <w:p>
            <w:pPr>
              <w:ind w:left="3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32.1</w:t>
            </w:r>
          </w:p>
        </w:tc>
        <w:tc>
          <w:tcPr>
            <w:tcW w:w="10440" w:type="dxa"/>
            <w:vAlign w:val="bottom"/>
          </w:tcPr>
          <w:p>
            <w:pPr>
              <w:ind w:left="3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32.2</w:t>
            </w:r>
          </w:p>
        </w:tc>
        <w:tc>
          <w:tcPr>
            <w:tcW w:w="10440" w:type="dxa"/>
            <w:vAlign w:val="bottom"/>
          </w:tcPr>
          <w:p>
            <w:pPr>
              <w:ind w:left="30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ITEMS 15 (a)(1) AND 15 (a)(2)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800" w:type="dxa"/>
            <w:vAlign w:val="bottom"/>
            <w:gridSpan w:val="9"/>
            <w:vMerge w:val="restart"/>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Management’s Report on Internal Control Over Financial Reporting</w:t>
              </w:r>
            </w:hyperlink>
          </w:p>
        </w:tc>
        <w:tc>
          <w:tcPr>
            <w:tcW w:w="6020" w:type="dxa"/>
            <w:vAlign w:val="bottom"/>
            <w:gridSpan w:val="10"/>
            <w:vMerge w:val="restart"/>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4800" w:type="dxa"/>
            <w:vAlign w:val="bottom"/>
            <w:tcBorders>
              <w:bottom w:val="single" w:sz="8" w:color="0000EE"/>
            </w:tcBorders>
            <w:gridSpan w:val="9"/>
            <w:vMerge w:val="continue"/>
          </w:tcPr>
          <w:p>
            <w:pPr>
              <w:spacing w:after="0"/>
              <w:rPr>
                <w:sz w:val="13"/>
                <w:szCs w:val="13"/>
                <w:color w:val="auto"/>
              </w:rPr>
            </w:pPr>
          </w:p>
        </w:tc>
        <w:tc>
          <w:tcPr>
            <w:tcW w:w="6020" w:type="dxa"/>
            <w:vAlign w:val="bottom"/>
            <w:gridSpan w:val="10"/>
            <w:vMerge w:val="continue"/>
          </w:tcPr>
          <w:p>
            <w:pPr>
              <w:spacing w:after="0"/>
              <w:rPr>
                <w:sz w:val="13"/>
                <w:szCs w:val="13"/>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2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Reports of Independent Registered Public Accounting Firm</w:t>
              </w:r>
            </w:hyperlink>
          </w:p>
        </w:tc>
        <w:tc>
          <w:tcPr>
            <w:tcW w:w="6620" w:type="dxa"/>
            <w:vAlign w:val="bottom"/>
            <w:gridSpan w:val="11"/>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73-74</w:t>
            </w:r>
          </w:p>
        </w:tc>
        <w:tc>
          <w:tcPr>
            <w:tcW w:w="0" w:type="dxa"/>
            <w:vAlign w:val="bottom"/>
          </w:tcPr>
          <w:p>
            <w:pPr>
              <w:spacing w:after="0"/>
              <w:rPr>
                <w:sz w:val="1"/>
                <w:szCs w:val="1"/>
                <w:color w:val="auto"/>
              </w:rPr>
            </w:pPr>
          </w:p>
        </w:tc>
      </w:tr>
      <w:tr>
        <w:trPr>
          <w:trHeight w:val="451"/>
        </w:trPr>
        <w:tc>
          <w:tcPr>
            <w:tcW w:w="10820" w:type="dxa"/>
            <w:vAlign w:val="bottom"/>
            <w:gridSpan w:val="1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77">
              <w:r>
                <w:rPr>
                  <w:rFonts w:ascii="Arial" w:cs="Arial" w:eastAsia="Arial" w:hAnsi="Arial"/>
                  <w:sz w:val="18"/>
                  <w:szCs w:val="18"/>
                  <w:color w:val="0000EE"/>
                  <w:w w:val="87"/>
                </w:rPr>
                <w:t>Consolidated Statements of Financial Condition as of December 31, 2015 and 2014</w:t>
              </w:r>
            </w:hyperlink>
          </w:p>
        </w:tc>
        <w:tc>
          <w:tcPr>
            <w:tcW w:w="4940" w:type="dxa"/>
            <w:vAlign w:val="bottom"/>
            <w:gridSpan w:val="9"/>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64"/>
        </w:trPr>
        <w:tc>
          <w:tcPr>
            <w:tcW w:w="670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79">
              <w:r>
                <w:rPr>
                  <w:rFonts w:ascii="Arial" w:cs="Arial" w:eastAsia="Arial" w:hAnsi="Arial"/>
                  <w:sz w:val="18"/>
                  <w:szCs w:val="18"/>
                  <w:color w:val="0000EE"/>
                  <w:w w:val="87"/>
                </w:rPr>
                <w:t>Consolidated Statements of Operations for the years ended December 31, 2015, 2014 and 2013</w:t>
              </w:r>
            </w:hyperlink>
          </w:p>
        </w:tc>
        <w:tc>
          <w:tcPr>
            <w:tcW w:w="4120" w:type="dxa"/>
            <w:vAlign w:val="bottom"/>
            <w:gridSpan w:val="7"/>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64"/>
        </w:trPr>
        <w:tc>
          <w:tcPr>
            <w:tcW w:w="10820" w:type="dxa"/>
            <w:vAlign w:val="bottom"/>
            <w:gridSpan w:val="1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Comprehensive Income for the years ended December 31, 2015, 2014</w:t>
              </w:r>
            </w:hyperlink>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80">
              <w:r>
                <w:rPr>
                  <w:rFonts w:ascii="Arial" w:cs="Arial" w:eastAsia="Arial" w:hAnsi="Arial"/>
                  <w:sz w:val="18"/>
                  <w:szCs w:val="18"/>
                  <w:color w:val="0000EE"/>
                  <w:w w:val="85"/>
                </w:rPr>
                <w:t>and 2013</w:t>
              </w:r>
            </w:hyperlink>
          </w:p>
        </w:tc>
        <w:tc>
          <w:tcPr>
            <w:tcW w:w="6020" w:type="dxa"/>
            <w:vAlign w:val="bottom"/>
            <w:tcBorders>
              <w:top w:val="single" w:sz="8" w:color="0000EE"/>
            </w:tcBorders>
            <w:gridSpan w:val="11"/>
          </w:tcPr>
          <w:p>
            <w:pPr>
              <w:spacing w:after="0"/>
              <w:rPr>
                <w:sz w:val="17"/>
                <w:szCs w:val="17"/>
                <w:color w:val="auto"/>
              </w:rPr>
            </w:pPr>
          </w:p>
        </w:tc>
        <w:tc>
          <w:tcPr>
            <w:tcW w:w="3920" w:type="dxa"/>
            <w:vAlign w:val="bottom"/>
            <w:gridSpan w:val="5"/>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64"/>
        </w:trPr>
        <w:tc>
          <w:tcPr>
            <w:tcW w:w="10820" w:type="dxa"/>
            <w:vAlign w:val="bottom"/>
            <w:gridSpan w:val="1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Statements of Cash Flows for the years ended December 31, 2015, 2014 and 2013</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20" w:type="dxa"/>
            <w:vAlign w:val="bottom"/>
            <w:gridSpan w:val="1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Changes in Stockholders’ Equity for the years ended December 31, 2015, 2014 and 2013</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64"/>
        </w:trPr>
        <w:tc>
          <w:tcPr>
            <w:tcW w:w="8280" w:type="dxa"/>
            <w:vAlign w:val="bottom"/>
            <w:tcBorders>
              <w:top w:val="single" w:sz="8" w:color="0000EE"/>
            </w:tcBorders>
            <w:gridSpan w:val="1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Notes to Consolidated Financial Statements</w:t>
              </w:r>
            </w:hyperlink>
          </w:p>
        </w:tc>
        <w:tc>
          <w:tcPr>
            <w:tcW w:w="2540" w:type="dxa"/>
            <w:vAlign w:val="bottom"/>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412"/>
        </w:trPr>
        <w:tc>
          <w:tcPr>
            <w:tcW w:w="308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134">
              <w:r>
                <w:rPr>
                  <w:rFonts w:ascii="Arial" w:cs="Arial" w:eastAsia="Arial" w:hAnsi="Arial"/>
                  <w:sz w:val="18"/>
                  <w:szCs w:val="18"/>
                  <w:b w:val="1"/>
                  <w:bCs w:val="1"/>
                  <w:color w:val="0000EE"/>
                </w:rPr>
                <w:t>Supplemental Financial Information</w:t>
              </w:r>
            </w:hyperlink>
          </w:p>
        </w:tc>
        <w:tc>
          <w:tcPr>
            <w:tcW w:w="7740" w:type="dxa"/>
            <w:vAlign w:val="bottom"/>
            <w:gridSpan w:val="13"/>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Borders>
              <w:top w:val="single" w:sz="8" w:color="0000EE"/>
            </w:tcBorders>
            <w:gridSpan w:val="5"/>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Quarterly Results</w:t>
              </w:r>
            </w:hyperlink>
          </w:p>
        </w:tc>
        <w:tc>
          <w:tcPr>
            <w:tcW w:w="8080" w:type="dxa"/>
            <w:vAlign w:val="bottom"/>
            <w:gridSpan w:val="14"/>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820" w:type="dxa"/>
            <w:vAlign w:val="bottom"/>
            <w:gridSpan w:val="19"/>
          </w:tcPr>
          <w:p>
            <w:pPr>
              <w:spacing w:after="0"/>
              <w:rPr>
                <w:sz w:val="20"/>
                <w:szCs w:val="20"/>
                <w:color w:val="auto"/>
              </w:rPr>
            </w:pPr>
            <w:r>
              <w:rPr>
                <w:rFonts w:ascii="Arial" w:cs="Arial" w:eastAsia="Arial" w:hAnsi="Arial"/>
                <w:sz w:val="18"/>
                <w:szCs w:val="18"/>
                <w:b w:val="1"/>
                <w:bCs w:val="1"/>
                <w:color w:val="auto"/>
              </w:rPr>
              <w:t>Financial Statement Schedules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20" w:type="dxa"/>
            <w:vAlign w:val="bottom"/>
            <w:gridSpan w:val="19"/>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380" w:type="dxa"/>
            <w:vAlign w:val="bottom"/>
            <w:gridSpan w:val="17"/>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Condensed Statements of Financial Condition as of December 31, 2015 and 2014</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gridSpan w:val="5"/>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5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145">
              <w:r>
                <w:rPr>
                  <w:rFonts w:ascii="Arial" w:cs="Arial" w:eastAsia="Arial" w:hAnsi="Arial"/>
                  <w:sz w:val="18"/>
                  <w:szCs w:val="18"/>
                  <w:color w:val="0000EE"/>
                  <w:w w:val="86"/>
                </w:rPr>
                <w:t>Condensed Statements of Operations for the years ended December 31, 2015, 2014 and 2013</w:t>
              </w:r>
            </w:hyperlink>
          </w:p>
        </w:tc>
        <w:tc>
          <w:tcPr>
            <w:tcW w:w="3840" w:type="dxa"/>
            <w:vAlign w:val="bottom"/>
            <w:gridSpan w:val="4"/>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380" w:type="dxa"/>
            <w:vAlign w:val="bottom"/>
            <w:gridSpan w:val="17"/>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Condensed Statements of Comprehensive Income for the years ended December 31, 2015, 2014 and 2013</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6"/>
              </w:rPr>
            </w:pPr>
            <w:hyperlink w:anchor="page147">
              <w:r>
                <w:rPr>
                  <w:rFonts w:ascii="Arial" w:cs="Arial" w:eastAsia="Arial" w:hAnsi="Arial"/>
                  <w:sz w:val="18"/>
                  <w:szCs w:val="18"/>
                  <w:color w:val="0000EE"/>
                  <w:w w:val="86"/>
                </w:rPr>
                <w:t>Condensed Statements of Cash Flows for the years ended December 31, 2015, 2014 and 2013</w:t>
              </w:r>
            </w:hyperlink>
          </w:p>
        </w:tc>
        <w:tc>
          <w:tcPr>
            <w:tcW w:w="840" w:type="dxa"/>
            <w:vAlign w:val="bottom"/>
            <w:tcBorders>
              <w:top w:val="single" w:sz="8" w:color="0000EE"/>
            </w:tcBorders>
          </w:tcPr>
          <w:p>
            <w:pPr>
              <w:spacing w:after="0"/>
              <w:rPr>
                <w:sz w:val="22"/>
                <w:szCs w:val="22"/>
                <w:color w:val="auto"/>
              </w:rPr>
            </w:pPr>
          </w:p>
        </w:tc>
        <w:tc>
          <w:tcPr>
            <w:tcW w:w="2940" w:type="dxa"/>
            <w:vAlign w:val="bottom"/>
            <w:gridSpan w:val="2"/>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380" w:type="dxa"/>
            <w:vAlign w:val="bottom"/>
            <w:gridSpan w:val="17"/>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Notes to Condensed Financial Statements</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20"/>
          </w:cols>
          <w:pgMar w:left="240" w:top="459"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5,904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7,482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in subsidiaries, equity method</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(747,753)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(1,604,077)</w:t>
            </w:r>
          </w:p>
        </w:tc>
        <w:tc>
          <w:tcPr>
            <w:tcW w:w="0" w:type="dxa"/>
            <w:vAlign w:val="bottom"/>
          </w:tcPr>
          <w:p>
            <w:pPr>
              <w:spacing w:after="0"/>
              <w:rPr>
                <w:sz w:val="1"/>
                <w:szCs w:val="1"/>
                <w:color w:val="auto"/>
              </w:rPr>
            </w:pPr>
          </w:p>
        </w:tc>
      </w:tr>
      <w:tr>
        <w:trPr>
          <w:trHeight w:val="223"/>
        </w:trPr>
        <w:tc>
          <w:tcPr>
            <w:tcW w:w="9200" w:type="dxa"/>
            <w:vAlign w:val="bottom"/>
          </w:tcPr>
          <w:p>
            <w:pPr>
              <w:ind w:left="440"/>
              <w:spacing w:after="0"/>
              <w:rPr>
                <w:sz w:val="20"/>
                <w:szCs w:val="20"/>
                <w:color w:val="auto"/>
              </w:rPr>
            </w:pPr>
            <w:r>
              <w:rPr>
                <w:rFonts w:ascii="Arial" w:cs="Arial" w:eastAsia="Arial" w:hAnsi="Arial"/>
                <w:sz w:val="18"/>
                <w:szCs w:val="18"/>
                <w:color w:val="auto"/>
              </w:rPr>
              <w:t>Due from subsidiaries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2,055,748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2,303,440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1,313,899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706,845</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2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to subsidiaries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920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90"/>
        </w:trPr>
        <w:tc>
          <w:tcPr>
            <w:tcW w:w="92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92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880"/>
              <w:spacing w:after="0"/>
              <w:rPr>
                <w:sz w:val="20"/>
                <w:szCs w:val="20"/>
                <w:color w:val="auto"/>
              </w:rPr>
            </w:pPr>
            <w:r>
              <w:rPr>
                <w:rFonts w:ascii="Arial" w:cs="Arial" w:eastAsia="Arial" w:hAnsi="Arial"/>
                <w:sz w:val="18"/>
                <w:szCs w:val="18"/>
                <w:color w:val="auto"/>
              </w:rPr>
              <w:t>Series A—7,921 shares issued and outstanding at December 31, 2015 and 2014</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Series B—no shares issued and outstanding</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3"/>
              </w:rPr>
              <w:t>Class A, par value $.01 per share (500,000,000 shares authorized; 129,766,091 shares issued at December 31,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2015 and 2014, including shares held by subsidiaries as indicated below)</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600,034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702,800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1,123,728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464,655</w:t>
            </w:r>
          </w:p>
        </w:tc>
        <w:tc>
          <w:tcPr>
            <w:tcW w:w="0" w:type="dxa"/>
            <w:vAlign w:val="bottom"/>
          </w:tcPr>
          <w:p>
            <w:pPr>
              <w:spacing w:after="0"/>
              <w:rPr>
                <w:sz w:val="1"/>
                <w:szCs w:val="1"/>
                <w:color w:val="auto"/>
              </w:rPr>
            </w:pPr>
          </w:p>
        </w:tc>
      </w:tr>
      <w:tr>
        <w:trPr>
          <w:trHeight w:val="223"/>
        </w:trPr>
        <w:tc>
          <w:tcPr>
            <w:tcW w:w="9200" w:type="dxa"/>
            <w:vAlign w:val="bottom"/>
          </w:tcPr>
          <w:p>
            <w:pPr>
              <w:ind w:left="44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(234,356)</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(200,766)</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1,490,704</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00" w:type="dxa"/>
            <w:vAlign w:val="bottom"/>
          </w:tcPr>
          <w:p>
            <w:pPr>
              <w:ind w:left="440"/>
              <w:spacing w:after="0"/>
              <w:rPr>
                <w:sz w:val="20"/>
                <w:szCs w:val="20"/>
                <w:color w:val="auto"/>
              </w:rPr>
            </w:pPr>
            <w:r>
              <w:rPr>
                <w:rFonts w:ascii="Arial" w:cs="Arial" w:eastAsia="Arial" w:hAnsi="Arial"/>
                <w:sz w:val="18"/>
                <w:szCs w:val="18"/>
                <w:color w:val="auto"/>
                <w:w w:val="92"/>
              </w:rPr>
              <w:t>Class A common stock held by subsidiaries, at cost (4,253,381 and 7,450,745 shares at December 31, 2015 and 2014,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200" w:type="dxa"/>
            <w:vAlign w:val="bottom"/>
          </w:tcPr>
          <w:p>
            <w:pPr>
              <w:ind w:left="66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(177,249)</w:t>
            </w: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(261,243)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1,313,455</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0" w:type="dxa"/>
            <w:vAlign w:val="bottom"/>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1,313,899</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706,845</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880" w:type="dxa"/>
            <w:vAlign w:val="bottom"/>
            <w:gridSpan w:val="6"/>
          </w:tcPr>
          <w:p>
            <w:pPr>
              <w:ind w:left="6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7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Equity in earnings of subsidiaries</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$ 931,036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$ 373,713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$ 103,769</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57,258</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55,303</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700" w:type="dxa"/>
            <w:vAlign w:val="bottom"/>
          </w:tcPr>
          <w:p>
            <w:pPr>
              <w:jc w:val="right"/>
              <w:spacing w:after="0"/>
              <w:rPr>
                <w:sz w:val="20"/>
                <w:szCs w:val="20"/>
                <w:color w:val="auto"/>
              </w:rPr>
            </w:pPr>
            <w:r>
              <w:rPr>
                <w:rFonts w:ascii="Arial" w:cs="Arial" w:eastAsia="Arial" w:hAnsi="Arial"/>
                <w:sz w:val="18"/>
                <w:szCs w:val="18"/>
                <w:color w:val="auto"/>
              </w:rPr>
              <w:t>988,294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429,016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161,996</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700" w:type="dxa"/>
            <w:vAlign w:val="bottom"/>
          </w:tcPr>
          <w:p>
            <w:pPr>
              <w:jc w:val="right"/>
              <w:spacing w:after="0"/>
              <w:rPr>
                <w:sz w:val="20"/>
                <w:szCs w:val="20"/>
                <w:color w:val="auto"/>
              </w:rPr>
            </w:pPr>
            <w:r>
              <w:rPr>
                <w:rFonts w:ascii="Arial" w:cs="Arial" w:eastAsia="Arial" w:hAnsi="Arial"/>
                <w:sz w:val="18"/>
                <w:szCs w:val="18"/>
                <w:color w:val="auto"/>
              </w:rPr>
              <w:t>1,779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1,594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1,662</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32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3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$ 986,373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$ 427,277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$ 160,212</w:t>
            </w: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88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7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$ 986,373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$ 427,277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$ 160,212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(51,182)</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(49,970)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w w:val="94"/>
              </w:rPr>
              <w:t>Actuarial gain (loss) (net of tax expense (benefit) of $5,644, $(9,045) and $(6,353) for the years ended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1060"/>
              <w:spacing w:after="0"/>
              <w:rPr>
                <w:sz w:val="20"/>
                <w:szCs w:val="20"/>
                <w:color w:val="auto"/>
              </w:rPr>
            </w:pPr>
            <w:r>
              <w:rPr>
                <w:rFonts w:ascii="Arial" w:cs="Arial" w:eastAsia="Arial" w:hAnsi="Arial"/>
                <w:sz w:val="18"/>
                <w:szCs w:val="18"/>
                <w:color w:val="auto"/>
              </w:rPr>
              <w:t>December 31, 2015, 2014 and 2013, respectively)</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11,283</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(21,983)</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(13,426)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Adjustments for items reclassified to earnings (net of tax expense of $1,507, $1,923 and $1,918 for the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years ended December 31, 2015, 2014 and 2013, respectively)</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(33,590)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(67,204)</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(21,796)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$ 952,783</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$ 360,073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$ 138,416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986,373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427,277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160,212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860"/>
              <w:spacing w:after="0"/>
              <w:rPr>
                <w:sz w:val="20"/>
                <w:szCs w:val="20"/>
                <w:color w:val="auto"/>
              </w:rPr>
            </w:pPr>
            <w:r>
              <w:rPr>
                <w:rFonts w:ascii="Arial" w:cs="Arial" w:eastAsia="Arial" w:hAnsi="Arial"/>
                <w:sz w:val="18"/>
                <w:szCs w:val="18"/>
                <w:color w:val="auto"/>
              </w:rPr>
              <w:t>Equity in earnings of subsidiaries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(931,036)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(373,713)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due to/from subsidiaries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233,519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860"/>
              <w:spacing w:after="0"/>
              <w:rPr>
                <w:sz w:val="20"/>
                <w:szCs w:val="20"/>
                <w:color w:val="auto"/>
              </w:rPr>
            </w:pPr>
            <w:r>
              <w:rPr>
                <w:rFonts w:ascii="Arial" w:cs="Arial" w:eastAsia="Arial" w:hAnsi="Arial"/>
                <w:sz w:val="18"/>
                <w:szCs w:val="18"/>
                <w:color w:val="auto"/>
              </w:rPr>
              <w:t>Changes in other operating assets and liabilities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289,106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153,035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122,010</w:t>
            </w:r>
          </w:p>
        </w:tc>
        <w:tc>
          <w:tcPr>
            <w:tcW w:w="0" w:type="dxa"/>
            <w:vAlign w:val="bottom"/>
          </w:tcPr>
          <w:p>
            <w:pPr>
              <w:spacing w:after="0"/>
              <w:rPr>
                <w:sz w:val="1"/>
                <w:szCs w:val="1"/>
                <w:color w:val="auto"/>
              </w:rPr>
            </w:pPr>
          </w:p>
        </w:tc>
      </w:tr>
      <w:tr>
        <w:trPr>
          <w:trHeight w:val="222"/>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A common stock dividends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(290,684)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(146,241)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(121,620)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2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(290,684)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(146,241)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(121,620)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Cash and cash equivalents, January 1</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December 31</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8"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accompanying Lazard Ltd condensed financial statements (the “Parent Company Financial Statements”), including the notes thereto, should be read in conjunction with the consolidated financial statements of Lazard Ltd and its subsidiaries (the “Company”) and the notes thereto.</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Parent Company Financial Statements as of December 31, 2015 and 2014, and for each of the three years in the period ended December 31, 2015,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Parent Company Financial Statements include investments in subsidiaries, accounted for under the equity method.</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60"/>
          </w:cols>
          <w:pgMar w:left="240" w:top="459" w:right="2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2016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M.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and Chief Executive Officer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000" w:type="dxa"/>
            <w:vAlign w:val="bottom"/>
          </w:tcPr>
          <w:p>
            <w:pPr>
              <w:spacing w:after="0"/>
              <w:rPr>
                <w:sz w:val="14"/>
                <w:szCs w:val="14"/>
                <w:color w:val="auto"/>
              </w:rPr>
            </w:pPr>
          </w:p>
        </w:tc>
        <w:tc>
          <w:tcPr>
            <w:tcW w:w="4220" w:type="dxa"/>
            <w:vAlign w:val="bottom"/>
            <w:gridSpan w:val="3"/>
          </w:tcPr>
          <w:p>
            <w:pPr>
              <w:ind w:left="120"/>
              <w:spacing w:after="0"/>
              <w:rPr>
                <w:sz w:val="20"/>
                <w:szCs w:val="20"/>
                <w:color w:val="auto"/>
              </w:rPr>
            </w:pPr>
            <w:r>
              <w:rPr>
                <w:rFonts w:ascii="Arial" w:cs="Arial" w:eastAsia="Arial" w:hAnsi="Arial"/>
                <w:sz w:val="14"/>
                <w:szCs w:val="14"/>
                <w:b w:val="1"/>
                <w:bCs w:val="1"/>
                <w:color w:val="auto"/>
              </w:rPr>
              <w:t>Capacity</w:t>
            </w:r>
          </w:p>
        </w:tc>
        <w:tc>
          <w:tcPr>
            <w:tcW w:w="1220" w:type="dxa"/>
            <w:vAlign w:val="bottom"/>
          </w:tcPr>
          <w:p>
            <w:pPr>
              <w:spacing w:after="0"/>
              <w:rPr>
                <w:sz w:val="14"/>
                <w:szCs w:val="14"/>
                <w:color w:val="auto"/>
              </w:rPr>
            </w:pPr>
          </w:p>
        </w:tc>
        <w:tc>
          <w:tcPr>
            <w:tcW w:w="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Kenneth M. Jacobs</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Chairman, Chief Executive Officer and 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8"/>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Kenneth M. Jacobs</w:t>
            </w:r>
          </w:p>
        </w:tc>
        <w:tc>
          <w:tcPr>
            <w:tcW w:w="2000" w:type="dxa"/>
            <w:vAlign w:val="bottom"/>
          </w:tcPr>
          <w:p>
            <w:pPr>
              <w:spacing w:after="0"/>
              <w:rPr>
                <w:sz w:val="18"/>
                <w:szCs w:val="18"/>
                <w:color w:val="auto"/>
              </w:rPr>
            </w:pPr>
          </w:p>
        </w:tc>
        <w:tc>
          <w:tcPr>
            <w:tcW w:w="42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29"/>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Matthieu Bucaille</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8"/>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Matthieu Bucaille</w:t>
            </w:r>
          </w:p>
        </w:tc>
        <w:tc>
          <w:tcPr>
            <w:tcW w:w="2000" w:type="dxa"/>
            <w:vAlign w:val="bottom"/>
          </w:tcPr>
          <w:p>
            <w:pPr>
              <w:spacing w:after="0"/>
              <w:rPr>
                <w:sz w:val="18"/>
                <w:szCs w:val="18"/>
                <w:color w:val="auto"/>
              </w:rPr>
            </w:pPr>
          </w:p>
        </w:tc>
        <w:tc>
          <w:tcPr>
            <w:tcW w:w="42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Dominick Ragone</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Chief Accounting Officer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Dominick Ragone</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Andrew M. Alper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Andrew M. Alper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Ashish Bhutani</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Ashish Bhutani</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Steven J. Heyer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Steven J. Heyer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Sylvia Jay</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Sylvia Jay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Philip A. Laskawy</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Philip A. Laskawy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Laurent Mignon</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Laurent Mignon</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Richard D. Parsons</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Richard D. Parsons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Hal S. Scott</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Hal S. Scott</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Michael J. Turner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Michael J. Turner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70"/>
        </w:trPr>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ind w:left="300"/>
              <w:spacing w:after="0"/>
              <w:rPr>
                <w:sz w:val="20"/>
                <w:szCs w:val="20"/>
                <w:color w:val="auto"/>
              </w:rPr>
            </w:pPr>
            <w:r>
              <w:rPr>
                <w:rFonts w:ascii="Arial" w:cs="Arial" w:eastAsia="Arial" w:hAnsi="Arial"/>
                <w:sz w:val="18"/>
                <w:szCs w:val="18"/>
                <w:color w:val="auto"/>
              </w:rPr>
              <w:t>II-1</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49" w:name="page150"/>
    <w:bookmarkEnd w:id="149"/>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00" w:type="dxa"/>
            <w:vAlign w:val="bottom"/>
            <w:gridSpan w:val="4"/>
          </w:tcPr>
          <w:p>
            <w:pPr>
              <w:jc w:val="right"/>
              <w:ind w:right="2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(16,620)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519,465</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216,807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123,885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Add—Fixed charges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75,109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86,066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103,668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106,470</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58,489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605,531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320,475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230,355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346,418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51,159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79,381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81,565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Other (c)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23,950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23,496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24,287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24,905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75,109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86,066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103,668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106,470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40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7.04</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3.09(e)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2.16(f)</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0"/>
              </w:rPr>
              <w:t>Deficiency in the coverage of operating income (loss) before fixed charges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total fixed charges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16,620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8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160" w:hanging="452"/>
        <w:spacing w:after="0" w:line="298"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2015 is presented after giving effect to a charge of (i) $60,219 associated with the redemption of $450 million of the 2017 Notes, (ii) $2,655 excess interest expense due to the overlap between the issuance of the 2025 Notes and the settlement of the redemption of the 2017 Notes, (iii) $12,203 relating to a private equity revenue adjustment and, (iv) $542,270 relating to the provision pursuant to the tax receivable agreement. Excluding the impact of such items, the ratio of earnings to fixed charges would have been 8.95.</w:t>
      </w:r>
    </w:p>
    <w:p>
      <w:pPr>
        <w:spacing w:after="0" w:line="31" w:lineRule="exact"/>
        <w:rPr>
          <w:rFonts w:ascii="Arial" w:cs="Arial" w:eastAsia="Arial" w:hAnsi="Arial"/>
          <w:sz w:val="16"/>
          <w:szCs w:val="16"/>
          <w:color w:val="auto"/>
        </w:rPr>
      </w:pPr>
    </w:p>
    <w:p>
      <w:pPr>
        <w:ind w:left="460" w:right="20" w:hanging="452"/>
        <w:spacing w:after="0" w:line="305" w:lineRule="auto"/>
        <w:tabs>
          <w:tab w:leader="none" w:pos="4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w:t>
      </w:r>
    </w:p>
    <w:p>
      <w:pPr>
        <w:ind w:left="460" w:right="60"/>
        <w:spacing w:after="0" w:line="261" w:lineRule="auto"/>
        <w:rPr>
          <w:rFonts w:ascii="Arial" w:cs="Arial" w:eastAsia="Arial" w:hAnsi="Arial"/>
          <w:sz w:val="15"/>
          <w:szCs w:val="15"/>
          <w:color w:val="auto"/>
        </w:rPr>
      </w:pPr>
      <w:r>
        <w:rPr>
          <w:rFonts w:ascii="Arial" w:cs="Arial" w:eastAsia="Arial" w:hAnsi="Arial"/>
          <w:sz w:val="18"/>
          <w:szCs w:val="18"/>
          <w:color w:val="auto"/>
        </w:rPr>
        <w:t>(iii) $12,203 relating to private equity incentive compensation. Excluding the impact of such charge, the ratio of earnings to fixed charges would have been 4.35.</w:t>
      </w:r>
    </w:p>
    <w:p>
      <w:pPr>
        <w:spacing w:after="0" w:line="56" w:lineRule="exact"/>
        <w:rPr>
          <w:rFonts w:ascii="Arial" w:cs="Arial" w:eastAsia="Arial" w:hAnsi="Arial"/>
          <w:sz w:val="15"/>
          <w:szCs w:val="15"/>
          <w:color w:val="auto"/>
        </w:rPr>
      </w:pPr>
    </w:p>
    <w:p>
      <w:pPr>
        <w:ind w:left="460" w:right="160" w:hanging="452"/>
        <w:spacing w:after="0" w:line="323" w:lineRule="auto"/>
        <w:tabs>
          <w:tab w:leader="none" w:pos="4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(ii) a charge in the fourth quarter of $102,576 associated with the cost saving initiatives announced by the Company in October, 2012. Excluding the impact of such items, the ratio of earnings to fixed charges would have been 3.36.</w:t>
      </w:r>
    </w:p>
    <w:p>
      <w:pPr>
        <w:sectPr>
          <w:pgSz w:w="11900" w:h="16838" w:orient="portrait"/>
          <w:cols w:equalWidth="0" w:num="1">
            <w:col w:w="11420"/>
          </w:cols>
          <w:pgMar w:left="240" w:top="125"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760" w:type="dxa"/>
            <w:vAlign w:val="bottom"/>
            <w:gridSpan w:val="2"/>
          </w:tcPr>
          <w:p>
            <w:pPr>
              <w:ind w:left="680"/>
              <w:spacing w:after="0"/>
              <w:rPr>
                <w:sz w:val="20"/>
                <w:szCs w:val="20"/>
                <w:color w:val="auto"/>
              </w:rPr>
            </w:pPr>
            <w:r>
              <w:rPr>
                <w:rFonts w:ascii="Arial" w:cs="Arial" w:eastAsia="Arial" w:hAnsi="Arial"/>
                <w:sz w:val="18"/>
                <w:szCs w:val="18"/>
                <w:b w:val="1"/>
                <w:bCs w:val="1"/>
                <w:color w:val="auto"/>
              </w:rPr>
              <w:t>SUBSIDIARIES OF REGISTRANT</w:t>
            </w:r>
          </w:p>
        </w:tc>
      </w:tr>
      <w:tr>
        <w:trPr>
          <w:trHeight w:val="373"/>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24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7"/>
              </w:rPr>
              <w:t>COUNTRY OF ORGANIZATION</w:t>
            </w:r>
          </w:p>
        </w:tc>
      </w:tr>
      <w:tr>
        <w:trPr>
          <w:trHeight w:val="195"/>
        </w:trPr>
        <w:tc>
          <w:tcPr>
            <w:tcW w:w="1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Lazard Group LLC</w:t>
            </w: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International Holdings, Inc.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&amp; Co.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Asset Management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Middle Market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LLtd Corp II</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Holdings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Services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Lazard Asset Management Limited</w:t>
            </w:r>
          </w:p>
        </w:tc>
        <w:tc>
          <w:tcPr>
            <w:tcW w:w="240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Compagnie Financière Lazard Frères SAS</w:t>
            </w:r>
          </w:p>
        </w:tc>
        <w:tc>
          <w:tcPr>
            <w:tcW w:w="240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Gestion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Banque SA</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Maison Lazard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Pty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Australia</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LLtd 1 Sàrl</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LLtd 2 Sàrl</w:t>
            </w:r>
          </w:p>
        </w:tc>
        <w:tc>
          <w:tcPr>
            <w:tcW w:w="240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bl>
    <w:p>
      <w:pPr>
        <w:sectPr>
          <w:pgSz w:w="11900" w:h="16838" w:orient="portrait"/>
          <w:cols w:equalWidth="0" w:num="1">
            <w:col w:w="11420"/>
          </w:cols>
          <w:pgMar w:left="240" w:top="125"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 333-126752, No. 333-154977 and No. 333-193845 each on Form S-8 and Registration Statement No. 333-188308 on Form S-3 of our reports dated February 25, 2016, relating to the consolidated financial statements and financial statement schedule of Lazard Ltd and subsidiaries (the “Company”), and the effectiveness of the Company’s internal control over financial reporting appearing in this Annual Report on Form 10-K of Lazard Ltd for the year ended December 31, 2015.</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ectPr>
          <w:pgSz w:w="11900" w:h="16838" w:orient="portrait"/>
          <w:cols w:equalWidth="0" w:num="1">
            <w:col w:w="11420"/>
          </w:cols>
          <w:pgMar w:left="240" w:top="12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2015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0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2016</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2015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0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2016</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Annual Report on Form 10-K for the year ended December 31, 2015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Annual Report on Form 10-K for the year ended December 31, 2015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1)"/>
      <w:numFmt w:val="decimal"/>
      <w:start w:val="1"/>
    </w:lvl>
  </w:abstractNum>
  <w:abstractNum w:abstractNumId="21">
    <w:nsid w:val="3F6AB60F"/>
    <w:multiLevelType w:val="hybridMultilevel"/>
    <w:lvl w:ilvl="0">
      <w:lvlJc w:val="left"/>
      <w:lvlText w:val="(%1)"/>
      <w:numFmt w:val="decimal"/>
      <w:start w:val="2"/>
    </w:lvl>
  </w:abstractNum>
  <w:abstractNum w:abstractNumId="22">
    <w:nsid w:val="61574095"/>
    <w:multiLevelType w:val="hybridMultilevel"/>
    <w:lvl w:ilvl="0">
      <w:lvlJc w:val="left"/>
      <w:lvlText w:val="(%1)"/>
      <w:numFmt w:val="lowerLetter"/>
      <w:start w:val="3"/>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1)"/>
      <w:numFmt w:val="lowerRoman"/>
      <w:start w:val="2"/>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1)"/>
      <w:numFmt w:val="lowerLetter"/>
      <w:start w:val="1"/>
    </w:lvl>
  </w:abstractNum>
  <w:abstractNum w:abstractNumId="27">
    <w:nsid w:val="5FF87E05"/>
    <w:multiLevelType w:val="hybridMultilevel"/>
    <w:lvl w:ilvl="0">
      <w:lvlJc w:val="left"/>
      <w:lvlText w:val="•"/>
      <w:numFmt w:val="bullet"/>
      <w:start w:val="1"/>
    </w:lvl>
    <w:lvl w:ilvl="1">
      <w:lvlJc w:val="left"/>
      <w:lvlText w:val="(%2)"/>
      <w:numFmt w:val="lowerRoman"/>
      <w:start w:val="1"/>
    </w:lvl>
  </w:abstractNum>
  <w:abstractNum w:abstractNumId="28">
    <w:nsid w:val="2F305DEF"/>
    <w:multiLevelType w:val="hybridMultilevel"/>
    <w:lvl w:ilvl="0">
      <w:lvlJc w:val="left"/>
      <w:lvlText w:val="(%1)"/>
      <w:numFmt w:val="lowerLetter"/>
      <w:start w:val="1"/>
    </w:lvl>
  </w:abstractNum>
  <w:abstractNum w:abstractNumId="29">
    <w:nsid w:val="25A70BF7"/>
    <w:multiLevelType w:val="hybridMultilevel"/>
    <w:lvl w:ilvl="0">
      <w:lvlJc w:val="left"/>
      <w:lvlText w:val="(%1)"/>
      <w:numFmt w:val="lowerLetter"/>
      <w:start w:val="1"/>
    </w:lvl>
  </w:abstractNum>
  <w:abstractNum w:abstractNumId="30">
    <w:nsid w:val="1DBABF00"/>
    <w:multiLevelType w:val="hybridMultilevel"/>
    <w:lvl w:ilvl="0">
      <w:lvlJc w:val="left"/>
      <w:lvlText w:val="(%1)"/>
      <w:numFmt w:val="lowerLetter"/>
      <w:start w:val="1"/>
    </w:lvl>
  </w:abstractNum>
  <w:abstractNum w:abstractNumId="31">
    <w:nsid w:val="4AD084E9"/>
    <w:multiLevelType w:val="hybridMultilevel"/>
    <w:lvl w:ilvl="0">
      <w:lvlJc w:val="left"/>
      <w:lvlText w:val="(%1)"/>
      <w:numFmt w:val="lowerLetter"/>
      <w:start w:val="1"/>
    </w:lvl>
  </w:abstractNum>
  <w:abstractNum w:abstractNumId="32">
    <w:nsid w:val="1F48EAA1"/>
    <w:multiLevelType w:val="hybridMultilevel"/>
    <w:lvl w:ilvl="0">
      <w:lvlJc w:val="left"/>
      <w:lvlText w:val="(%1)"/>
      <w:numFmt w:val="lowerLetter"/>
      <w:start w:val="1"/>
    </w:lvl>
  </w:abstractNum>
  <w:abstractNum w:abstractNumId="33">
    <w:nsid w:val="1381823A"/>
    <w:multiLevelType w:val="hybridMultilevel"/>
    <w:lvl w:ilvl="0">
      <w:lvlJc w:val="left"/>
      <w:lvlText w:val="(%1)"/>
      <w:numFmt w:val="lowerLetter"/>
      <w:start w:val="1"/>
    </w:lvl>
  </w:abstractNum>
  <w:abstractNum w:abstractNumId="34">
    <w:nsid w:val="5DB70AE5"/>
    <w:multiLevelType w:val="hybridMultilevel"/>
    <w:lvl w:ilvl="0">
      <w:lvlJc w:val="left"/>
      <w:lvlText w:val="(%1)"/>
      <w:numFmt w:val="lowerLetter"/>
      <w:start w:val="1"/>
    </w:lvl>
  </w:abstractNum>
  <w:abstractNum w:abstractNumId="35">
    <w:nsid w:val="100F8FCA"/>
    <w:multiLevelType w:val="hybridMultilevel"/>
    <w:lvl w:ilvl="0">
      <w:lvlJc w:val="left"/>
      <w:lvlText w:val="(%1)"/>
      <w:numFmt w:val="lowerLetter"/>
      <w:start w:val="2"/>
    </w:lvl>
  </w:abstractNum>
  <w:abstractNum w:abstractNumId="36">
    <w:nsid w:val="6590700B"/>
    <w:multiLevelType w:val="hybridMultilevel"/>
    <w:lvl w:ilvl="0">
      <w:lvlJc w:val="left"/>
      <w:lvlText w:val="(%1)"/>
      <w:numFmt w:val="lowerLetter"/>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1)"/>
      <w:numFmt w:val="lowerLetter"/>
      <w:start w:val="1"/>
    </w:lvl>
  </w:abstractNum>
  <w:abstractNum w:abstractNumId="41">
    <w:nsid w:val="6B94764"/>
    <w:multiLevelType w:val="hybridMultilevel"/>
    <w:lvl w:ilvl="0">
      <w:lvlJc w:val="left"/>
      <w:lvlText w:val="(%1)"/>
      <w:numFmt w:val="lowerLetter"/>
      <w:start w:val="2"/>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1."/>
      <w:numFmt w:val="decimal"/>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1."/>
      <w:numFmt w:val="decimal"/>
      <w:start w:val="2"/>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1."/>
      <w:numFmt w:val="decimal"/>
      <w:start w:val="3"/>
    </w:lvl>
  </w:abstractNum>
  <w:abstractNum w:abstractNumId="53">
    <w:nsid w:val="42963E5A"/>
    <w:multiLevelType w:val="hybridMultilevel"/>
    <w:lvl w:ilvl="0">
      <w:lvlJc w:val="left"/>
      <w:lvlText w:val="%1."/>
      <w:numFmt w:val="decimal"/>
      <w:start w:val="4"/>
    </w:lvl>
  </w:abstractNum>
  <w:abstractNum w:abstractNumId="54">
    <w:nsid w:val="A0382C5"/>
    <w:multiLevelType w:val="hybridMultilevel"/>
    <w:lvl w:ilvl="0">
      <w:lvlJc w:val="left"/>
      <w:lvlText w:val="%1."/>
      <w:numFmt w:val="decimal"/>
      <w:start w:val="5"/>
    </w:lvl>
  </w:abstractNum>
  <w:abstractNum w:abstractNumId="55">
    <w:nsid w:val="8F2B15E"/>
    <w:multiLevelType w:val="hybridMultilevel"/>
    <w:lvl w:ilvl="0">
      <w:lvlJc w:val="left"/>
      <w:lvlText w:val="(%1)"/>
      <w:numFmt w:val="lowerLetter"/>
      <w:start w:val="1"/>
    </w:lvl>
  </w:abstractNum>
  <w:abstractNum w:abstractNumId="56">
    <w:nsid w:val="1A32234B"/>
    <w:multiLevelType w:val="hybridMultilevel"/>
    <w:lvl w:ilvl="0">
      <w:lvlJc w:val="left"/>
      <w:lvlText w:val="%1."/>
      <w:numFmt w:val="decimal"/>
      <w:start w:val="6"/>
    </w:lvl>
  </w:abstractNum>
  <w:abstractNum w:abstractNumId="57">
    <w:nsid w:val="3B0FD379"/>
    <w:multiLevelType w:val="hybridMultilevel"/>
    <w:lvl w:ilvl="0">
      <w:lvlJc w:val="left"/>
      <w:lvlText w:val="(%1)"/>
      <w:numFmt w:val="lowerLetter"/>
      <w:start w:val="1"/>
    </w:lvl>
  </w:abstractNum>
  <w:abstractNum w:abstractNumId="58">
    <w:nsid w:val="68EB2F63"/>
    <w:multiLevelType w:val="hybridMultilevel"/>
    <w:lvl w:ilvl="0">
      <w:lvlJc w:val="left"/>
      <w:lvlText w:val="(%1)"/>
      <w:numFmt w:val="lowerLetter"/>
      <w:start w:val="1"/>
    </w:lvl>
  </w:abstractNum>
  <w:abstractNum w:abstractNumId="59">
    <w:nsid w:val="4962813B"/>
    <w:multiLevelType w:val="hybridMultilevel"/>
    <w:lvl w:ilvl="0">
      <w:lvlJc w:val="left"/>
      <w:lvlText w:val="(%1)"/>
      <w:numFmt w:val="lowerLetter"/>
      <w:start w:val="1"/>
    </w:lvl>
  </w:abstractNum>
  <w:abstractNum w:abstractNumId="60">
    <w:nsid w:val="60B6DF70"/>
    <w:multiLevelType w:val="hybridMultilevel"/>
    <w:lvl w:ilvl="0">
      <w:lvlJc w:val="left"/>
      <w:lvlText w:val="(%1)"/>
      <w:numFmt w:val="lowerLetter"/>
      <w:start w:val="1"/>
    </w:lvl>
  </w:abstractNum>
  <w:abstractNum w:abstractNumId="61">
    <w:nsid w:val="6A5EE64"/>
    <w:multiLevelType w:val="hybridMultilevel"/>
    <w:lvl w:ilvl="0">
      <w:lvlJc w:val="left"/>
      <w:lvlText w:val="(%1)"/>
      <w:numFmt w:val="lowerLetter"/>
      <w:start w:val="2"/>
    </w:lvl>
  </w:abstractNum>
  <w:abstractNum w:abstractNumId="62">
    <w:nsid w:val="14330624"/>
    <w:multiLevelType w:val="hybridMultilevel"/>
    <w:lvl w:ilvl="0">
      <w:lvlJc w:val="left"/>
      <w:lvlText w:val="%1."/>
      <w:numFmt w:val="decimal"/>
      <w:start w:val="7"/>
    </w:lvl>
  </w:abstractNum>
  <w:abstractNum w:abstractNumId="63">
    <w:nsid w:val="7FFFCA11"/>
    <w:multiLevelType w:val="hybridMultilevel"/>
    <w:lvl w:ilvl="0">
      <w:lvlJc w:val="left"/>
      <w:lvlText w:val="(%1)"/>
      <w:numFmt w:val="lowerLetter"/>
      <w:start w:val="1"/>
    </w:lvl>
  </w:abstractNum>
  <w:abstractNum w:abstractNumId="64">
    <w:nsid w:val="1A27709E"/>
    <w:multiLevelType w:val="hybridMultilevel"/>
    <w:lvl w:ilvl="0">
      <w:lvlJc w:val="left"/>
      <w:lvlText w:val="%1."/>
      <w:numFmt w:val="decimal"/>
      <w:start w:val="8"/>
    </w:lvl>
  </w:abstractNum>
  <w:abstractNum w:abstractNumId="65">
    <w:nsid w:val="71EA1109"/>
    <w:multiLevelType w:val="hybridMultilevel"/>
    <w:lvl w:ilvl="0">
      <w:lvlJc w:val="left"/>
      <w:lvlText w:val="%1."/>
      <w:numFmt w:val="decimal"/>
      <w:start w:val="9"/>
    </w:lvl>
  </w:abstractNum>
  <w:abstractNum w:abstractNumId="66">
    <w:nsid w:val="100F59DC"/>
    <w:multiLevelType w:val="hybridMultilevel"/>
    <w:lvl w:ilvl="0">
      <w:lvlJc w:val="left"/>
      <w:lvlText w:val="%1"/>
      <w:numFmt w:val="decimal"/>
      <w:start w:val="1"/>
    </w:lvl>
    <w:lvl w:ilvl="1">
      <w:lvlJc w:val="left"/>
      <w:lvlText w:val="(%2)"/>
      <w:numFmt w:val="lowerLetter"/>
      <w:start w:val="1"/>
    </w:lvl>
  </w:abstractNum>
  <w:abstractNum w:abstractNumId="67">
    <w:nsid w:val="7FB7E0AA"/>
    <w:multiLevelType w:val="hybridMultilevel"/>
    <w:lvl w:ilvl="0">
      <w:lvlJc w:val="left"/>
      <w:lvlText w:val="%1."/>
      <w:numFmt w:val="decimal"/>
      <w:start w:val="10"/>
    </w:lvl>
    <w:lvl w:ilvl="1">
      <w:lvlJc w:val="left"/>
      <w:lvlText w:val="%2"/>
      <w:numFmt w:val="lowerLetter"/>
      <w:start w:val="1"/>
    </w:lvl>
  </w:abstractNum>
  <w:abstractNum w:abstractNumId="68">
    <w:nsid w:val="6EB5BD4"/>
    <w:multiLevelType w:val="hybridMultilevel"/>
    <w:lvl w:ilvl="0">
      <w:lvlJc w:val="left"/>
      <w:lvlText w:val="%1."/>
      <w:numFmt w:val="decimal"/>
      <w:start w:val="11"/>
    </w:lvl>
  </w:abstractNum>
  <w:abstractNum w:abstractNumId="69">
    <w:nsid w:val="6F6DD9AC"/>
    <w:multiLevelType w:val="hybridMultilevel"/>
    <w:lvl w:ilvl="0">
      <w:lvlJc w:val="left"/>
      <w:lvlText w:val="(%1)"/>
      <w:numFmt w:val="lowerLetter"/>
      <w:start w:val="1"/>
    </w:lvl>
  </w:abstractNum>
  <w:abstractNum w:abstractNumId="70">
    <w:nsid w:val="94211F2"/>
    <w:multiLevelType w:val="hybridMultilevel"/>
    <w:lvl w:ilvl="0">
      <w:lvlJc w:val="left"/>
      <w:lvlText w:val="%1."/>
      <w:numFmt w:val="decimal"/>
      <w:start w:val="12"/>
    </w:lvl>
  </w:abstractNum>
  <w:abstractNum w:abstractNumId="71">
    <w:nsid w:val="885E1B"/>
    <w:multiLevelType w:val="hybridMultilevel"/>
    <w:lvl w:ilvl="0">
      <w:lvlJc w:val="left"/>
      <w:lvlText w:val="%1."/>
      <w:numFmt w:val="decimal"/>
      <w:start w:val="13"/>
    </w:lvl>
  </w:abstractNum>
  <w:abstractNum w:abstractNumId="72">
    <w:nsid w:val="76272110"/>
    <w:multiLevelType w:val="hybridMultilevel"/>
    <w:lvl w:ilvl="0">
      <w:lvlJc w:val="left"/>
      <w:lvlText w:val="(%1)"/>
      <w:numFmt w:val="lowerLetter"/>
      <w:start w:val="1"/>
    </w:lvl>
  </w:abstractNum>
  <w:abstractNum w:abstractNumId="73">
    <w:nsid w:val="4C04A8AF"/>
    <w:multiLevelType w:val="hybridMultilevel"/>
    <w:lvl w:ilvl="0">
      <w:lvlJc w:val="left"/>
      <w:lvlText w:val="%1."/>
      <w:numFmt w:val="decimal"/>
      <w:start w:val="14"/>
    </w:lvl>
  </w:abstractNum>
  <w:abstractNum w:abstractNumId="74">
    <w:nsid w:val="1716703B"/>
    <w:multiLevelType w:val="hybridMultilevel"/>
    <w:lvl w:ilvl="0">
      <w:lvlJc w:val="left"/>
      <w:lvlText w:val="(%1)"/>
      <w:numFmt w:val="lowerLetter"/>
      <w:start w:val="1"/>
    </w:lvl>
  </w:abstractNum>
  <w:abstractNum w:abstractNumId="75">
    <w:nsid w:val="14E17E33"/>
    <w:multiLevelType w:val="hybridMultilevel"/>
    <w:lvl w:ilvl="0">
      <w:lvlJc w:val="left"/>
      <w:lvlText w:val="(%1)"/>
      <w:numFmt w:val="lowerLetter"/>
      <w:start w:val="1"/>
    </w:lvl>
  </w:abstractNum>
  <w:abstractNum w:abstractNumId="76">
    <w:nsid w:val="3222E7CD"/>
    <w:multiLevelType w:val="hybridMultilevel"/>
    <w:lvl w:ilvl="0">
      <w:lvlJc w:val="left"/>
      <w:lvlText w:val="(%1)"/>
      <w:numFmt w:val="lowerLetter"/>
      <w:start w:val="1"/>
    </w:lvl>
  </w:abstractNum>
  <w:abstractNum w:abstractNumId="77">
    <w:nsid w:val="74DE0EE3"/>
    <w:multiLevelType w:val="hybridMultilevel"/>
    <w:lvl w:ilvl="0">
      <w:lvlJc w:val="left"/>
      <w:lvlText w:val="%1."/>
      <w:numFmt w:val="decimal"/>
      <w:start w:val="15"/>
    </w:lvl>
  </w:abstractNum>
  <w:abstractNum w:abstractNumId="78">
    <w:nsid w:val="68EBC550"/>
    <w:multiLevelType w:val="hybridMultilevel"/>
    <w:lvl w:ilvl="0">
      <w:lvlJc w:val="left"/>
      <w:lvlText w:val="(%1)"/>
      <w:numFmt w:val="lowerLetter"/>
      <w:start w:val="1"/>
    </w:lvl>
  </w:abstractNum>
  <w:abstractNum w:abstractNumId="79">
    <w:nsid w:val="2DF6D648"/>
    <w:multiLevelType w:val="hybridMultilevel"/>
    <w:lvl w:ilvl="0">
      <w:lvlJc w:val="left"/>
      <w:lvlText w:val="%1."/>
      <w:numFmt w:val="decimal"/>
      <w:start w:val="16"/>
    </w:lvl>
  </w:abstractNum>
  <w:abstractNum w:abstractNumId="80">
    <w:nsid w:val="46B7D447"/>
    <w:multiLevelType w:val="hybridMultilevel"/>
    <w:lvl w:ilvl="0">
      <w:lvlJc w:val="left"/>
      <w:lvlText w:val="%1."/>
      <w:numFmt w:val="decimal"/>
      <w:start w:val="17"/>
    </w:lvl>
  </w:abstractNum>
  <w:abstractNum w:abstractNumId="81">
    <w:nsid w:val="4A2AC315"/>
    <w:multiLevelType w:val="hybridMultilevel"/>
    <w:lvl w:ilvl="0">
      <w:lvlJc w:val="left"/>
      <w:lvlText w:val="(%1)"/>
      <w:numFmt w:val="lowerLetter"/>
      <w:start w:val="1"/>
    </w:lvl>
  </w:abstractNum>
  <w:abstractNum w:abstractNumId="82">
    <w:nsid w:val="39EE015C"/>
    <w:multiLevelType w:val="hybridMultilevel"/>
    <w:lvl w:ilvl="0">
      <w:lvlJc w:val="left"/>
      <w:lvlText w:val="(%1)"/>
      <w:numFmt w:val="lowerLetter"/>
      <w:start w:val="1"/>
    </w:lvl>
  </w:abstractNum>
  <w:abstractNum w:abstractNumId="83">
    <w:nsid w:val="57FC4FBB"/>
    <w:multiLevelType w:val="hybridMultilevel"/>
    <w:lvl w:ilvl="0">
      <w:lvlJc w:val="left"/>
      <w:lvlText w:val="(%1)"/>
      <w:numFmt w:val="lowerLetter"/>
      <w:start w:val="1"/>
    </w:lvl>
  </w:abstractNum>
  <w:abstractNum w:abstractNumId="84">
    <w:nsid w:val="CC1016F"/>
    <w:multiLevelType w:val="hybridMultilevel"/>
    <w:lvl w:ilvl="0">
      <w:lvlJc w:val="left"/>
      <w:lvlText w:val="(%1)"/>
      <w:numFmt w:val="lowerRoman"/>
      <w:start w:val="1"/>
    </w:lvl>
  </w:abstractNum>
  <w:abstractNum w:abstractNumId="85">
    <w:nsid w:val="43F18422"/>
    <w:multiLevelType w:val="hybridMultilevel"/>
    <w:lvl w:ilvl="0">
      <w:lvlJc w:val="left"/>
      <w:lvlText w:val="(%1)"/>
      <w:numFmt w:val="lowerRoman"/>
      <w:start w:val="1"/>
    </w:lvl>
  </w:abstractNum>
  <w:abstractNum w:abstractNumId="86">
    <w:nsid w:val="60EF0119"/>
    <w:multiLevelType w:val="hybridMultilevel"/>
    <w:lvl w:ilvl="0">
      <w:lvlJc w:val="left"/>
      <w:lvlText w:val="%1."/>
      <w:numFmt w:val="decimal"/>
      <w:start w:val="18"/>
    </w:lvl>
  </w:abstractNum>
  <w:abstractNum w:abstractNumId="87">
    <w:nsid w:val="26F324BA"/>
    <w:multiLevelType w:val="hybridMultilevel"/>
    <w:lvl w:ilvl="0">
      <w:lvlJc w:val="left"/>
      <w:lvlText w:val="%1."/>
      <w:numFmt w:val="decimal"/>
      <w:start w:val="19"/>
    </w:lvl>
  </w:abstractNum>
  <w:abstractNum w:abstractNumId="88">
    <w:nsid w:val="7F01579B"/>
    <w:multiLevelType w:val="hybridMultilevel"/>
    <w:lvl w:ilvl="0">
      <w:lvlJc w:val="left"/>
      <w:lvlText w:val="%1."/>
      <w:numFmt w:val="decimal"/>
      <w:start w:val="20"/>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1)"/>
      <w:numFmt w:val="lowerLetter"/>
      <w:start w:val="1"/>
    </w:lvl>
  </w:abstractNum>
  <w:abstractNum w:abstractNumId="91">
    <w:nsid w:val="5FB8370B"/>
    <w:multiLevelType w:val="hybridMultilevel"/>
    <w:lvl w:ilvl="0">
      <w:lvlJc w:val="left"/>
      <w:lvlText w:val="(%1)"/>
      <w:numFmt w:val="lowerLetter"/>
      <w:start w:val="2"/>
    </w:lvl>
  </w:abstractNum>
  <w:abstractNum w:abstractNumId="92">
    <w:nsid w:val="50801EE1"/>
    <w:multiLevelType w:val="hybridMultilevel"/>
    <w:lvl w:ilvl="0">
      <w:lvlJc w:val="left"/>
      <w:lvlText w:val="(%1)"/>
      <w:numFmt w:val="lowerLetter"/>
      <w:start w:val="1"/>
    </w:lvl>
  </w:abstractNum>
  <w:abstractNum w:abstractNumId="93">
    <w:nsid w:val="488AC1A"/>
    <w:multiLevelType w:val="hybridMultilevel"/>
    <w:lvl w:ilvl="0">
      <w:lvlJc w:val="left"/>
      <w:lvlText w:val="(%1)"/>
      <w:numFmt w:val="lowerLetter"/>
      <w:start w:val="1"/>
    </w:lvl>
  </w:abstractNum>
  <w:abstractNum w:abstractNumId="94">
    <w:nsid w:val="5FB8011C"/>
    <w:multiLevelType w:val="hybridMultilevel"/>
    <w:lvl w:ilvl="0">
      <w:lvlJc w:val="left"/>
      <w:lvlText w:val="(%1)"/>
      <w:numFmt w:val="decimal"/>
      <w:start w:val="1"/>
    </w:lvl>
  </w:abstractNum>
  <w:abstractNum w:abstractNumId="95">
    <w:nsid w:val="6AA78F7F"/>
    <w:multiLevelType w:val="hybridMultilevel"/>
    <w:lvl w:ilvl="0">
      <w:lvlJc w:val="left"/>
      <w:lvlText w:val="(%1)"/>
      <w:numFmt w:val="decimal"/>
      <w:start w:val="2"/>
    </w:lvl>
  </w:abstractNum>
  <w:abstractNum w:abstractNumId="96">
    <w:nsid w:val="7672BD23"/>
    <w:multiLevelType w:val="hybridMultilevel"/>
    <w:lvl w:ilvl="0">
      <w:lvlJc w:val="left"/>
      <w:lvlText w:val="(%1)"/>
      <w:numFmt w:val="lowerLetter"/>
      <w:start w:val="1"/>
    </w:lvl>
    <w:lvl w:ilvl="1">
      <w:lvlJc w:val="left"/>
      <w:lvlText w:val="%2."/>
      <w:numFmt w:val="decimal"/>
      <w:start w:val="1"/>
    </w:lvl>
  </w:abstractNum>
  <w:abstractNum w:abstractNumId="97">
    <w:nsid w:val="6FC75AF8"/>
    <w:multiLevelType w:val="hybridMultilevel"/>
    <w:lvl w:ilvl="0">
      <w:lvlJc w:val="left"/>
      <w:lvlText w:val="%1."/>
      <w:numFmt w:val="decimal"/>
      <w:start w:val="1"/>
    </w:lvl>
  </w:abstractNum>
  <w:abstractNum w:abstractNumId="98">
    <w:nsid w:val="6A5F7029"/>
    <w:multiLevelType w:val="hybridMultilevel"/>
    <w:lvl w:ilvl="0">
      <w:lvlJc w:val="left"/>
      <w:lvlText w:val="(%1)"/>
      <w:numFmt w:val="lowerLetter"/>
      <w:start w:val="1"/>
    </w:lvl>
    <w:lvl w:ilvl="1">
      <w:lvlJc w:val="left"/>
      <w:lvlText w:val="•"/>
      <w:numFmt w:val="bullet"/>
      <w:start w:val="1"/>
    </w:lvl>
  </w:abstractNum>
  <w:abstractNum w:abstractNumId="99">
    <w:nsid w:val="7D5E18F8"/>
    <w:multiLevelType w:val="hybridMultilevel"/>
    <w:lvl w:ilvl="0">
      <w:lvlJc w:val="left"/>
      <w:lvlText w:val="%1."/>
      <w:numFmt w:val="decimal"/>
      <w:start w:val="1"/>
    </w:lvl>
    <w:lvl w:ilvl="1">
      <w:lvlJc w:val="left"/>
      <w:lvlText w:val="(%2)"/>
      <w:numFmt w:val="lowerLetter"/>
      <w:start w:val="1"/>
    </w:lvl>
  </w:abstractNum>
  <w:abstractNum w:abstractNumId="100">
    <w:nsid w:val="5F3534A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2019-12-29T13:42:45Z</dcterms:created>
  <dcterms:modified xsi:type="dcterms:W3CDTF">2019-12-29T13:42:45Z</dcterms:modified>
</cp:coreProperties>
</file>