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6"/>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258"/>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49"/>
        </w:trPr>
        <w:tc>
          <w:tcPr>
            <w:tcW w:w="2900" w:type="dxa"/>
            <w:vAlign w:val="bottom"/>
          </w:tcPr>
          <w:p>
            <w:pPr>
              <w:spacing w:after="0"/>
              <w:rPr>
                <w:sz w:val="21"/>
                <w:szCs w:val="21"/>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1"/>
                <w:szCs w:val="21"/>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70"/>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right="280" w:firstLine="342"/>
        <w:spacing w:after="0" w:line="268" w:lineRule="auto"/>
        <w:rPr>
          <w:sz w:val="20"/>
          <w:szCs w:val="20"/>
          <w:color w:val="auto"/>
        </w:rPr>
      </w:pPr>
      <w:r>
        <w:rPr>
          <w:rFonts w:ascii="Arial" w:cs="Arial" w:eastAsia="Arial" w:hAnsi="Arial"/>
          <w:sz w:val="18"/>
          <w:szCs w:val="18"/>
          <w:color w:val="auto"/>
        </w:rPr>
        <w:t>As of April 25, 2014, there were 129,056,081 shares of the Registrant’s Class A common stock (including 6,230,717 shares held by subsidiaries) and one share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operating assets other than indirect ownership as of March 31, 2014 of approximately 99.5% of the common membership interests in Lazard Group and its controlling interest in Lazard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8">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520" w:type="dxa"/>
            <w:vAlign w:val="bottom"/>
            <w:gridSpan w:val="3"/>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Financial Condition as of March 31, 2014 and December 31, 2013</w:t>
              </w:r>
            </w:hyperlink>
          </w:p>
        </w:tc>
        <w:tc>
          <w:tcPr>
            <w:tcW w:w="3520" w:type="dxa"/>
            <w:vAlign w:val="bottom"/>
            <w:gridSpan w:val="5"/>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7520" w:type="dxa"/>
            <w:vAlign w:val="bottom"/>
            <w:tcBorders>
              <w:bottom w:val="single" w:sz="8" w:color="0000EE"/>
            </w:tcBorders>
            <w:gridSpan w:val="3"/>
            <w:vMerge w:val="continue"/>
          </w:tcPr>
          <w:p>
            <w:pPr>
              <w:spacing w:after="0"/>
              <w:rPr>
                <w:sz w:val="13"/>
                <w:szCs w:val="13"/>
                <w:color w:val="auto"/>
              </w:rPr>
            </w:pPr>
          </w:p>
        </w:tc>
        <w:tc>
          <w:tcPr>
            <w:tcW w:w="3520" w:type="dxa"/>
            <w:vAlign w:val="bottom"/>
            <w:gridSpan w:val="5"/>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8"/>
        </w:trPr>
        <w:tc>
          <w:tcPr>
            <w:tcW w:w="7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periods ended March 31, 2014 and 2013</w:t>
              </w:r>
            </w:hyperlink>
          </w:p>
        </w:tc>
        <w:tc>
          <w:tcPr>
            <w:tcW w:w="31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periods ended March 31, 2014 and 2013</w:t>
              </w:r>
            </w:hyperlink>
          </w:p>
        </w:tc>
        <w:tc>
          <w:tcPr>
            <w:tcW w:w="22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 periods ended March 31, 2014 and 2013</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Condensed Consolidated Statements of Changes in Stockholders’ Equity for the three month periods ended March 31, 2014 and 2013</w:t>
              </w:r>
            </w:hyperlink>
          </w:p>
        </w:tc>
        <w:tc>
          <w:tcPr>
            <w:tcW w:w="16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78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620" w:type="dxa"/>
            <w:vAlign w:val="bottom"/>
          </w:tcPr>
          <w:p>
            <w:pPr>
              <w:jc w:val="right"/>
              <w:ind w:right="1672"/>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AND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666,589</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274,391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64,460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62,046</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3"/>
              </w:rPr>
              <w:t>Receivables (net of allowance for doubtful accounts of $31,324 and $28,777 at March 31, 2014 and December 31, 2013,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Fees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401,037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117,860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523,082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417,295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478,105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w w:val="90"/>
              </w:rPr>
              <w:t>Property (net of accumulated amortization and depreciation of $262,928 and $253,930 at March 31, 2014 and December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2013,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242,977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248,796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5"/>
              </w:rPr>
              <w:t>Goodwill and other intangible assets (net of accumulated amortization of $46,599 and $45,379 at March 31, 2014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2013, 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366,921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342,488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2,898,203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3,011,137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 AND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350,114</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1,048,350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1,048,350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2,342,562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2,381,139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- 7,921 shares issued and outstanding at March 31, 2014 and December 31, 2013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Class A, par value $.01 per share (500,000,000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w w:val="92"/>
              </w:rPr>
              <w:t>129,056,081 shares issued and outstanding at March 31, 2014 and December 31, 2013, including shares held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rPr>
              <w:t>by subsidiaries as indicated below)</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Class B, par value $.01 per share (1 share authorized, issued and outstanding at March 31, 2014 and December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31, 2013)</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556,711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737,899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(126,383)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(133,004)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Class A common stock held by subsidiaries, at cost (6,060,439 and 8,317,065 shares at March 31, 2014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December 31, 2013, respectively)</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(188,593)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(249,213)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69,797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2,898,203</w:t>
            </w:r>
          </w:p>
        </w:tc>
        <w:tc>
          <w:tcPr>
            <w:tcW w:w="2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3,011,137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714"/>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272,675</w:t>
            </w: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management fees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253,031</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1,419</w:t>
            </w: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5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6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549,353</w:t>
            </w: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15,953</w:t>
            </w:r>
          </w:p>
        </w:tc>
        <w:tc>
          <w:tcPr>
            <w:tcW w:w="5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860"/>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533,400</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401,903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321,565</w:t>
            </w: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equipment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28,312</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Marketing and business development</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19,233</w:t>
            </w: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information services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23,487</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7,591</w:t>
            </w: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15,454</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1,220</w:t>
            </w: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5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426,220</w:t>
            </w:r>
          </w:p>
        </w:tc>
        <w:tc>
          <w:tcPr>
            <w:tcW w:w="5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107,180</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21,751</w:t>
            </w: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85,429</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w:t>
            </w: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80,842</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60" w:type="dxa"/>
            <w:vAlign w:val="bottom"/>
          </w:tcPr>
          <w:p>
            <w:pPr>
              <w:ind w:left="200"/>
              <w:spacing w:after="0"/>
              <w:rPr>
                <w:sz w:val="20"/>
                <w:szCs w:val="20"/>
                <w:color w:val="auto"/>
              </w:rPr>
            </w:pPr>
            <w:r>
              <w:rPr>
                <w:rFonts w:ascii="Arial" w:cs="Arial" w:eastAsia="Arial" w:hAnsi="Arial"/>
                <w:sz w:val="18"/>
                <w:szCs w:val="18"/>
                <w:b w:val="1"/>
                <w:bCs w:val="1"/>
                <w:color w:val="auto"/>
              </w:rPr>
              <w:t>STOCKHOLDERS: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b w:val="1"/>
                <w:bCs w:val="1"/>
                <w:color w:val="auto"/>
              </w:rPr>
              <w:t>WEIGHTED AVERAGE SHARES OF COMMON STOCK</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OUTSTANDING:</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6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w w:val="85"/>
              </w:rPr>
              <w:t>121,776,207</w:t>
            </w: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117,708,204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5"/>
              </w:rPr>
              <w:t>134,025,991</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132,815,560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860" w:type="dxa"/>
            <w:vAlign w:val="bottom"/>
          </w:tcPr>
          <w:p>
            <w:pPr>
              <w:ind w:left="200"/>
              <w:spacing w:after="0"/>
              <w:rPr>
                <w:sz w:val="20"/>
                <w:szCs w:val="20"/>
                <w:color w:val="auto"/>
              </w:rPr>
            </w:pPr>
            <w:r>
              <w:rPr>
                <w:rFonts w:ascii="Arial" w:cs="Arial" w:eastAsia="Arial" w:hAnsi="Arial"/>
                <w:sz w:val="18"/>
                <w:szCs w:val="18"/>
                <w:b w:val="1"/>
                <w:bCs w:val="1"/>
                <w:color w:val="auto"/>
              </w:rPr>
              <w:t>NET INCOME PER SHARE OF COMMON STOCK:</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5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$0.61</w:t>
            </w: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$0.30</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85,429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36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5,913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(12,433)</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460" w:type="dxa"/>
            <w:vAlign w:val="bottom"/>
          </w:tcPr>
          <w:p>
            <w:pPr>
              <w:spacing w:after="0"/>
              <w:rPr>
                <w:sz w:val="24"/>
                <w:szCs w:val="24"/>
                <w:color w:val="auto"/>
              </w:rPr>
            </w:pPr>
          </w:p>
        </w:tc>
        <w:tc>
          <w:tcPr>
            <w:tcW w:w="9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w w:val="97"/>
              </w:rPr>
              <w:t>Actuarial loss (net of tax benefit of $50 and $1,795 for the three months ended March 31, 2014 and 2013,</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1060"/>
              <w:spacing w:after="0"/>
              <w:rPr>
                <w:sz w:val="20"/>
                <w:szCs w:val="20"/>
                <w:color w:val="auto"/>
              </w:rPr>
            </w:pPr>
            <w:r>
              <w:rPr>
                <w:rFonts w:ascii="Arial" w:cs="Arial" w:eastAsia="Arial" w:hAnsi="Arial"/>
                <w:sz w:val="18"/>
                <w:szCs w:val="18"/>
                <w:color w:val="auto"/>
              </w:rPr>
              <w:t>respectively)</w:t>
            </w:r>
          </w:p>
        </w:tc>
        <w:tc>
          <w:tcPr>
            <w:tcW w:w="1360" w:type="dxa"/>
            <w:vAlign w:val="bottom"/>
            <w:gridSpan w:val="3"/>
          </w:tcPr>
          <w:p>
            <w:pPr>
              <w:jc w:val="right"/>
              <w:ind w:right="192"/>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Adjustment for items reclassified to earnings (net of tax expense of $532 and $402 for the three months ended</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March 31, 2014 and 2013, respectively)</w:t>
            </w: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1,289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232"/>
              <w:spacing w:after="0"/>
              <w:rPr>
                <w:sz w:val="20"/>
                <w:szCs w:val="20"/>
                <w:color w:val="auto"/>
              </w:rPr>
            </w:pPr>
            <w:r>
              <w:rPr>
                <w:rFonts w:ascii="Arial" w:cs="Arial" w:eastAsia="Arial" w:hAnsi="Arial"/>
                <w:sz w:val="18"/>
                <w:szCs w:val="18"/>
                <w:color w:val="auto"/>
              </w:rPr>
              <w:t>6,645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(14,374)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92,074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b w:val="1"/>
                <w:bCs w:val="1"/>
                <w:color w:val="auto"/>
              </w:rPr>
              <w:t>LESS - COMPREHENSIVE INCOME ATTRIBUTABLE TO NONCONTROLLING INTERESTS</w:t>
            </w:r>
          </w:p>
        </w:tc>
        <w:tc>
          <w:tcPr>
            <w:tcW w:w="460" w:type="dxa"/>
            <w:vAlign w:val="bottom"/>
          </w:tcPr>
          <w:p>
            <w:pPr>
              <w:spacing w:after="0"/>
              <w:rPr>
                <w:sz w:val="18"/>
                <w:szCs w:val="18"/>
                <w:color w:val="auto"/>
              </w:rPr>
            </w:pPr>
          </w:p>
        </w:tc>
        <w:tc>
          <w:tcPr>
            <w:tcW w:w="900" w:type="dxa"/>
            <w:vAlign w:val="bottom"/>
            <w:gridSpan w:val="2"/>
          </w:tcPr>
          <w:p>
            <w:pPr>
              <w:jc w:val="right"/>
              <w:ind w:right="232"/>
              <w:spacing w:after="0"/>
              <w:rPr>
                <w:sz w:val="20"/>
                <w:szCs w:val="20"/>
                <w:color w:val="auto"/>
              </w:rPr>
            </w:pPr>
            <w:r>
              <w:rPr>
                <w:rFonts w:ascii="Arial" w:cs="Arial" w:eastAsia="Arial" w:hAnsi="Arial"/>
                <w:sz w:val="18"/>
                <w:szCs w:val="18"/>
                <w:color w:val="auto"/>
              </w:rPr>
              <w:t>4,611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LTD</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87,463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85,429</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expenses, share-based incentive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interest rate hedge</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83,023</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Deposits with banks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(29,370)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(9,149)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(102,518)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71,680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(114,174)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(146,126)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53,806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Additions to property</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Disposals of property</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(2,903)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Contributions from noncontrolling interests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Purchase of Class A common stock</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(106,935)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Class A common stock dividends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(82,021)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(116,954)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(227,791)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(148,532)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(15,895)</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(174,893)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(264,079)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841,482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850,190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EQUIVALENTS—March 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666,589</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586,111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40" w:type="dxa"/>
            <w:vAlign w:val="bottom"/>
            <w:gridSpan w:val="3"/>
            <w:vMerge w:val="restart"/>
          </w:tcPr>
          <w:p>
            <w:pPr>
              <w:jc w:val="center"/>
              <w:ind w:left="32"/>
              <w:spacing w:after="0" w:line="149" w:lineRule="exact"/>
              <w:rPr>
                <w:sz w:val="20"/>
                <w:szCs w:val="20"/>
                <w:color w:val="auto"/>
              </w:rPr>
            </w:pPr>
            <w:r>
              <w:rPr>
                <w:rFonts w:ascii="Arial" w:cs="Arial" w:eastAsia="Arial" w:hAnsi="Arial"/>
                <w:sz w:val="14"/>
                <w:szCs w:val="14"/>
                <w:b w:val="1"/>
                <w:bCs w:val="1"/>
                <w:color w:val="auto"/>
                <w:w w:val="82"/>
              </w:rPr>
              <w:t>Series A</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50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06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6"/>
              </w:rPr>
              <w:t>Preferred Stock</w:t>
            </w: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5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Paid-In-</w:t>
            </w:r>
          </w:p>
        </w:tc>
        <w:tc>
          <w:tcPr>
            <w:tcW w:w="40" w:type="dxa"/>
            <w:vAlign w:val="bottom"/>
          </w:tcPr>
          <w:p>
            <w:pPr>
              <w:spacing w:after="0"/>
              <w:rPr>
                <w:sz w:val="9"/>
                <w:szCs w:val="9"/>
                <w:color w:val="auto"/>
              </w:rPr>
            </w:pPr>
          </w:p>
        </w:tc>
        <w:tc>
          <w:tcPr>
            <w:tcW w:w="62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Retained</w:t>
            </w:r>
          </w:p>
        </w:tc>
        <w:tc>
          <w:tcPr>
            <w:tcW w:w="60" w:type="dxa"/>
            <w:vAlign w:val="bottom"/>
          </w:tcPr>
          <w:p>
            <w:pPr>
              <w:spacing w:after="0"/>
              <w:rPr>
                <w:sz w:val="9"/>
                <w:szCs w:val="9"/>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500" w:type="dxa"/>
            <w:vAlign w:val="bottom"/>
            <w:gridSpan w:val="5"/>
            <w:vMerge w:val="continue"/>
          </w:tcPr>
          <w:p>
            <w:pPr>
              <w:spacing w:after="0"/>
              <w:rPr>
                <w:sz w:val="9"/>
                <w:szCs w:val="9"/>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Earnings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Net of Tax</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2013</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128,216,424</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88"/>
              </w:rPr>
              <w:t>$1,282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846,050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$ 182,647</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(110,541)</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12,802,938</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$(349,782)</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569,656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81,884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651,540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15,360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15,360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2,289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17,649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tcPr>
          <w:p>
            <w:pPr>
              <w:ind w:left="200"/>
              <w:spacing w:after="0"/>
              <w:rPr>
                <w:sz w:val="20"/>
                <w:szCs w:val="20"/>
                <w:color w:val="auto"/>
              </w:rPr>
            </w:pPr>
            <w:r>
              <w:rPr>
                <w:rFonts w:ascii="Arial" w:cs="Arial" w:eastAsia="Arial" w:hAnsi="Arial"/>
                <w:sz w:val="14"/>
                <w:szCs w:val="14"/>
                <w:color w:val="auto"/>
                <w:w w:val="91"/>
              </w:rPr>
              <w:t>Other comprehensive loss - net of</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ind w:left="420"/>
              <w:spacing w:after="0"/>
              <w:rPr>
                <w:sz w:val="20"/>
                <w:szCs w:val="20"/>
                <w:color w:val="auto"/>
              </w:rPr>
            </w:pPr>
            <w:r>
              <w:rPr>
                <w:rFonts w:ascii="Arial" w:cs="Arial" w:eastAsia="Arial" w:hAnsi="Arial"/>
                <w:sz w:val="14"/>
                <w:szCs w:val="14"/>
                <w:color w:val="auto"/>
              </w:rPr>
              <w:t>tax</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(14,217)</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(14,217)</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(157)</w:t>
            </w: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(14,374)</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Business acquisitions and related</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equity transactions:</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tcPr>
          <w:p>
            <w:pPr>
              <w:ind w:left="200"/>
              <w:spacing w:after="0"/>
              <w:rPr>
                <w:sz w:val="20"/>
                <w:szCs w:val="20"/>
                <w:color w:val="auto"/>
              </w:rPr>
            </w:pPr>
            <w:r>
              <w:rPr>
                <w:rFonts w:ascii="Arial" w:cs="Arial" w:eastAsia="Arial" w:hAnsi="Arial"/>
                <w:sz w:val="14"/>
                <w:szCs w:val="14"/>
                <w:color w:val="auto"/>
                <w:w w:val="97"/>
              </w:rPr>
              <w:t>Class A common stock issuable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420"/>
              <w:spacing w:after="0" w:line="149" w:lineRule="exact"/>
              <w:rPr>
                <w:sz w:val="20"/>
                <w:szCs w:val="20"/>
                <w:color w:val="auto"/>
              </w:rPr>
            </w:pPr>
            <w:r>
              <w:rPr>
                <w:rFonts w:ascii="Arial" w:cs="Arial" w:eastAsia="Arial" w:hAnsi="Arial"/>
                <w:sz w:val="14"/>
                <w:szCs w:val="14"/>
                <w:color w:val="auto"/>
              </w:rPr>
              <w:t>(including related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ind w:left="420"/>
              <w:spacing w:after="0"/>
              <w:rPr>
                <w:sz w:val="20"/>
                <w:szCs w:val="20"/>
                <w:color w:val="auto"/>
              </w:rPr>
            </w:pPr>
            <w:r>
              <w:rPr>
                <w:rFonts w:ascii="Arial" w:cs="Arial" w:eastAsia="Arial" w:hAnsi="Arial"/>
                <w:sz w:val="14"/>
                <w:szCs w:val="14"/>
                <w:color w:val="auto"/>
              </w:rPr>
              <w:t>amortization)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Delivery of Class A common</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(including dividend-</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equivalents)</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(4,994)</w:t>
            </w:r>
          </w:p>
        </w:tc>
        <w:tc>
          <w:tcPr>
            <w:tcW w:w="6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(170,988)</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5,173</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160" w:type="dxa"/>
            <w:vAlign w:val="bottom"/>
            <w:gridSpan w:val="2"/>
          </w:tcPr>
          <w:p>
            <w:pPr>
              <w:spacing w:after="0"/>
              <w:rPr>
                <w:sz w:val="20"/>
                <w:szCs w:val="20"/>
                <w:color w:val="auto"/>
              </w:rPr>
            </w:pPr>
            <w:r>
              <w:rPr>
                <w:rFonts w:ascii="Arial" w:cs="Arial" w:eastAsia="Arial" w:hAnsi="Arial"/>
                <w:sz w:val="14"/>
                <w:szCs w:val="14"/>
                <w:color w:val="auto"/>
                <w:w w:val="91"/>
              </w:rPr>
              <w:t>Amortization of share-based incentive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ind w:left="200"/>
              <w:spacing w:after="0"/>
              <w:rPr>
                <w:sz w:val="20"/>
                <w:szCs w:val="20"/>
                <w:color w:val="auto"/>
              </w:rPr>
            </w:pPr>
            <w:r>
              <w:rPr>
                <w:rFonts w:ascii="Arial" w:cs="Arial" w:eastAsia="Arial" w:hAnsi="Arial"/>
                <w:sz w:val="14"/>
                <w:szCs w:val="14"/>
                <w:color w:val="auto"/>
              </w:rPr>
              <w:t>compensation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69,868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69,868</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844</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70,712</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Purchase of Class A common stock</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831,157</w:t>
            </w:r>
          </w:p>
        </w:tc>
        <w:tc>
          <w:tcPr>
            <w:tcW w:w="7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(30,168)</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(30,168)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(30,168)</w:t>
            </w:r>
          </w:p>
        </w:tc>
        <w:tc>
          <w:tcPr>
            <w:tcW w:w="0" w:type="dxa"/>
            <w:vAlign w:val="bottom"/>
          </w:tcPr>
          <w:p>
            <w:pPr>
              <w:spacing w:after="0"/>
              <w:rPr>
                <w:sz w:val="1"/>
                <w:szCs w:val="1"/>
                <w:color w:val="auto"/>
              </w:rPr>
            </w:pPr>
          </w:p>
        </w:tc>
      </w:tr>
      <w:tr>
        <w:trPr>
          <w:trHeight w:val="205"/>
        </w:trPr>
        <w:tc>
          <w:tcPr>
            <w:tcW w:w="2160" w:type="dxa"/>
            <w:vAlign w:val="bottom"/>
            <w:gridSpan w:val="2"/>
          </w:tcPr>
          <w:p>
            <w:pPr>
              <w:spacing w:after="0"/>
              <w:rPr>
                <w:sz w:val="20"/>
                <w:szCs w:val="20"/>
                <w:color w:val="auto"/>
              </w:rPr>
            </w:pPr>
            <w:r>
              <w:rPr>
                <w:rFonts w:ascii="Arial" w:cs="Arial" w:eastAsia="Arial" w:hAnsi="Arial"/>
                <w:sz w:val="14"/>
                <w:szCs w:val="14"/>
                <w:color w:val="auto"/>
                <w:w w:val="94"/>
              </w:rPr>
              <w:t>Delivery of Class A common stock in</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200"/>
              <w:spacing w:after="0" w:line="149" w:lineRule="exact"/>
              <w:rPr>
                <w:sz w:val="20"/>
                <w:szCs w:val="20"/>
                <w:color w:val="auto"/>
              </w:rPr>
            </w:pPr>
            <w:r>
              <w:rPr>
                <w:rFonts w:ascii="Arial" w:cs="Arial" w:eastAsia="Arial" w:hAnsi="Arial"/>
                <w:sz w:val="14"/>
                <w:szCs w:val="14"/>
                <w:color w:val="auto"/>
              </w:rPr>
              <w:t>connection with shared-based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ind w:left="200"/>
              <w:spacing w:after="0" w:line="149" w:lineRule="exact"/>
              <w:rPr>
                <w:sz w:val="20"/>
                <w:szCs w:val="20"/>
                <w:color w:val="auto"/>
              </w:rPr>
            </w:pPr>
            <w:r>
              <w:rPr>
                <w:rFonts w:ascii="Arial" w:cs="Arial" w:eastAsia="Arial" w:hAnsi="Arial"/>
                <w:sz w:val="14"/>
                <w:szCs w:val="14"/>
                <w:color w:val="auto"/>
              </w:rPr>
              <w:t>incentive compensation and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ind w:left="200"/>
              <w:spacing w:after="0"/>
              <w:rPr>
                <w:sz w:val="20"/>
                <w:szCs w:val="20"/>
                <w:color w:val="auto"/>
              </w:rPr>
            </w:pPr>
            <w:r>
              <w:rPr>
                <w:rFonts w:ascii="Arial" w:cs="Arial" w:eastAsia="Arial" w:hAnsi="Arial"/>
                <w:sz w:val="14"/>
                <w:szCs w:val="14"/>
                <w:color w:val="auto"/>
              </w:rPr>
              <w:t>related tax benefit of $862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(307,883)</w:t>
            </w: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(609)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(6,658,417)</w:t>
            </w: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192,390</w:t>
            </w:r>
          </w:p>
        </w:tc>
        <w:tc>
          <w:tcPr>
            <w:tcW w:w="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(116,102)</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(116,092)</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 net</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(2,617)</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(2,617)</w:t>
            </w:r>
          </w:p>
        </w:tc>
        <w:tc>
          <w:tcPr>
            <w:tcW w:w="0" w:type="dxa"/>
            <w:vAlign w:val="bottom"/>
          </w:tcPr>
          <w:p>
            <w:pPr>
              <w:spacing w:after="0"/>
              <w:rPr>
                <w:sz w:val="1"/>
                <w:szCs w:val="1"/>
                <w:color w:val="auto"/>
              </w:rPr>
            </w:pPr>
          </w:p>
        </w:tc>
      </w:tr>
      <w:tr>
        <w:trPr>
          <w:trHeight w:val="205"/>
        </w:trPr>
        <w:tc>
          <w:tcPr>
            <w:tcW w:w="2160" w:type="dxa"/>
            <w:vAlign w:val="bottom"/>
            <w:gridSpan w:val="2"/>
          </w:tcPr>
          <w:p>
            <w:pPr>
              <w:spacing w:after="0"/>
              <w:rPr>
                <w:sz w:val="20"/>
                <w:szCs w:val="20"/>
                <w:color w:val="auto"/>
              </w:rPr>
            </w:pPr>
            <w:r>
              <w:rPr>
                <w:rFonts w:ascii="Arial" w:cs="Arial" w:eastAsia="Arial" w:hAnsi="Arial"/>
                <w:sz w:val="14"/>
                <w:szCs w:val="14"/>
                <w:color w:val="auto"/>
                <w:w w:val="92"/>
              </w:rPr>
              <w:t>Adjustments related to noncontrolling</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tcPr>
          <w:p>
            <w:pPr>
              <w:ind w:left="200"/>
              <w:spacing w:after="0"/>
              <w:rPr>
                <w:sz w:val="20"/>
                <w:szCs w:val="20"/>
                <w:color w:val="auto"/>
              </w:rPr>
            </w:pPr>
            <w:r>
              <w:rPr>
                <w:rFonts w:ascii="Arial" w:cs="Arial" w:eastAsia="Arial" w:hAnsi="Arial"/>
                <w:sz w:val="14"/>
                <w:szCs w:val="14"/>
                <w:color w:val="auto"/>
              </w:rPr>
              <w:t>interests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1,757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1,757</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(1,757)</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March 31, 2013</w:t>
            </w: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gridSpan w:val="2"/>
            <w:vMerge w:val="continue"/>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140" w:type="dxa"/>
            <w:vAlign w:val="bottom"/>
          </w:tcPr>
          <w:p>
            <w:pPr>
              <w:spacing w:after="0"/>
              <w:rPr>
                <w:sz w:val="13"/>
                <w:szCs w:val="13"/>
                <w:color w:val="auto"/>
              </w:rPr>
            </w:pPr>
          </w:p>
        </w:tc>
        <w:tc>
          <w:tcPr>
            <w:tcW w:w="260" w:type="dxa"/>
            <w:vAlign w:val="bottom"/>
          </w:tcPr>
          <w:p>
            <w:pPr>
              <w:spacing w:after="0" w:line="155" w:lineRule="exact"/>
              <w:rPr>
                <w:sz w:val="20"/>
                <w:szCs w:val="20"/>
                <w:color w:val="auto"/>
              </w:rPr>
            </w:pPr>
            <w:r>
              <w:rPr>
                <w:rFonts w:ascii="Arial" w:cs="Arial" w:eastAsia="Arial" w:hAnsi="Arial"/>
                <w:sz w:val="14"/>
                <w:szCs w:val="14"/>
                <w:b w:val="1"/>
                <w:bCs w:val="1"/>
                <w:color w:val="auto"/>
              </w:rPr>
              <w:t>$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128,216,424</w:t>
            </w:r>
          </w:p>
        </w:tc>
        <w:tc>
          <w:tcPr>
            <w:tcW w:w="5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1,282</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605,166</w:t>
            </w:r>
          </w:p>
        </w:tc>
        <w:tc>
          <w:tcPr>
            <w:tcW w:w="100" w:type="dxa"/>
            <w:vAlign w:val="bottom"/>
          </w:tcPr>
          <w:p>
            <w:pPr>
              <w:spacing w:after="0"/>
              <w:rPr>
                <w:sz w:val="13"/>
                <w:szCs w:val="13"/>
                <w:color w:val="auto"/>
              </w:rPr>
            </w:pPr>
          </w:p>
        </w:tc>
        <w:tc>
          <w:tcPr>
            <w:tcW w:w="66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w w:val="86"/>
              </w:rPr>
              <w:t>$ 197,297</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(124,758)</w:t>
            </w: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99"/>
              </w:rPr>
              <w:t>6,804,690</w:t>
            </w:r>
          </w:p>
        </w:tc>
        <w:tc>
          <w:tcPr>
            <w:tcW w:w="76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(182,387)</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496,600</w:t>
            </w: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80,501</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577,101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9"/>
          <w:szCs w:val="19"/>
          <w:color w:val="auto"/>
          <w:vertAlign w:val="superscript"/>
        </w:rPr>
      </w:pPr>
      <w:r>
        <w:rPr>
          <w:rFonts w:ascii="Arial" w:cs="Arial" w:eastAsia="Arial" w:hAnsi="Arial"/>
          <w:sz w:val="12"/>
          <w:szCs w:val="12"/>
          <w:color w:val="auto"/>
        </w:rPr>
        <w:t>Includes 128,216,423 shares of the Company’s Class A common stock issued at January 1, 2013 and March 31, 2013,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54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54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80" w:type="dxa"/>
            <w:vAlign w:val="bottom"/>
          </w:tcPr>
          <w:p>
            <w:pPr>
              <w:spacing w:after="0"/>
              <w:rPr>
                <w:sz w:val="4"/>
                <w:szCs w:val="4"/>
                <w:color w:val="auto"/>
              </w:rPr>
            </w:pPr>
          </w:p>
        </w:tc>
        <w:tc>
          <w:tcPr>
            <w:tcW w:w="760" w:type="dxa"/>
            <w:vAlign w:val="bottom"/>
            <w:gridSpan w:val="3"/>
            <w:vMerge w:val="restart"/>
          </w:tcPr>
          <w:p>
            <w:pPr>
              <w:jc w:val="center"/>
              <w:ind w:left="112"/>
              <w:spacing w:after="0" w:line="149" w:lineRule="exact"/>
              <w:rPr>
                <w:sz w:val="20"/>
                <w:szCs w:val="20"/>
                <w:color w:val="auto"/>
              </w:rPr>
            </w:pPr>
            <w:r>
              <w:rPr>
                <w:rFonts w:ascii="Arial" w:cs="Arial" w:eastAsia="Arial" w:hAnsi="Arial"/>
                <w:sz w:val="14"/>
                <w:szCs w:val="14"/>
                <w:b w:val="1"/>
                <w:bCs w:val="1"/>
                <w:color w:val="auto"/>
                <w:w w:val="82"/>
              </w:rPr>
              <w:t>Series A</w:t>
            </w: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54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18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4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180" w:type="dxa"/>
            <w:vAlign w:val="bottom"/>
          </w:tcPr>
          <w:p>
            <w:pPr>
              <w:spacing w:after="0"/>
              <w:rPr>
                <w:sz w:val="4"/>
                <w:szCs w:val="4"/>
                <w:color w:val="auto"/>
              </w:rPr>
            </w:pPr>
          </w:p>
        </w:tc>
        <w:tc>
          <w:tcPr>
            <w:tcW w:w="106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8"/>
              </w:rPr>
              <w:t>Preferred Stock</w:t>
            </w:r>
          </w:p>
        </w:tc>
        <w:tc>
          <w:tcPr>
            <w:tcW w:w="13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54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18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Paid-In-</w:t>
            </w:r>
          </w:p>
        </w:tc>
        <w:tc>
          <w:tcPr>
            <w:tcW w:w="40" w:type="dxa"/>
            <w:vAlign w:val="bottom"/>
          </w:tcPr>
          <w:p>
            <w:pPr>
              <w:spacing w:after="0"/>
              <w:rPr>
                <w:sz w:val="9"/>
                <w:szCs w:val="9"/>
                <w:color w:val="auto"/>
              </w:rPr>
            </w:pPr>
          </w:p>
        </w:tc>
        <w:tc>
          <w:tcPr>
            <w:tcW w:w="6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Retained</w:t>
            </w:r>
          </w:p>
        </w:tc>
        <w:tc>
          <w:tcPr>
            <w:tcW w:w="10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40" w:type="dxa"/>
            <w:vAlign w:val="bottom"/>
            <w:gridSpan w:val="5"/>
            <w:vMerge w:val="continue"/>
          </w:tcPr>
          <w:p>
            <w:pPr>
              <w:spacing w:after="0"/>
              <w:rPr>
                <w:sz w:val="9"/>
                <w:szCs w:val="9"/>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jc w:val="right"/>
              <w:ind w:right="38"/>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Earnings</w:t>
            </w: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of Tax</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2014</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129,056,082</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88"/>
              </w:rPr>
              <w:t>$1,291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737,899</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$ 203,236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(133,004)</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8,317,065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(249,213)</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560,209</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69,789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629,998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80" w:type="dxa"/>
            <w:vAlign w:val="bottom"/>
          </w:tcPr>
          <w:p>
            <w:pPr>
              <w:spacing w:after="0" w:line="155" w:lineRule="exact"/>
              <w:rPr>
                <w:sz w:val="20"/>
                <w:szCs w:val="20"/>
                <w:color w:val="auto"/>
              </w:rPr>
            </w:pPr>
            <w:r>
              <w:rPr>
                <w:rFonts w:ascii="Arial" w:cs="Arial" w:eastAsia="Arial" w:hAnsi="Arial"/>
                <w:sz w:val="14"/>
                <w:szCs w:val="14"/>
                <w:color w:val="auto"/>
              </w:rPr>
              <w:t>Comprehensive income:</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80,842</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80,842</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4,587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85,429</w:t>
            </w:r>
          </w:p>
        </w:tc>
        <w:tc>
          <w:tcPr>
            <w:tcW w:w="0" w:type="dxa"/>
            <w:vAlign w:val="bottom"/>
          </w:tcPr>
          <w:p>
            <w:pPr>
              <w:spacing w:after="0"/>
              <w:rPr>
                <w:sz w:val="1"/>
                <w:szCs w:val="1"/>
                <w:color w:val="auto"/>
              </w:rPr>
            </w:pPr>
          </w:p>
        </w:tc>
      </w:tr>
      <w:tr>
        <w:trPr>
          <w:trHeight w:val="138"/>
        </w:trPr>
        <w:tc>
          <w:tcPr>
            <w:tcW w:w="2180" w:type="dxa"/>
            <w:vAlign w:val="bottom"/>
          </w:tcPr>
          <w:p>
            <w:pPr>
              <w:ind w:left="220"/>
              <w:spacing w:after="0" w:line="138" w:lineRule="exact"/>
              <w:rPr>
                <w:sz w:val="20"/>
                <w:szCs w:val="20"/>
                <w:color w:val="auto"/>
              </w:rPr>
            </w:pPr>
            <w:r>
              <w:rPr>
                <w:rFonts w:ascii="Arial" w:cs="Arial" w:eastAsia="Arial" w:hAnsi="Arial"/>
                <w:sz w:val="14"/>
                <w:szCs w:val="14"/>
                <w:color w:val="auto"/>
                <w:w w:val="90"/>
              </w:rPr>
              <w:t>Other comprehensive income - net</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tcPr>
          <w:p>
            <w:pPr>
              <w:ind w:left="440"/>
              <w:spacing w:after="0" w:line="159" w:lineRule="exact"/>
              <w:rPr>
                <w:sz w:val="20"/>
                <w:szCs w:val="20"/>
                <w:color w:val="auto"/>
              </w:rPr>
            </w:pPr>
            <w:r>
              <w:rPr>
                <w:rFonts w:ascii="Arial" w:cs="Arial" w:eastAsia="Arial" w:hAnsi="Arial"/>
                <w:sz w:val="14"/>
                <w:szCs w:val="14"/>
                <w:color w:val="auto"/>
              </w:rPr>
              <w:t>of tax</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6,621</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6,621</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24</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6,645</w:t>
            </w:r>
          </w:p>
        </w:tc>
        <w:tc>
          <w:tcPr>
            <w:tcW w:w="0" w:type="dxa"/>
            <w:vAlign w:val="bottom"/>
          </w:tcPr>
          <w:p>
            <w:pPr>
              <w:spacing w:after="0"/>
              <w:rPr>
                <w:sz w:val="1"/>
                <w:szCs w:val="1"/>
                <w:color w:val="auto"/>
              </w:rPr>
            </w:pPr>
          </w:p>
        </w:tc>
      </w:tr>
      <w:tr>
        <w:trPr>
          <w:trHeight w:val="138"/>
        </w:trPr>
        <w:tc>
          <w:tcPr>
            <w:tcW w:w="2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Business acquisitions and related</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equity transactions: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80" w:type="dxa"/>
            <w:vAlign w:val="bottom"/>
          </w:tcPr>
          <w:p>
            <w:pPr>
              <w:ind w:left="220"/>
              <w:spacing w:after="0" w:line="138" w:lineRule="exact"/>
              <w:rPr>
                <w:sz w:val="20"/>
                <w:szCs w:val="20"/>
                <w:color w:val="auto"/>
              </w:rPr>
            </w:pPr>
            <w:r>
              <w:rPr>
                <w:rFonts w:ascii="Arial" w:cs="Arial" w:eastAsia="Arial" w:hAnsi="Arial"/>
                <w:sz w:val="14"/>
                <w:szCs w:val="14"/>
                <w:color w:val="auto"/>
                <w:w w:val="98"/>
              </w:rPr>
              <w:t>Class A common stock issuable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440"/>
              <w:spacing w:after="0" w:line="149" w:lineRule="exact"/>
              <w:rPr>
                <w:sz w:val="20"/>
                <w:szCs w:val="20"/>
                <w:color w:val="auto"/>
              </w:rPr>
            </w:pPr>
            <w:r>
              <w:rPr>
                <w:rFonts w:ascii="Arial" w:cs="Arial" w:eastAsia="Arial" w:hAnsi="Arial"/>
                <w:sz w:val="14"/>
                <w:szCs w:val="14"/>
                <w:color w:val="auto"/>
              </w:rPr>
              <w:t>(including related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tcPr>
          <w:p>
            <w:pPr>
              <w:ind w:left="440"/>
              <w:spacing w:after="0" w:line="159" w:lineRule="exact"/>
              <w:rPr>
                <w:sz w:val="20"/>
                <w:szCs w:val="20"/>
                <w:color w:val="auto"/>
              </w:rPr>
            </w:pPr>
            <w:r>
              <w:rPr>
                <w:rFonts w:ascii="Arial" w:cs="Arial" w:eastAsia="Arial" w:hAnsi="Arial"/>
                <w:sz w:val="14"/>
                <w:szCs w:val="14"/>
                <w:color w:val="auto"/>
              </w:rPr>
              <w:t>amortization)</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128</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128</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38"/>
        </w:trPr>
        <w:tc>
          <w:tcPr>
            <w:tcW w:w="2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Amortization of share-based incentive</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compensation</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60,464</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60,464</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333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60,797</w:t>
            </w: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5,013</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(5,343)</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(330)</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(35,917)</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(35,917)</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(35,917)</w:t>
            </w: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w w:val="97"/>
              </w:rPr>
              <w:t>Purchase of Class A common stock</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2,392,674</w:t>
            </w:r>
          </w:p>
        </w:tc>
        <w:tc>
          <w:tcPr>
            <w:tcW w:w="8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(106,935)</w:t>
            </w: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(106,935)</w:t>
            </w: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(106,935)</w:t>
            </w:r>
          </w:p>
        </w:tc>
        <w:tc>
          <w:tcPr>
            <w:tcW w:w="0" w:type="dxa"/>
            <w:vAlign w:val="bottom"/>
          </w:tcPr>
          <w:p>
            <w:pPr>
              <w:spacing w:after="0"/>
              <w:rPr>
                <w:sz w:val="1"/>
                <w:szCs w:val="1"/>
                <w:color w:val="auto"/>
              </w:rPr>
            </w:pPr>
          </w:p>
        </w:tc>
      </w:tr>
      <w:tr>
        <w:trPr>
          <w:trHeight w:val="138"/>
        </w:trPr>
        <w:tc>
          <w:tcPr>
            <w:tcW w:w="2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Delivery of Class A common stock in</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connection with shared-based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8"/>
              </w:rPr>
              <w:t>incentive compensation and related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tax benefit of $1,776</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6"/>
              </w:rPr>
              <w:t>(247,810)</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2"/>
              </w:rPr>
              <w:t>(4,649,300)</w:t>
            </w:r>
          </w:p>
        </w:tc>
        <w:tc>
          <w:tcPr>
            <w:tcW w:w="82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167,555</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(80,255)</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(80,245)</w:t>
            </w:r>
          </w:p>
        </w:tc>
        <w:tc>
          <w:tcPr>
            <w:tcW w:w="0" w:type="dxa"/>
            <w:vAlign w:val="bottom"/>
          </w:tcPr>
          <w:p>
            <w:pPr>
              <w:spacing w:after="0"/>
              <w:rPr>
                <w:sz w:val="1"/>
                <w:szCs w:val="1"/>
                <w:color w:val="auto"/>
              </w:rPr>
            </w:pPr>
          </w:p>
        </w:tc>
      </w:tr>
      <w:tr>
        <w:trPr>
          <w:trHeight w:val="138"/>
        </w:trPr>
        <w:tc>
          <w:tcPr>
            <w:tcW w:w="218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tcPr>
          <w:p>
            <w:pPr>
              <w:ind w:left="220"/>
              <w:spacing w:after="0" w:line="159" w:lineRule="exact"/>
              <w:rPr>
                <w:sz w:val="20"/>
                <w:szCs w:val="20"/>
                <w:color w:val="auto"/>
              </w:rPr>
            </w:pPr>
            <w:r>
              <w:rPr>
                <w:rFonts w:ascii="Arial" w:cs="Arial" w:eastAsia="Arial" w:hAnsi="Arial"/>
                <w:sz w:val="14"/>
                <w:szCs w:val="14"/>
                <w:color w:val="auto"/>
              </w:rPr>
              <w:t>interests, net</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(3,928)</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(3,928)</w:t>
            </w:r>
          </w:p>
        </w:tc>
        <w:tc>
          <w:tcPr>
            <w:tcW w:w="0" w:type="dxa"/>
            <w:vAlign w:val="bottom"/>
          </w:tcPr>
          <w:p>
            <w:pPr>
              <w:spacing w:after="0"/>
              <w:rPr>
                <w:sz w:val="1"/>
                <w:szCs w:val="1"/>
                <w:color w:val="auto"/>
              </w:rPr>
            </w:pPr>
          </w:p>
        </w:tc>
      </w:tr>
      <w:tr>
        <w:trPr>
          <w:trHeight w:val="138"/>
        </w:trPr>
        <w:tc>
          <w:tcPr>
            <w:tcW w:w="2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Adjustments related to noncontrolling</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interests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1,017</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1,017</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(1,017)</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rPr>
              <w:t>Balance – March 31, 2014</w:t>
            </w: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80" w:type="dxa"/>
            <w:vAlign w:val="bottom"/>
            <w:vMerge w:val="continue"/>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7,921</w:t>
            </w:r>
          </w:p>
        </w:tc>
        <w:tc>
          <w:tcPr>
            <w:tcW w:w="16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30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129,056,082</w:t>
            </w:r>
          </w:p>
        </w:tc>
        <w:tc>
          <w:tcPr>
            <w:tcW w:w="6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1,291</w:t>
            </w: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556,711</w:t>
            </w:r>
          </w:p>
        </w:tc>
        <w:tc>
          <w:tcPr>
            <w:tcW w:w="700" w:type="dxa"/>
            <w:vAlign w:val="bottom"/>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w w:val="86"/>
              </w:rPr>
              <w:t>$ 242,818</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(126,383)</w:t>
            </w: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6,060,439</w:t>
            </w:r>
          </w:p>
        </w:tc>
        <w:tc>
          <w:tcPr>
            <w:tcW w:w="80" w:type="dxa"/>
            <w:vAlign w:val="bottom"/>
          </w:tcPr>
          <w:p>
            <w:pPr>
              <w:spacing w:after="0"/>
              <w:rPr>
                <w:sz w:val="13"/>
                <w:szCs w:val="13"/>
                <w:color w:val="auto"/>
              </w:rPr>
            </w:pPr>
          </w:p>
        </w:tc>
        <w:tc>
          <w:tcPr>
            <w:tcW w:w="82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w w:val="94"/>
              </w:rPr>
              <w:t>$ (188,593)</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485,844</w:t>
            </w: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69,797</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555,641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9"/>
          <w:szCs w:val="19"/>
          <w:color w:val="auto"/>
          <w:vertAlign w:val="superscript"/>
        </w:rPr>
      </w:pPr>
      <w:r>
        <w:rPr>
          <w:rFonts w:ascii="Arial" w:cs="Arial" w:eastAsia="Arial" w:hAnsi="Arial"/>
          <w:sz w:val="12"/>
          <w:szCs w:val="12"/>
          <w:color w:val="auto"/>
        </w:rPr>
        <w:t>Includes 129,056,081 shares of the Company’s Class A common stock issued at January 1, 2014 and March 31, 2014,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Lazard Ltd indirectly held approximately 99.5% of all outstanding Lazard Group common membership interests as of March 31, 2014 and December 31, 2013. Lazard Ltd, through its control of the managing members of Lazard Group, controls Lazard Group, which is governed by an Operating Agreement dated as of May 10, 2005, as amended (the “Operating Agreement”). LAZ-MD Holdings LLC (“LAZ-MD Holdings”), an entity owned by Lazard Group’s current and former managing directors, held approximately 0.5% of the outstanding Lazard Group common membership interests as of March 31, 2014 and December 31, 2013. Additionally, LAZ-MD Holdings was the sole owner of the one issued and outstanding share of Lazard Ltd’s Class B common stock (the “Class B common stock”) which provided LAZ-MD Holdings with approximately 0.6% of the voting power but no economic rights in the Company as of March 31, 2014 and December 31, 2013. Subject to certain limitations, LAZ-MD Holdings’ interests in Lazard Group are exchangeable for Lazard Ltd Class A common stock, par value $0.01 per share (“Class A common stock”).</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sole operating asset is our indirect ownership of common membership interests of Lazard Group and our managing member interest of Lazard Group, whose principal operating activities are included in two business segments:</w:t>
      </w:r>
    </w:p>
    <w:p>
      <w:pPr>
        <w:spacing w:after="0" w:line="51" w:lineRule="exact"/>
        <w:rPr>
          <w:sz w:val="20"/>
          <w:szCs w:val="20"/>
          <w:color w:val="auto"/>
        </w:rPr>
      </w:pPr>
    </w:p>
    <w:p>
      <w:pPr>
        <w:jc w:val="both"/>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2013 (the “Form 10-K”). The accompanying December 31, 2013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consolidated results of operations for the three month period ended March 31, 2014 are not necessarily indicative of the results to be expected for any future interim or annual period.</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Presentation of Unrecognized Tax Benefits</w:t>
      </w:r>
      <w:r>
        <w:rPr>
          <w:rFonts w:ascii="Arial" w:cs="Arial" w:eastAsia="Arial" w:hAnsi="Arial"/>
          <w:sz w:val="16"/>
          <w:szCs w:val="16"/>
          <w:color w:val="auto"/>
        </w:rPr>
        <w:t>—In July 2013, the Financial Accounting Standards Board (the “FASB”) issued guidance on the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unrecognized tax benefits when net operating losses or tax credit carryforwards exist. The guidance requires that the unrecognized tax benefit, or a portion of such unrecognized tax benefit, be presented in the financial statements as a reduction to a deferred tax asset for a net operating loss carryforward, a similar tax loss, or a tax credit carryforward, except in certain situations, as defined in the guidance. The new presentation requirements are effective prospectively for interim and annual reporting periods beginning after December 15, 2013, with early adoption permitted. The Company elected to adopt this guidance in the fourth quarter of 2013, the impact of which did not have a material impact on the Company’s consolidated financial statements.</w:t>
      </w:r>
    </w:p>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receivables from fees, customers and other and related parties.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periods ended March 31, 2014 and 2013 was as follows: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8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740" w:type="dxa"/>
            <w:vAlign w:val="bottom"/>
          </w:tcPr>
          <w:p>
            <w:pPr>
              <w:spacing w:after="0"/>
              <w:rPr>
                <w:sz w:val="14"/>
                <w:szCs w:val="14"/>
                <w:color w:val="auto"/>
              </w:rPr>
            </w:pPr>
          </w:p>
        </w:tc>
        <w:tc>
          <w:tcPr>
            <w:tcW w:w="18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5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$28,777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9,136</w:t>
            </w:r>
          </w:p>
        </w:tc>
        <w:tc>
          <w:tcPr>
            <w:tcW w:w="3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(6,589)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Balance, March 31</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31,324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22,805</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March 31, 2014 and December 31, 2013, the Company had receivables past due or deemed uncollectible of $35,566 and $39,341, respectively.</w:t>
      </w:r>
    </w:p>
    <w:p>
      <w:pPr>
        <w:spacing w:after="0" w:line="19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Of the Company’s fee receivables at March 31, 2014 and December 31, 2013, $65,241 and $69,464,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$457,841 and $443,211 at March 31, 2014 and December 31, 2013, respectively, approximates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March 31, 2014 and December 31,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(including interest-bearing deposits of $533 and $516, respectively)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100" w:type="dxa"/>
            <w:vAlign w:val="bottom"/>
            <w:shd w:val="clear" w:color="auto" w:fill="CCEEFF"/>
          </w:tcPr>
          <w:p>
            <w:pPr>
              <w:spacing w:after="0"/>
              <w:rPr>
                <w:sz w:val="18"/>
                <w:szCs w:val="18"/>
                <w:color w:val="auto"/>
              </w:rPr>
            </w:pPr>
          </w:p>
        </w:tc>
      </w:tr>
      <w:tr>
        <w:trPr>
          <w:trHeight w:val="230"/>
        </w:trPr>
        <w:tc>
          <w:tcPr>
            <w:tcW w:w="9540" w:type="dxa"/>
            <w:vAlign w:val="bottom"/>
            <w:gridSpan w:val="3"/>
          </w:tcPr>
          <w:p>
            <w:pPr>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57,757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59,394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Alternative investments (a)</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36,321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Equity (a)</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143,115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190,702</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115,537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114,193</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343,180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400,694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shd w:val="clear" w:color="auto" w:fill="CCEEFF"/>
          </w:tcPr>
          <w:p>
            <w:pPr>
              <w:spacing w:after="0"/>
              <w:rPr>
                <w:sz w:val="18"/>
                <w:szCs w:val="18"/>
                <w:color w:val="auto"/>
              </w:rPr>
            </w:pPr>
          </w:p>
        </w:tc>
      </w:tr>
      <w:tr>
        <w:trPr>
          <w:trHeight w:val="221"/>
        </w:trPr>
        <w:tc>
          <w:tcPr>
            <w:tcW w:w="954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417,295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478,105</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shd w:val="clear" w:color="auto" w:fill="CCEEFF"/>
          </w:tcPr>
          <w:p>
            <w:pPr>
              <w:spacing w:after="0"/>
              <w:rPr>
                <w:sz w:val="18"/>
                <w:szCs w:val="18"/>
                <w:color w:val="auto"/>
              </w:rPr>
            </w:pPr>
          </w:p>
        </w:tc>
      </w:tr>
      <w:tr>
        <w:trPr>
          <w:trHeight w:val="222"/>
        </w:trPr>
        <w:tc>
          <w:tcPr>
            <w:tcW w:w="954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408,210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468,101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$8,626, $25,520 and $95,933, respectively, at March 31, 2014 and $7,099, $31,515 and $130,481, respectively, at December 31, 2013, held in order to satisfy the Company’s liability upon vesting of previously granted Lazard Fund Interests (“Lazard Fund Interests”) and other similar deferred compensation arrangements. Lazard Fund Interests represent grants by the Company to eligible employees of actual or notional interests in a number of Lazard-managed funds (see Notes 6 and 12 of Notes to Condensed Consolidated Financial Statements).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and funds of funds.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and amounts related to Lazard Fund Interests discussed above.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Lazard Fund Interests discussed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Corporate Partners II Limited (“CP II”), a fund targeting significant noncontrolling-stake investments in established private companies, (iii) Edgewater Growth Capital Partners III, L.P. (“EGCP III”), a fund primarily making equity and buyout investments in middle market companies and (iv) Lazard Australia Corporate Opportunities Fund (“COF2”), a Lazard-managed Australian fund targeting Australian mid-market investments.</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totaled $9,286 and $9,787 at March 31, 2014 and December 31, 2013, respectively (see Note 10 of Notes to Condensed Consolidated Financial Statements).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the three month periods ended March 31, 2014 and 2013, the Company reported in “revenue-other” on its condensed consolidated statements of operations gross unrealized investment gains and losses pertaining to “trading” securities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6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9820" w:type="dxa"/>
            <w:vAlign w:val="bottom"/>
          </w:tcPr>
          <w:p>
            <w:pPr>
              <w:spacing w:after="0"/>
              <w:rPr>
                <w:sz w:val="14"/>
                <w:szCs w:val="14"/>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98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4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9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$ 3,084</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$ 8,395</w:t>
            </w:r>
          </w:p>
        </w:tc>
        <w:tc>
          <w:tcPr>
            <w:tcW w:w="100" w:type="dxa"/>
            <w:vAlign w:val="bottom"/>
            <w:shd w:val="clear" w:color="auto" w:fill="CCEEFF"/>
          </w:tcPr>
          <w:p>
            <w:pPr>
              <w:spacing w:after="0"/>
              <w:rPr>
                <w:sz w:val="18"/>
                <w:szCs w:val="18"/>
                <w:color w:val="auto"/>
              </w:rPr>
            </w:pPr>
          </w:p>
        </w:tc>
      </w:tr>
      <w:tr>
        <w:trPr>
          <w:trHeight w:val="222"/>
        </w:trPr>
        <w:tc>
          <w:tcPr>
            <w:tcW w:w="982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96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$ 2,593</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$ 1,636</w:t>
            </w:r>
          </w:p>
        </w:tc>
        <w:tc>
          <w:tcPr>
            <w:tcW w:w="100" w:type="dxa"/>
            <w:vAlign w:val="bottom"/>
          </w:tcPr>
          <w:p>
            <w:pPr>
              <w:spacing w:after="0"/>
              <w:rPr>
                <w:sz w:val="19"/>
                <w:szCs w:val="19"/>
                <w:color w:val="auto"/>
              </w:rPr>
            </w:pPr>
          </w:p>
        </w:tc>
      </w:tr>
    </w:tbl>
    <w:p>
      <w:pPr>
        <w:spacing w:after="0" w:line="26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net asset value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2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Company’s investments in non-U.S. Government and other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The fair value of investments in alternative investment funds is classified as Level 2 and is valued at NAV or its equivalent, which is primarily determined based on information provided by external fund administrators. Such investments are redeemable within the near term.</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fair value of investments in debt funds is classified as Level 1 when the fair values are primarily based on the publicly reported closing price for the fund, and classified as Level 2 when the fair values are primarily based on NAV or its equivalent and are redeemable within the near term.</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fair value of investments in equity funds is classified as Level 1 or 2 as follows: publicly traded asset management funds are classified as Level 1 and are valued based on the reported closing price for the fund; and investments in asset management funds redeemable in the near term are classified as Level 2 and are valued at NAV or its equivalent, which is primarily determined based on information provided by external fund administrators.</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fair value of investments in private equity funds is classified as Level 3, and is primarily based on NAV or its equivalent. Such investments are not redeemable within the near term.</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Lazard Fund Interests and other similar deferred compensation arrangements is based on the value of the underlying investments, adjusted for forfeitures. See Note 6 of Notes to Condensed Consolidated Financial Statements.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tables present the classification of investments and certain other assets and liabilities measured at fair value on a recurring basis as of March 31, 2014 and December 31, 2013 within the fair value hierarchy: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rPr>
              <w:t>March 31, 2014</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56,420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57,757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36,321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36,321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48,207</w:t>
            </w: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Equity</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143,074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143,115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115,537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115,537</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249,417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42,194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116,874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408,485</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219,172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219,172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219,172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224,502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5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December 31, 2013</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58,054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59,394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37,030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37,030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58,769</w:t>
            </w: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Equity</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190,660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190,702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114,193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114,193</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309,160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115,533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468,783</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164,001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164,001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164,001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168,046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80" w:type="dxa"/>
            <w:vAlign w:val="bottom"/>
            <w:vMerge w:val="restart"/>
          </w:tcPr>
          <w:p>
            <w:pPr>
              <w:jc w:val="right"/>
              <w:ind w:right="131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periods ended March 31, 2014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11"/>
          </w:tcPr>
          <w:p>
            <w:pPr>
              <w:jc w:val="right"/>
              <w:ind w:right="400"/>
              <w:spacing w:after="0"/>
              <w:rPr>
                <w:sz w:val="20"/>
                <w:szCs w:val="20"/>
                <w:color w:val="auto"/>
              </w:rPr>
            </w:pPr>
            <w:r>
              <w:rPr>
                <w:rFonts w:ascii="Arial" w:cs="Arial" w:eastAsia="Arial" w:hAnsi="Arial"/>
                <w:sz w:val="14"/>
                <w:szCs w:val="14"/>
                <w:b w:val="1"/>
                <w:bCs w:val="1"/>
                <w:color w:val="auto"/>
                <w:w w:val="94"/>
              </w:rPr>
              <w:t>Three Months Ended March 31, 2014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7"/>
          </w:tcPr>
          <w:p>
            <w:pPr>
              <w:jc w:val="center"/>
              <w:ind w:right="36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Realized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7"/>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Included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60" w:type="dxa"/>
            <w:vAlign w:val="bottom"/>
          </w:tcPr>
          <w:p>
            <w:pPr>
              <w:spacing w:after="0"/>
              <w:rPr>
                <w:sz w:val="12"/>
                <w:szCs w:val="12"/>
                <w:color w:val="auto"/>
              </w:rPr>
            </w:pPr>
          </w:p>
        </w:tc>
        <w:tc>
          <w:tcPr>
            <w:tcW w:w="860" w:type="dxa"/>
            <w:vAlign w:val="bottom"/>
            <w:gridSpan w:val="4"/>
          </w:tcPr>
          <w:p>
            <w:pPr>
              <w:jc w:val="right"/>
              <w:ind w:right="112"/>
              <w:spacing w:after="0" w:line="149" w:lineRule="exact"/>
              <w:rPr>
                <w:sz w:val="20"/>
                <w:szCs w:val="20"/>
                <w:color w:val="auto"/>
              </w:rPr>
            </w:pPr>
            <w:r>
              <w:rPr>
                <w:rFonts w:ascii="Arial" w:cs="Arial" w:eastAsia="Arial" w:hAnsi="Arial"/>
                <w:sz w:val="14"/>
                <w:szCs w:val="14"/>
                <w:b w:val="1"/>
                <w:bCs w:val="1"/>
                <w:color w:val="auto"/>
                <w:w w:val="85"/>
              </w:rPr>
              <w:t>Purchases/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w w:val="93"/>
              </w:rPr>
              <w:t>Sales/</w:t>
            </w:r>
          </w:p>
        </w:tc>
        <w:tc>
          <w:tcPr>
            <w:tcW w:w="10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Other (a)</w:t>
            </w:r>
          </w:p>
        </w:tc>
        <w:tc>
          <w:tcPr>
            <w:tcW w:w="360" w:type="dxa"/>
            <w:vAlign w:val="bottom"/>
          </w:tcPr>
          <w:p>
            <w:pPr>
              <w:spacing w:after="0"/>
              <w:rPr>
                <w:sz w:val="14"/>
                <w:szCs w:val="14"/>
                <w:color w:val="auto"/>
              </w:rPr>
            </w:pPr>
          </w:p>
        </w:tc>
        <w:tc>
          <w:tcPr>
            <w:tcW w:w="86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80"/>
              </w:rPr>
              <w:t>Acquisitions</w:t>
            </w:r>
          </w:p>
        </w:tc>
        <w:tc>
          <w:tcPr>
            <w:tcW w:w="34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Disposition</w:t>
            </w:r>
          </w:p>
        </w:tc>
        <w:tc>
          <w:tcPr>
            <w:tcW w:w="1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  1,340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114,193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(4,669)</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115,537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115,533</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5,584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9"/>
                <w:szCs w:val="19"/>
                <w:color w:val="auto"/>
              </w:rPr>
            </w:pPr>
          </w:p>
        </w:tc>
        <w:tc>
          <w:tcPr>
            <w:tcW w:w="5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7"/>
              </w:rPr>
              <w:t>(4,669)</w:t>
            </w:r>
          </w:p>
        </w:tc>
        <w:tc>
          <w:tcPr>
            <w:tcW w:w="360" w:type="dxa"/>
            <w:vAlign w:val="bottom"/>
          </w:tcPr>
          <w:p>
            <w:pPr>
              <w:spacing w:after="0"/>
              <w:rPr>
                <w:sz w:val="19"/>
                <w:szCs w:val="19"/>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1"/>
          </w:tcPr>
          <w:p>
            <w:pPr>
              <w:jc w:val="right"/>
              <w:ind w:right="260"/>
              <w:spacing w:after="0"/>
              <w:rPr>
                <w:sz w:val="20"/>
                <w:szCs w:val="20"/>
                <w:color w:val="auto"/>
              </w:rPr>
            </w:pPr>
            <w:r>
              <w:rPr>
                <w:rFonts w:ascii="Arial" w:cs="Arial" w:eastAsia="Arial" w:hAnsi="Arial"/>
                <w:sz w:val="14"/>
                <w:szCs w:val="14"/>
                <w:b w:val="1"/>
                <w:bCs w:val="1"/>
                <w:color w:val="auto"/>
                <w:w w:val="99"/>
              </w:rPr>
              <w:t>Three Months Ended March 31, 2013</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Realized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Included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8"/>
              </w:rPr>
              <w:t>Sales/</w:t>
            </w:r>
          </w:p>
        </w:tc>
        <w:tc>
          <w:tcPr>
            <w:tcW w:w="60" w:type="dxa"/>
            <w:vAlign w:val="bottom"/>
          </w:tcPr>
          <w:p>
            <w:pPr>
              <w:spacing w:after="0"/>
              <w:rPr>
                <w:sz w:val="12"/>
                <w:szCs w:val="12"/>
                <w:color w:val="auto"/>
              </w:rPr>
            </w:pPr>
          </w:p>
        </w:tc>
        <w:tc>
          <w:tcPr>
            <w:tcW w:w="10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Other (a)</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Acquisitions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Dispositions</w:t>
            </w:r>
          </w:p>
        </w:tc>
        <w:tc>
          <w:tcPr>
            <w:tcW w:w="60" w:type="dxa"/>
            <w:vAlign w:val="bottom"/>
          </w:tcPr>
          <w:p>
            <w:pPr>
              <w:spacing w:after="0"/>
              <w:rPr>
                <w:sz w:val="14"/>
                <w:szCs w:val="14"/>
                <w:color w:val="auto"/>
              </w:rPr>
            </w:pPr>
          </w:p>
        </w:tc>
        <w:tc>
          <w:tcPr>
            <w:tcW w:w="10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4"/>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190</w:t>
            </w:r>
          </w:p>
        </w:tc>
        <w:tc>
          <w:tcPr>
            <w:tcW w:w="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460" w:type="dxa"/>
            <w:vAlign w:val="bottom"/>
          </w:tcPr>
          <w:p>
            <w:pPr>
              <w:spacing w:after="0"/>
              <w:rPr>
                <w:sz w:val="18"/>
                <w:szCs w:val="18"/>
                <w:color w:val="auto"/>
              </w:rPr>
            </w:pPr>
          </w:p>
        </w:tc>
        <w:tc>
          <w:tcPr>
            <w:tcW w:w="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112,444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110,496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2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116,101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19"/>
                <w:szCs w:val="19"/>
                <w:color w:val="auto"/>
              </w:rPr>
            </w:pPr>
          </w:p>
        </w:tc>
        <w:tc>
          <w:tcPr>
            <w:tcW w:w="70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(3,513)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(1,380)</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111,984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Earnings for the three month periods ended March 31, 2014 and 2013 include net unrealized gains (losses) of $4,413 and $670, respectively.</w:t>
      </w:r>
    </w:p>
    <w:p>
      <w:pPr>
        <w:spacing w:after="0" w:line="19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periods ended March 31, 2014 and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Fair Value of Certain Investments Based on NAV</w:t>
      </w:r>
      <w:r>
        <w:rPr>
          <w:rFonts w:ascii="Arial" w:cs="Arial" w:eastAsia="Arial" w:hAnsi="Arial"/>
          <w:sz w:val="16"/>
          <w:szCs w:val="16"/>
          <w:color w:val="auto"/>
        </w:rPr>
        <w:t>—The Company’s Level 2 and Level 3 investments at March 31, 2014 and December 31, 2013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investments that are valued using NAV or its equivalent as a practical expedient in determining fair value. Information with respect thereto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March 31, 2014</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ind w:left="18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ind w:left="260"/>
              <w:spacing w:after="0"/>
              <w:rPr>
                <w:sz w:val="20"/>
                <w:szCs w:val="20"/>
                <w:color w:val="auto"/>
              </w:rPr>
            </w:pPr>
            <w:r>
              <w:rPr>
                <w:rFonts w:ascii="Arial" w:cs="Arial" w:eastAsia="Arial" w:hAnsi="Arial"/>
                <w:sz w:val="14"/>
                <w:szCs w:val="14"/>
                <w:b w:val="1"/>
                <w:bCs w:val="1"/>
                <w:color w:val="auto"/>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32,210</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71,408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27,156</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61%</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151,903</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27,156</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weekly (17%), monthly (64%) and quarterly (19%)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(95%) and quarterly (5%)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(9%), weekly (2%) and monthly (89%)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(14%), monthly (58%) and quarterly (28%)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2013</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31,837</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27,135</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23%</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151,269</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27,135</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weekly (17%), monthly (65%) and quarterly (18%)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(95%) and quarterly (5%)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(7%), weekly (1%) and monthly (92%)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(13%), monthly (58%) and quarterly (29%)</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See Note 4 of Notes to Condensed Consolidated Financial Statements for discussion of significant investment strategies for investments with value based on NAV.</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March 31, 2014, the Company’s maximum unfunded commitments for capital contributions to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funds arose from (i) commitments to CP II, which amounted to $1,940 for potential “follow-on investments” and/or for fund expenses through the earlier of February 25, 2017 or the liquidation of the fund, (ii) commitments to EGCP III, which amounted to $18,337,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 and (iii) commitments to COF2, which amounted to $6,879,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commitments as of that date remaining committed until November 11, 2019 in respect of “follow-on investments” and/or fund expenses) or the liquidation of the fund.</w:t>
      </w:r>
    </w:p>
    <w:p>
      <w:pPr>
        <w:spacing w:after="0" w:line="24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“revenue-other”, depending on the nature of the underlying item, on the consolidated statements of operations.</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Lazard Fund Interests awards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Lazard Fund Interests awards and other similar deferred compensation arrangements, which are reported in “revenue-other” in the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 of the Company’s derivative liabilities relating to its obligations pertaining to Lazard Fund Interests and other similar deferred compensation arrangements (see Note 12 of Notes to Condensed Consolidated Financial Statements) on the accompanying condensed consolidated statements of financial condition as of March 31, 2014 and December 31,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9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1,046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213,438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162,422</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219,172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164,001</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60" w:hanging="452"/>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$120 and $4,808 as of March 31, 2014, respectively, and $2,019 and $1,587 as of December 31, 2013, respectively, for contracts with the same counterparty under legally enforceable master netting agreements. Such amounts are recorded “net” in “other assets”, with receivables for net cash collateral under such contracts of $15,884 and $11,384 as of March 31, 2014 and December 31, 2013, respectively.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Lazard Fund Interests and other similar deferred compensation arrangements (included in “compensation and benefits” expense) as reflected on the accompanying condensed consolidated statements of operations for the three month periods ended March 31, 2014 and 2013, were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Forward foreign currency exchange rate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right="3620"/>
        <w:spacing w:after="0" w:line="284" w:lineRule="auto"/>
        <w:rPr>
          <w:sz w:val="20"/>
          <w:szCs w:val="20"/>
          <w:color w:val="auto"/>
        </w:rPr>
      </w:pPr>
      <w:r>
        <w:rPr>
          <w:rFonts w:ascii="Arial" w:cs="Arial" w:eastAsia="Arial" w:hAnsi="Arial"/>
          <w:sz w:val="18"/>
          <w:szCs w:val="18"/>
          <w:color w:val="auto"/>
        </w:rPr>
        <w:t>Lazard Fund Interests and other similar deferred compensation arrangements Total return swaps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81" w:lineRule="exact"/>
        <w:rPr>
          <w:sz w:val="20"/>
          <w:szCs w:val="20"/>
          <w:color w:val="auto"/>
        </w:rPr>
      </w:pPr>
    </w:p>
    <w:p>
      <w:pPr>
        <w:jc w:val="right"/>
        <w:ind w:right="3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Three Months Ended</w:t>
      </w:r>
    </w:p>
    <w:p>
      <w:pPr>
        <w:jc w:val="center"/>
        <w:ind w:right="100"/>
        <w:spacing w:after="0" w:line="22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r>
      <w:tr>
        <w:trPr>
          <w:trHeight w:val="215"/>
        </w:trPr>
        <w:tc>
          <w:tcPr>
            <w:tcW w:w="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$(1,153)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$ 5,231</w:t>
            </w:r>
          </w:p>
        </w:tc>
        <w:tc>
          <w:tcPr>
            <w:tcW w:w="60" w:type="dxa"/>
            <w:vAlign w:val="bottom"/>
          </w:tcPr>
          <w:p>
            <w:pPr>
              <w:spacing w:after="0"/>
              <w:rPr>
                <w:sz w:val="18"/>
                <w:szCs w:val="18"/>
                <w:color w:val="auto"/>
              </w:rPr>
            </w:pPr>
          </w:p>
        </w:tc>
      </w:tr>
      <w:tr>
        <w:trPr>
          <w:trHeight w:val="216"/>
        </w:trPr>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(2,626)</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(3,725)</w:t>
            </w:r>
          </w:p>
        </w:tc>
      </w:tr>
      <w:tr>
        <w:trPr>
          <w:trHeight w:val="223"/>
        </w:trPr>
        <w:tc>
          <w:tcPr>
            <w:tcW w:w="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(1,946)</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(4,108)</w:t>
            </w:r>
          </w:p>
        </w:tc>
      </w:tr>
      <w:tr>
        <w:trPr>
          <w:trHeight w:val="20"/>
        </w:trPr>
        <w:tc>
          <w:tcPr>
            <w:tcW w:w="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8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(5,725)</w:t>
            </w:r>
          </w:p>
        </w:tc>
        <w:tc>
          <w:tcPr>
            <w:tcW w:w="8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(2,602)</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9040" w:space="720"/>
            <w:col w:w="166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March 31, 2014 and December 31, 2013,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Estimated</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516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Life in Years</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$173,735</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173,772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3-20</w:t>
            </w:r>
          </w:p>
        </w:tc>
        <w:tc>
          <w:tcPr>
            <w:tcW w:w="680" w:type="dxa"/>
            <w:vAlign w:val="bottom"/>
          </w:tcPr>
          <w:p>
            <w:pPr>
              <w:jc w:val="right"/>
              <w:spacing w:after="0"/>
              <w:rPr>
                <w:sz w:val="20"/>
                <w:szCs w:val="20"/>
                <w:color w:val="auto"/>
              </w:rPr>
            </w:pPr>
            <w:r>
              <w:rPr>
                <w:rFonts w:ascii="Arial" w:cs="Arial" w:eastAsia="Arial" w:hAnsi="Arial"/>
                <w:sz w:val="18"/>
                <w:szCs w:val="18"/>
                <w:color w:val="auto"/>
              </w:rPr>
              <w:t>176,369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175,600</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151,311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149,598</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505,905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502,726</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262,928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253,930</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242,977</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248,796</w:t>
            </w:r>
          </w:p>
        </w:tc>
        <w:tc>
          <w:tcPr>
            <w:tcW w:w="8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March 31, 2014 and December 31, 2013 are presented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340" w:type="dxa"/>
            <w:vAlign w:val="bottom"/>
            <w:gridSpan w:val="4"/>
          </w:tcPr>
          <w:p>
            <w:pPr>
              <w:ind w:left="46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2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$349,716</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345,453</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17,205</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366,921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363,877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At March 31, 2014 and December 31, 2013, goodwill of $285,175 and $280,912, respectively, was attributable to the Company’s Financial Advisory segment and, at each such respective date, $64,541 of goodwill was attributable to the Company’s Asset Management segment.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three month periods ended March 31, 2014 and 2013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2014</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30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$345,453</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$364,328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Business acquisitions</w:t>
            </w:r>
          </w:p>
        </w:tc>
        <w:tc>
          <w:tcPr>
            <w:tcW w:w="3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Balance, March 31</w:t>
            </w:r>
          </w:p>
        </w:tc>
        <w:tc>
          <w:tcPr>
            <w:tcW w:w="3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60" w:type="dxa"/>
            <w:vAlign w:val="bottom"/>
            <w:vMerge w:val="continue"/>
          </w:tcPr>
          <w:p>
            <w:pPr>
              <w:spacing w:after="0"/>
              <w:rPr>
                <w:sz w:val="19"/>
                <w:szCs w:val="19"/>
                <w:color w:val="auto"/>
              </w:rPr>
            </w:pPr>
          </w:p>
        </w:tc>
        <w:tc>
          <w:tcPr>
            <w:tcW w:w="3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349,716</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365,649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40" w:type="dxa"/>
            <w:vAlign w:val="bottom"/>
            <w:vMerge w:val="restart"/>
          </w:tcPr>
          <w:p>
            <w:pPr>
              <w:jc w:val="right"/>
              <w:ind w:right="2092"/>
              <w:spacing w:after="0"/>
              <w:rPr>
                <w:sz w:val="20"/>
                <w:szCs w:val="20"/>
                <w:color w:val="auto"/>
              </w:rPr>
            </w:pPr>
            <w:r>
              <w:rPr>
                <w:rFonts w:ascii="Arial" w:cs="Arial" w:eastAsia="Arial" w:hAnsi="Arial"/>
                <w:sz w:val="18"/>
                <w:szCs w:val="18"/>
                <w:color w:val="auto"/>
              </w:rPr>
              <w:t>20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40" w:top="459" w:right="7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March 31, 2014 and December 31, 2013,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Amortization</w:t>
            </w: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$13,053</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33,064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28,912</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4,152</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33,063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28,206</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63,804</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17,205</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63,803</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18,424</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expense of intangible assets for the three month periods ended March 31, 2014 and 2013 was $1,220 and $877, respectively. Estimated future amortization expense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84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8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2014 (April 1 through December 31)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5,591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2015</w:t>
            </w:r>
          </w:p>
        </w:tc>
        <w:tc>
          <w:tcPr>
            <w:tcW w:w="7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4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4"/>
          </w:tcPr>
          <w:p>
            <w:pPr>
              <w:ind w:left="220"/>
              <w:spacing w:after="0"/>
              <w:rPr>
                <w:sz w:val="20"/>
                <w:szCs w:val="20"/>
                <w:color w:val="auto"/>
              </w:rPr>
            </w:pPr>
            <w:r>
              <w:rPr>
                <w:rFonts w:ascii="Arial" w:cs="Arial" w:eastAsia="Arial" w:hAnsi="Arial"/>
                <w:sz w:val="18"/>
                <w:szCs w:val="18"/>
                <w:color w:val="auto"/>
              </w:rPr>
              <w:t>Total amortization expense</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Approximately 43%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—Senior debt is comprised of the following as of March 31, 2014 and December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66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Initial</w:t>
            </w:r>
          </w:p>
        </w:tc>
        <w:tc>
          <w:tcPr>
            <w:tcW w:w="980" w:type="dxa"/>
            <w:vAlign w:val="bottom"/>
          </w:tcPr>
          <w:p>
            <w:pPr>
              <w:spacing w:after="0"/>
              <w:rPr>
                <w:sz w:val="14"/>
                <w:szCs w:val="14"/>
                <w:color w:val="auto"/>
              </w:rPr>
            </w:pPr>
          </w:p>
        </w:tc>
        <w:tc>
          <w:tcPr>
            <w:tcW w:w="88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2"/>
              </w:rPr>
              <w:t>Annual</w:t>
            </w: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260" w:type="dxa"/>
            <w:vAlign w:val="bottom"/>
          </w:tcPr>
          <w:p>
            <w:pPr>
              <w:spacing w:after="0"/>
              <w:rPr>
                <w:sz w:val="4"/>
                <w:szCs w:val="4"/>
                <w:color w:val="auto"/>
              </w:rPr>
            </w:pPr>
          </w:p>
        </w:tc>
        <w:tc>
          <w:tcPr>
            <w:tcW w:w="26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2660" w:type="dxa"/>
            <w:vAlign w:val="bottom"/>
          </w:tcPr>
          <w:p>
            <w:pPr>
              <w:ind w:left="1840"/>
              <w:spacing w:after="0" w:line="149" w:lineRule="exact"/>
              <w:rPr>
                <w:sz w:val="20"/>
                <w:szCs w:val="20"/>
                <w:color w:val="auto"/>
              </w:rPr>
            </w:pPr>
            <w:r>
              <w:rPr>
                <w:rFonts w:ascii="Arial" w:cs="Arial" w:eastAsia="Arial" w:hAnsi="Arial"/>
                <w:sz w:val="14"/>
                <w:szCs w:val="14"/>
                <w:b w:val="1"/>
                <w:bCs w:val="1"/>
                <w:color w:val="auto"/>
              </w:rPr>
              <w:t>Principal</w:t>
            </w:r>
          </w:p>
        </w:tc>
        <w:tc>
          <w:tcPr>
            <w:tcW w:w="98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rPr>
              <w:t>Maturity</w:t>
            </w:r>
          </w:p>
        </w:tc>
        <w:tc>
          <w:tcPr>
            <w:tcW w:w="88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6"/>
              </w:rPr>
              <w:t>Interest</w:t>
            </w:r>
          </w:p>
        </w:tc>
        <w:tc>
          <w:tcPr>
            <w:tcW w:w="80" w:type="dxa"/>
            <w:vAlign w:val="bottom"/>
          </w:tcPr>
          <w:p>
            <w:pPr>
              <w:spacing w:after="0"/>
              <w:rPr>
                <w:sz w:val="12"/>
                <w:szCs w:val="12"/>
                <w:color w:val="auto"/>
              </w:rPr>
            </w:pPr>
          </w:p>
        </w:tc>
        <w:tc>
          <w:tcPr>
            <w:tcW w:w="720" w:type="dxa"/>
            <w:vAlign w:val="bottom"/>
          </w:tcPr>
          <w:p>
            <w:pPr>
              <w:jc w:val="right"/>
              <w:ind w:right="1"/>
              <w:spacing w:after="0" w:line="149" w:lineRule="exact"/>
              <w:rPr>
                <w:sz w:val="20"/>
                <w:szCs w:val="20"/>
                <w:color w:val="auto"/>
              </w:rPr>
            </w:pPr>
            <w:r>
              <w:rPr>
                <w:rFonts w:ascii="Arial" w:cs="Arial" w:eastAsia="Arial" w:hAnsi="Arial"/>
                <w:sz w:val="14"/>
                <w:szCs w:val="14"/>
                <w:b w:val="1"/>
                <w:bCs w:val="1"/>
                <w:color w:val="auto"/>
                <w:w w:val="95"/>
              </w:rPr>
              <w:t>March 31,</w:t>
            </w:r>
          </w:p>
        </w:tc>
        <w:tc>
          <w:tcPr>
            <w:tcW w:w="9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260" w:type="dxa"/>
            <w:vAlign w:val="bottom"/>
            <w:tcBorders>
              <w:bottom w:val="single" w:sz="8" w:color="CCEEFF"/>
            </w:tcBorders>
          </w:tcPr>
          <w:p>
            <w:pPr>
              <w:spacing w:after="0"/>
              <w:rPr>
                <w:sz w:val="15"/>
                <w:szCs w:val="15"/>
                <w:color w:val="auto"/>
              </w:rPr>
            </w:pPr>
          </w:p>
        </w:tc>
        <w:tc>
          <w:tcPr>
            <w:tcW w:w="2660" w:type="dxa"/>
            <w:vAlign w:val="bottom"/>
            <w:tcBorders>
              <w:bottom w:val="single" w:sz="8" w:color="CCEEFF"/>
            </w:tcBorders>
          </w:tcPr>
          <w:p>
            <w:pPr>
              <w:ind w:left="1860"/>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bottom w:val="single" w:sz="8" w:color="CCEEFF"/>
            </w:tcBorders>
          </w:tcPr>
          <w:p>
            <w:pPr>
              <w:jc w:val="right"/>
              <w:ind w:right="240"/>
              <w:spacing w:after="0"/>
              <w:rPr>
                <w:sz w:val="20"/>
                <w:szCs w:val="20"/>
                <w:color w:val="auto"/>
              </w:rPr>
            </w:pPr>
            <w:r>
              <w:rPr>
                <w:rFonts w:ascii="Arial" w:cs="Arial" w:eastAsia="Arial" w:hAnsi="Arial"/>
                <w:sz w:val="14"/>
                <w:szCs w:val="14"/>
                <w:b w:val="1"/>
                <w:bCs w:val="1"/>
                <w:color w:val="auto"/>
              </w:rPr>
              <w:t>Date</w:t>
            </w:r>
          </w:p>
        </w:tc>
        <w:tc>
          <w:tcPr>
            <w:tcW w:w="880" w:type="dxa"/>
            <w:vAlign w:val="bottom"/>
            <w:tcBorders>
              <w:bottom w:val="single" w:sz="8" w:color="CCEEFF"/>
            </w:tcBorders>
          </w:tcPr>
          <w:p>
            <w:pPr>
              <w:jc w:val="center"/>
              <w:ind w:right="162"/>
              <w:spacing w:after="0"/>
              <w:rPr>
                <w:sz w:val="20"/>
                <w:szCs w:val="20"/>
                <w:color w:val="auto"/>
              </w:rPr>
            </w:pPr>
            <w:r>
              <w:rPr>
                <w:rFonts w:ascii="Arial" w:cs="Arial" w:eastAsia="Arial" w:hAnsi="Arial"/>
                <w:sz w:val="14"/>
                <w:szCs w:val="14"/>
                <w:b w:val="1"/>
                <w:bCs w:val="1"/>
                <w:color w:val="auto"/>
                <w:w w:val="92"/>
              </w:rPr>
              <w:t>Rate</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Lazard Group 6.85% Senior Notes</w:t>
            </w:r>
          </w:p>
        </w:tc>
        <w:tc>
          <w:tcPr>
            <w:tcW w:w="266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600,000</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6/15/17</w:t>
            </w:r>
          </w:p>
        </w:tc>
        <w:tc>
          <w:tcPr>
            <w:tcW w:w="8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Lazard Group 4.25% Senior Notes</w:t>
            </w:r>
          </w:p>
        </w:tc>
        <w:tc>
          <w:tcPr>
            <w:tcW w:w="2660" w:type="dxa"/>
            <w:vAlign w:val="bottom"/>
          </w:tcPr>
          <w:p>
            <w:pPr>
              <w:ind w:left="1840"/>
              <w:spacing w:after="0"/>
              <w:rPr>
                <w:sz w:val="20"/>
                <w:szCs w:val="20"/>
                <w:color w:val="auto"/>
              </w:rPr>
            </w:pPr>
            <w:r>
              <w:rPr>
                <w:rFonts w:ascii="Arial" w:cs="Arial" w:eastAsia="Arial" w:hAnsi="Arial"/>
                <w:sz w:val="18"/>
                <w:szCs w:val="18"/>
                <w:color w:val="auto"/>
              </w:rPr>
              <w:t>500,000</w:t>
            </w:r>
          </w:p>
        </w:tc>
        <w:tc>
          <w:tcPr>
            <w:tcW w:w="980" w:type="dxa"/>
            <w:vAlign w:val="bottom"/>
          </w:tcPr>
          <w:p>
            <w:pPr>
              <w:jc w:val="right"/>
              <w:ind w:right="40"/>
              <w:spacing w:after="0"/>
              <w:rPr>
                <w:sz w:val="20"/>
                <w:szCs w:val="20"/>
                <w:color w:val="auto"/>
              </w:rPr>
            </w:pPr>
            <w:r>
              <w:rPr>
                <w:rFonts w:ascii="Arial" w:cs="Arial" w:eastAsia="Arial" w:hAnsi="Arial"/>
                <w:sz w:val="18"/>
                <w:szCs w:val="18"/>
                <w:color w:val="auto"/>
              </w:rPr>
              <w:t>11/14/20</w:t>
            </w:r>
          </w:p>
        </w:tc>
        <w:tc>
          <w:tcPr>
            <w:tcW w:w="880" w:type="dxa"/>
            <w:vAlign w:val="bottom"/>
          </w:tcPr>
          <w:p>
            <w:pPr>
              <w:jc w:val="right"/>
              <w:ind w:right="102"/>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66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150,000</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9/25/15</w:t>
            </w:r>
          </w:p>
        </w:tc>
        <w:tc>
          <w:tcPr>
            <w:tcW w:w="8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0.78%</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440"/>
              <w:spacing w:after="0"/>
              <w:rPr>
                <w:sz w:val="20"/>
                <w:szCs w:val="20"/>
                <w:color w:val="auto"/>
              </w:rPr>
            </w:pPr>
            <w:r>
              <w:rPr>
                <w:rFonts w:ascii="Arial" w:cs="Arial" w:eastAsia="Arial" w:hAnsi="Arial"/>
                <w:sz w:val="18"/>
                <w:szCs w:val="18"/>
                <w:color w:val="auto"/>
              </w:rPr>
              <w:t>Total</w:t>
            </w:r>
          </w:p>
        </w:tc>
        <w:tc>
          <w:tcPr>
            <w:tcW w:w="2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1,048,350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1,048,350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November 2013, and in connection with Lazard Group’s redemption of $528,500 aggregate principal amount of its then outstanding 7.125% senior notes maturing on May 15, 2015 (the “2015 Notes”), Lazard Group issued $500,000 aggregate principal amount of 4.25% senior notes maturing on November 14, 2020 (the “2020 Notes”). Interest on the 2020 Notes is payable semi-annually on May 14 and November 14 of each year commencing on May 14, 2014.</w:t>
      </w:r>
    </w:p>
    <w:p>
      <w:pPr>
        <w:spacing w:after="0" w:line="10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applicable margin. As of March 31, 2014, the annual interest rate for a loan accruing interest (based on the Federal Funds overnight rate), including the applicable margin, was 0.78%. At March 31, 2014 and December 31, 2013, no amounts were outstanding under the Credit Facility.</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March 31, 2014, the Company was in compliance with such provisions. All of the Company’s senior debt obligations are unsecured.</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of March 31, 2014, the Company had approximately $258,000 in unused lines of credit available to it, including the Credit Facility, and unused lines of credit available to LFB of approximately $48,000 (at March 31, 2014 exchange rates) and Edgewater of $55,000. In addition, LFB has access to the Eurosystem Covered Bond Purchase Program of the Banque de France.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Company’s senior debt at March 31, 2014 and December 31, 2013 is carried at historical amounts. At those dates, the fair value of such senior debt was approximately $1,140,000 and $1,117,000, respectively, and exceeded the aggregate carrying value by approximately $92,000 and $69,000, respectively. The fair value of the Company’s senior debt is based on market quotations. The Company’s senior debt would be categorized within Level 2 of the hierarchy of fair value measurements if carried at fair value.</w:t>
      </w:r>
    </w:p>
    <w:p>
      <w:pPr>
        <w:spacing w:after="0" w:line="26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the Company’s consolidated financial position or results of operations.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March 31, 2014, LFB had $5,908 of such indemnifications and held $5,255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As of March 31, 2014 and December 31, 2013, of the Initial Shares and Earnout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Shares, 1,371,992 shares have been earned because applicable performance thresholds have been satisfied. Such shares are no longer subject to any contingencies.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1,029,006 of such shares have been settled, and no additional shares have been settled as of March 31, 2014.</w:t>
      </w:r>
    </w:p>
    <w:p>
      <w:pPr>
        <w:spacing w:after="0" w:line="16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Contingent Consideration Relating To Other Business Acquisitions</w:t>
      </w:r>
      <w:r>
        <w:rPr>
          <w:rFonts w:ascii="Arial" w:cs="Arial" w:eastAsia="Arial" w:hAnsi="Arial"/>
          <w:sz w:val="16"/>
          <w:szCs w:val="16"/>
          <w:color w:val="auto"/>
        </w:rPr>
        <w:t>—For a business acquired in 2012, at December 31, 2012, 170,988 shares of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(including dividend equivalent shares) were issuable on a non-contingent basis. Such shares were delivered in the first quarter of 2013. The Company is obligated to issue a maximum of 202,650 additional shares of Class A common stock if certain performance thresholds are achieved.</w:t>
      </w:r>
    </w:p>
    <w:p>
      <w:pPr>
        <w:spacing w:after="0" w:line="107"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varying expiration dates, are fully collateralized and generally contain requirements for the counterparty to maintain a minimum collateral level. These commitments may not represent future cash requirements as they may expire without being drawn upon. At March 31, 2014, these commitments were not material.</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March 31, 2014, LFB had no such underwriting commitments.</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During the three month periods ended March 31, 2014 and 2013, Lazard Group distributed the following amounts to LAZ-MD Holdings and the subsidiaries of Lazard Ltd (none of which related to tax distributions):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8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4"/>
                <w:szCs w:val="14"/>
                <w:b w:val="1"/>
                <w:bCs w:val="1"/>
                <w:color w:val="auto"/>
                <w:w w:val="92"/>
              </w:rPr>
              <w:t>March 31,</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11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88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LAZ-MD Holdings</w:t>
            </w:r>
          </w:p>
        </w:tc>
        <w:tc>
          <w:tcPr>
            <w:tcW w:w="3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35,917</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36,130</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0"/>
        </w:trPr>
        <w:tc>
          <w:tcPr>
            <w:tcW w:w="58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“Noncontrolling Interests” below for additional information regarding Lazard Ltd’s and LAZ-MD Holdings’ ownership interests in Lazard Group.</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years ended December 31, 2013, 2012 and 2011, the Board of Directors of Lazard Ltd authorized the repurchase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Class A common stock and Lazard Group common membership interests as set forth in the table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2"/>
              </w:rPr>
              <w:t>Share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9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2011</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October, 2011</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2013</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October, 2012</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2014</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expects that the share repurchase program, with respect to the Class A common stock, will primarily be used to offset a portion of the shares that have been or will be issued under the Lazard Ltd 2005 Equity Incentive Plan (the “2005 Plan”) and the Lazard Ltd 2008 Incentive Compensation Plan (the “2008 Plan”). Pursuant to the share repurchase program, purchases have been made in the open market or through privately negotiated transactions.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18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18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5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18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18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Interests Purchased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115"/>
        </w:trPr>
        <w:tc>
          <w:tcPr>
            <w:tcW w:w="822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Three Months Ended March 31:</w:t>
            </w:r>
          </w:p>
        </w:tc>
        <w:tc>
          <w:tcPr>
            <w:tcW w:w="1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316"/>
        </w:trPr>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2013</w:t>
            </w:r>
          </w:p>
        </w:tc>
        <w:tc>
          <w:tcPr>
            <w:tcW w:w="634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gridSpan w:val="2"/>
          </w:tcPr>
          <w:p>
            <w:pPr>
              <w:jc w:val="right"/>
              <w:ind w:right="520"/>
              <w:spacing w:after="0"/>
              <w:rPr>
                <w:sz w:val="20"/>
                <w:szCs w:val="20"/>
                <w:color w:val="auto"/>
              </w:rPr>
            </w:pPr>
            <w:r>
              <w:rPr>
                <w:rFonts w:ascii="Arial" w:cs="Arial" w:eastAsia="Arial" w:hAnsi="Arial"/>
                <w:sz w:val="18"/>
                <w:szCs w:val="18"/>
                <w:color w:val="auto"/>
              </w:rPr>
              <w:t>831,157</w:t>
            </w:r>
          </w:p>
        </w:tc>
        <w:tc>
          <w:tcPr>
            <w:tcW w:w="6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Borders>
              <w:top w:val="single" w:sz="8" w:color="CCEEFF"/>
            </w:tcBorders>
          </w:tcPr>
          <w:p>
            <w:pPr>
              <w:spacing w:after="0"/>
              <w:rPr>
                <w:sz w:val="24"/>
                <w:szCs w:val="24"/>
                <w:color w:val="auto"/>
              </w:rPr>
            </w:pPr>
          </w:p>
        </w:tc>
      </w:tr>
      <w:tr>
        <w:trPr>
          <w:trHeight w:val="218"/>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3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2,392,674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As of March 31, 2014, a total of $14,654 of share repurchase authorization remained available under the Company’s share repurchase program, which will expire on December 31, 2015.</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April 2014, the Board of Directors of Lazard Ltd authorized the repurchase of up to an additional $200,000 in aggregate cost of Class A common stock and Lazard Group common membership interests through December 31, 2015.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—Lazard Ltd has 15,000,000 authorized shares of preferred stock, par value $0.01 per share, inclusive of its Series A and Series 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Series A and Series B preferred shares were issued in connection with certain prior year business acquisitions and are each non-participating securities convertible into Class A common stock, and have no voting or dividend rights. As of both March 31, 2014 and December 31, 2013, 7,921 shares of Series A preferred stock were outstanding, and no shares of Series B preferred stock were outstanding. At March 31, 2014 and December 31, 2013, no shares of Series A preferred stock were convertible into shares of Class A common stock on a contingent or a non-contingent basis.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tables below reflect changes in the balances of each component of AOCI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 periods ended March 31, 2014 and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7"/>
              </w:rPr>
              <w:t>Employee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Benefit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right"/>
              <w:ind w:right="578"/>
              <w:spacing w:after="0" w:line="149"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12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0"/>
              </w:rPr>
              <w:t>Plans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558"/>
              <w:spacing w:after="0"/>
              <w:rPr>
                <w:sz w:val="20"/>
                <w:szCs w:val="20"/>
                <w:color w:val="auto"/>
              </w:rPr>
            </w:pPr>
            <w:r>
              <w:rPr>
                <w:rFonts w:ascii="Arial" w:cs="Arial" w:eastAsia="Arial" w:hAnsi="Arial"/>
                <w:sz w:val="14"/>
                <w:szCs w:val="14"/>
                <w:b w:val="1"/>
                <w:bCs w:val="1"/>
                <w:color w:val="auto"/>
              </w:rPr>
              <w:t>AOCI</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(137,431</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(133,562</w:t>
            </w:r>
          </w:p>
        </w:tc>
        <w:tc>
          <w:tcPr>
            <w:tcW w:w="340" w:type="dxa"/>
            <w:vAlign w:val="bottom"/>
            <w:tcBorders>
              <w:top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(133,004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Activity January 1 to March 31, 2014: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gain (loss) before reclassifications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5,339</w:t>
            </w:r>
          </w:p>
        </w:tc>
        <w:tc>
          <w:tcPr>
            <w:tcW w:w="0" w:type="dxa"/>
            <w:vAlign w:val="bottom"/>
          </w:tcPr>
          <w:p>
            <w:pPr>
              <w:spacing w:after="0"/>
              <w:rPr>
                <w:sz w:val="1"/>
                <w:szCs w:val="1"/>
                <w:color w:val="auto"/>
              </w:rPr>
            </w:pPr>
          </w:p>
        </w:tc>
      </w:tr>
      <w:tr>
        <w:trPr>
          <w:trHeight w:val="223"/>
        </w:trPr>
        <w:tc>
          <w:tcPr>
            <w:tcW w:w="550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1,289</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Balance, March 31, 2014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9,782</w:t>
            </w:r>
          </w:p>
        </w:tc>
        <w:tc>
          <w:tcPr>
            <w:tcW w:w="120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(136,699)</w:t>
            </w:r>
          </w:p>
        </w:tc>
        <w:tc>
          <w:tcPr>
            <w:tcW w:w="1500" w:type="dxa"/>
            <w:vAlign w:val="bottom"/>
            <w:gridSpan w:val="5"/>
          </w:tcPr>
          <w:p>
            <w:pPr>
              <w:jc w:val="right"/>
              <w:ind w:right="19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(126,917)</w:t>
            </w:r>
          </w:p>
        </w:tc>
        <w:tc>
          <w:tcPr>
            <w:tcW w:w="100" w:type="dxa"/>
            <w:vAlign w:val="bottom"/>
          </w:tcPr>
          <w:p>
            <w:pPr>
              <w:spacing w:after="0"/>
              <w:rPr>
                <w:sz w:val="19"/>
                <w:szCs w:val="19"/>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(126,383)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640" w:type="dxa"/>
            <w:vAlign w:val="bottom"/>
            <w:gridSpan w:val="3"/>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Interest</w:t>
            </w:r>
          </w:p>
        </w:tc>
        <w:tc>
          <w:tcPr>
            <w:tcW w:w="220" w:type="dxa"/>
            <w:vAlign w:val="bottom"/>
          </w:tcPr>
          <w:p>
            <w:pPr>
              <w:spacing w:after="0"/>
              <w:rPr>
                <w:sz w:val="12"/>
                <w:szCs w:val="12"/>
                <w:color w:val="auto"/>
              </w:rPr>
            </w:pPr>
          </w:p>
        </w:tc>
        <w:tc>
          <w:tcPr>
            <w:tcW w:w="820" w:type="dxa"/>
            <w:vAlign w:val="bottom"/>
            <w:gridSpan w:val="4"/>
          </w:tcPr>
          <w:p>
            <w:pPr>
              <w:jc w:val="center"/>
              <w:ind w:right="15"/>
              <w:spacing w:after="0" w:line="149" w:lineRule="exact"/>
              <w:rPr>
                <w:sz w:val="20"/>
                <w:szCs w:val="20"/>
                <w:color w:val="auto"/>
              </w:rPr>
            </w:pPr>
            <w:r>
              <w:rPr>
                <w:rFonts w:ascii="Arial" w:cs="Arial" w:eastAsia="Arial" w:hAnsi="Arial"/>
                <w:sz w:val="14"/>
                <w:szCs w:val="14"/>
                <w:b w:val="1"/>
                <w:bCs w:val="1"/>
                <w:color w:val="auto"/>
                <w:w w:val="84"/>
              </w:rPr>
              <w:t>Employee</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8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80" w:type="dxa"/>
            <w:vAlign w:val="bottom"/>
          </w:tcPr>
          <w:p>
            <w:pPr>
              <w:spacing w:after="0"/>
              <w:rPr>
                <w:sz w:val="12"/>
                <w:szCs w:val="12"/>
                <w:color w:val="auto"/>
              </w:rPr>
            </w:pPr>
          </w:p>
        </w:tc>
        <w:tc>
          <w:tcPr>
            <w:tcW w:w="640" w:type="dxa"/>
            <w:vAlign w:val="bottom"/>
            <w:gridSpan w:val="3"/>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Rate</w:t>
            </w:r>
          </w:p>
        </w:tc>
        <w:tc>
          <w:tcPr>
            <w:tcW w:w="220" w:type="dxa"/>
            <w:vAlign w:val="bottom"/>
          </w:tcPr>
          <w:p>
            <w:pPr>
              <w:spacing w:after="0"/>
              <w:rPr>
                <w:sz w:val="12"/>
                <w:szCs w:val="12"/>
                <w:color w:val="auto"/>
              </w:rPr>
            </w:pPr>
          </w:p>
        </w:tc>
        <w:tc>
          <w:tcPr>
            <w:tcW w:w="820" w:type="dxa"/>
            <w:vAlign w:val="bottom"/>
            <w:gridSpan w:val="4"/>
          </w:tcPr>
          <w:p>
            <w:pPr>
              <w:jc w:val="center"/>
              <w:ind w:right="15"/>
              <w:spacing w:after="0" w:line="149" w:lineRule="exact"/>
              <w:rPr>
                <w:sz w:val="20"/>
                <w:szCs w:val="20"/>
                <w:color w:val="auto"/>
              </w:rPr>
            </w:pPr>
            <w:r>
              <w:rPr>
                <w:rFonts w:ascii="Arial" w:cs="Arial" w:eastAsia="Arial" w:hAnsi="Arial"/>
                <w:sz w:val="14"/>
                <w:szCs w:val="14"/>
                <w:b w:val="1"/>
                <w:bCs w:val="1"/>
                <w:color w:val="auto"/>
                <w:w w:val="84"/>
              </w:rPr>
              <w:t>Benefit</w:t>
            </w:r>
          </w:p>
        </w:tc>
        <w:tc>
          <w:tcPr>
            <w:tcW w:w="220" w:type="dxa"/>
            <w:vAlign w:val="bottom"/>
          </w:tcPr>
          <w:p>
            <w:pPr>
              <w:spacing w:after="0"/>
              <w:rPr>
                <w:sz w:val="12"/>
                <w:szCs w:val="12"/>
                <w:color w:val="auto"/>
              </w:rPr>
            </w:pPr>
          </w:p>
        </w:tc>
        <w:tc>
          <w:tcPr>
            <w:tcW w:w="820" w:type="dxa"/>
            <w:vAlign w:val="bottom"/>
            <w:gridSpan w:val="3"/>
          </w:tcPr>
          <w:p>
            <w:pPr>
              <w:jc w:val="right"/>
              <w:ind w:right="238"/>
              <w:spacing w:after="0" w:line="149"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40" w:type="dxa"/>
            <w:vAlign w:val="bottom"/>
            <w:gridSpan w:val="3"/>
          </w:tcPr>
          <w:p>
            <w:pPr>
              <w:jc w:val="center"/>
              <w:ind w:right="18"/>
              <w:spacing w:after="0"/>
              <w:rPr>
                <w:sz w:val="20"/>
                <w:szCs w:val="20"/>
                <w:color w:val="auto"/>
              </w:rPr>
            </w:pPr>
            <w:r>
              <w:rPr>
                <w:rFonts w:ascii="Arial" w:cs="Arial" w:eastAsia="Arial" w:hAnsi="Arial"/>
                <w:sz w:val="14"/>
                <w:szCs w:val="14"/>
                <w:b w:val="1"/>
                <w:bCs w:val="1"/>
                <w:color w:val="auto"/>
                <w:w w:val="88"/>
              </w:rPr>
              <w:t>Hedge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jc w:val="center"/>
              <w:ind w:right="215"/>
              <w:spacing w:after="0"/>
              <w:rPr>
                <w:sz w:val="20"/>
                <w:szCs w:val="20"/>
                <w:color w:val="auto"/>
              </w:rPr>
            </w:pPr>
            <w:r>
              <w:rPr>
                <w:rFonts w:ascii="Arial" w:cs="Arial" w:eastAsia="Arial" w:hAnsi="Arial"/>
                <w:sz w:val="14"/>
                <w:szCs w:val="14"/>
                <w:b w:val="1"/>
                <w:bCs w:val="1"/>
                <w:color w:val="auto"/>
                <w:w w:val="85"/>
              </w:rPr>
              <w:t>Plans</w:t>
            </w:r>
          </w:p>
        </w:tc>
        <w:tc>
          <w:tcPr>
            <w:tcW w:w="220" w:type="dxa"/>
            <w:vAlign w:val="bottom"/>
          </w:tcPr>
          <w:p>
            <w:pPr>
              <w:spacing w:after="0"/>
              <w:rPr>
                <w:sz w:val="14"/>
                <w:szCs w:val="14"/>
                <w:color w:val="auto"/>
              </w:rPr>
            </w:pPr>
          </w:p>
        </w:tc>
        <w:tc>
          <w:tcPr>
            <w:tcW w:w="820" w:type="dxa"/>
            <w:vAlign w:val="bottom"/>
            <w:gridSpan w:val="3"/>
          </w:tcPr>
          <w:p>
            <w:pPr>
              <w:jc w:val="right"/>
              <w:ind w:right="198"/>
              <w:spacing w:after="0"/>
              <w:rPr>
                <w:sz w:val="20"/>
                <w:szCs w:val="20"/>
                <w:color w:val="auto"/>
              </w:rPr>
            </w:pPr>
            <w:r>
              <w:rPr>
                <w:rFonts w:ascii="Arial" w:cs="Arial" w:eastAsia="Arial" w:hAnsi="Arial"/>
                <w:sz w:val="14"/>
                <w:szCs w:val="14"/>
                <w:b w:val="1"/>
                <w:bCs w:val="1"/>
                <w:color w:val="auto"/>
              </w:rPr>
              <w:t>AOCI</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(2,502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(128,536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1"/>
              </w:rPr>
              <w:t>$ (111,633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(110,541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Activity January 1 to March 31, 2013: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(12,433)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(3,423)</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(15,856)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(15,681)</w:t>
            </w:r>
          </w:p>
        </w:tc>
        <w:tc>
          <w:tcPr>
            <w:tcW w:w="0" w:type="dxa"/>
            <w:vAlign w:val="bottom"/>
          </w:tcPr>
          <w:p>
            <w:pPr>
              <w:spacing w:after="0"/>
              <w:rPr>
                <w:sz w:val="1"/>
                <w:szCs w:val="1"/>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8"/>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1,218</w:t>
            </w:r>
          </w:p>
        </w:tc>
        <w:tc>
          <w:tcPr>
            <w:tcW w:w="100" w:type="dxa"/>
            <w:vAlign w:val="bottom"/>
          </w:tcPr>
          <w:p>
            <w:pPr>
              <w:spacing w:after="0"/>
              <w:rPr>
                <w:sz w:val="18"/>
                <w:szCs w:val="18"/>
                <w:color w:val="auto"/>
              </w:rPr>
            </w:pPr>
          </w:p>
        </w:tc>
        <w:tc>
          <w:tcPr>
            <w:tcW w:w="1040" w:type="dxa"/>
            <w:vAlign w:val="bottom"/>
            <w:gridSpan w:val="4"/>
          </w:tcPr>
          <w:p>
            <w:pPr>
              <w:jc w:val="right"/>
              <w:ind w:right="18"/>
              <w:spacing w:after="0"/>
              <w:rPr>
                <w:sz w:val="20"/>
                <w:szCs w:val="20"/>
                <w:color w:val="auto"/>
              </w:rPr>
            </w:pPr>
            <w:r>
              <w:rPr>
                <w:rFonts w:ascii="Arial" w:cs="Arial" w:eastAsia="Arial" w:hAnsi="Arial"/>
                <w:sz w:val="18"/>
                <w:szCs w:val="18"/>
                <w:color w:val="auto"/>
              </w:rPr>
              <w:t>1,482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960" w:type="dxa"/>
            <w:vAlign w:val="bottom"/>
            <w:gridSpan w:val="3"/>
          </w:tcPr>
          <w:p>
            <w:pPr>
              <w:jc w:val="right"/>
              <w:ind w:right="18"/>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(12,433)</w:t>
            </w:r>
          </w:p>
        </w:tc>
        <w:tc>
          <w:tcPr>
            <w:tcW w:w="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8"/>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(2,205)</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(14,374)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Balance, March 31, 2013</w:t>
            </w:r>
          </w:p>
        </w:tc>
        <w:tc>
          <w:tcPr>
            <w:tcW w:w="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6,972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(2,238)</w:t>
            </w:r>
          </w:p>
        </w:tc>
        <w:tc>
          <w:tcPr>
            <w:tcW w:w="10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(130,741)</w:t>
            </w:r>
          </w:p>
        </w:tc>
        <w:tc>
          <w:tcPr>
            <w:tcW w:w="10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(126,007)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(1,249)</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(124,758)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500" w:type="dxa"/>
            <w:vAlign w:val="bottom"/>
          </w:tcPr>
          <w:p>
            <w:pPr>
              <w:spacing w:after="0"/>
              <w:rPr>
                <w:sz w:val="24"/>
                <w:szCs w:val="24"/>
                <w:color w:val="auto"/>
              </w:rPr>
            </w:pPr>
          </w:p>
        </w:tc>
        <w:tc>
          <w:tcPr>
            <w:tcW w:w="740" w:type="dxa"/>
            <w:vAlign w:val="bottom"/>
            <w:gridSpan w:val="3"/>
          </w:tcPr>
          <w:p>
            <w:pPr>
              <w:jc w:val="right"/>
              <w:ind w:right="354"/>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table below reflects adjustments for items reclassified out of AOCI, by component, for the three month periods ended March 31, 2014 and 2013: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2"/>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interest rate hedge (a)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20" w:type="dxa"/>
            <w:vAlign w:val="bottom"/>
            <w:gridSpan w:val="3"/>
          </w:tcPr>
          <w:p>
            <w:pPr>
              <w:spacing w:after="0"/>
              <w:rPr>
                <w:sz w:val="20"/>
                <w:szCs w:val="20"/>
                <w:color w:val="auto"/>
              </w:rPr>
            </w:pPr>
            <w:r>
              <w:rPr>
                <w:rFonts w:ascii="Arial" w:cs="Arial" w:eastAsia="Arial" w:hAnsi="Arial"/>
                <w:sz w:val="18"/>
                <w:szCs w:val="18"/>
                <w:color w:val="auto"/>
              </w:rPr>
              <w:t>Amortization relating to employee benefit plans (b)</w:t>
            </w:r>
          </w:p>
        </w:tc>
        <w:tc>
          <w:tcPr>
            <w:tcW w:w="120" w:type="dxa"/>
            <w:vAlign w:val="bottom"/>
          </w:tcPr>
          <w:p>
            <w:pPr>
              <w:spacing w:after="0"/>
              <w:rPr>
                <w:sz w:val="19"/>
                <w:szCs w:val="19"/>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1,821</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related income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gridSpan w:val="3"/>
            <w:vMerge w:val="restart"/>
          </w:tcPr>
          <w:p>
            <w:pPr>
              <w:spacing w:after="0"/>
              <w:rPr>
                <w:sz w:val="20"/>
                <w:szCs w:val="20"/>
                <w:color w:val="auto"/>
              </w:rPr>
            </w:pPr>
            <w:r>
              <w:rPr>
                <w:rFonts w:ascii="Arial" w:cs="Arial" w:eastAsia="Arial" w:hAnsi="Arial"/>
                <w:sz w:val="18"/>
                <w:szCs w:val="18"/>
                <w:color w:val="auto"/>
              </w:rPr>
              <w:t>Net of tax</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1,289</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1,289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“interest expense” on the condensed consolidated statements of operations.</w:t>
      </w:r>
    </w:p>
    <w:p>
      <w:pPr>
        <w:spacing w:after="0" w:line="15"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3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Lazard Group by LAZ-MD Holdings and (ii) Edgewater’s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vehicles that the Company is deemed to control, but does not own.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ownership interests in Lazard Group held by Lazard Ltd and LAZ-MD Holdings: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20" w:type="dxa"/>
            <w:vAlign w:val="bottom"/>
            <w:gridSpan w:val="2"/>
          </w:tcPr>
          <w:p>
            <w:pPr>
              <w:ind w:left="660"/>
              <w:spacing w:after="0"/>
              <w:rPr>
                <w:sz w:val="20"/>
                <w:szCs w:val="20"/>
                <w:color w:val="auto"/>
              </w:rPr>
            </w:pPr>
            <w:r>
              <w:rPr>
                <w:rFonts w:ascii="Arial" w:cs="Arial" w:eastAsia="Arial" w:hAnsi="Arial"/>
                <w:sz w:val="14"/>
                <w:szCs w:val="14"/>
                <w:b w:val="1"/>
                <w:bCs w:val="1"/>
                <w:color w:val="auto"/>
                <w:w w:val="90"/>
              </w:rPr>
              <w:t>Lazard Ltd</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LAZ-MD Holdings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1000" w:type="dxa"/>
            <w:vAlign w:val="bottom"/>
          </w:tcPr>
          <w:p>
            <w:pPr>
              <w:spacing w:after="0"/>
              <w:rPr>
                <w:sz w:val="7"/>
                <w:szCs w:val="7"/>
                <w:color w:val="auto"/>
              </w:rPr>
            </w:pPr>
          </w:p>
        </w:tc>
        <w:tc>
          <w:tcPr>
            <w:tcW w:w="4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Common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3"/>
              </w:rPr>
              <w:t>As of March 31:</w:t>
            </w:r>
          </w:p>
        </w:tc>
        <w:tc>
          <w:tcPr>
            <w:tcW w:w="462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Membership</w:t>
            </w:r>
          </w:p>
        </w:tc>
        <w:tc>
          <w:tcPr>
            <w:tcW w:w="0" w:type="dxa"/>
            <w:vAlign w:val="bottom"/>
          </w:tcPr>
          <w:p>
            <w:pPr>
              <w:spacing w:after="0"/>
              <w:rPr>
                <w:sz w:val="1"/>
                <w:szCs w:val="1"/>
                <w:color w:val="auto"/>
              </w:rPr>
            </w:pPr>
          </w:p>
        </w:tc>
      </w:tr>
      <w:tr>
        <w:trPr>
          <w:trHeight w:val="153"/>
        </w:trPr>
        <w:tc>
          <w:tcPr>
            <w:tcW w:w="1000" w:type="dxa"/>
            <w:vAlign w:val="bottom"/>
            <w:tcBorders>
              <w:bottom w:val="single" w:sz="8" w:color="auto"/>
            </w:tcBorders>
            <w:vMerge w:val="continue"/>
          </w:tcPr>
          <w:p>
            <w:pPr>
              <w:spacing w:after="0"/>
              <w:rPr>
                <w:sz w:val="12"/>
                <w:szCs w:val="12"/>
                <w:color w:val="auto"/>
              </w:rPr>
            </w:pPr>
          </w:p>
        </w:tc>
        <w:tc>
          <w:tcPr>
            <w:tcW w:w="4620" w:type="dxa"/>
            <w:vAlign w:val="bottom"/>
          </w:tcPr>
          <w:p>
            <w:pPr>
              <w:spacing w:after="0"/>
              <w:rPr>
                <w:sz w:val="12"/>
                <w:szCs w:val="12"/>
                <w:color w:val="auto"/>
              </w:rPr>
            </w:pPr>
          </w:p>
        </w:tc>
        <w:tc>
          <w:tcPr>
            <w:tcW w:w="13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5"/>
              </w:rPr>
              <w:t>Interests</w:t>
            </w:r>
          </w:p>
        </w:tc>
        <w:tc>
          <w:tcPr>
            <w:tcW w:w="116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8"/>
              </w:rPr>
              <w:t>Ownership</w:t>
            </w:r>
          </w:p>
        </w:tc>
        <w:tc>
          <w:tcPr>
            <w:tcW w:w="11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5"/>
              </w:rPr>
              <w:t>Interests</w:t>
            </w:r>
          </w:p>
        </w:tc>
        <w:tc>
          <w:tcPr>
            <w:tcW w:w="116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85"/>
              </w:rPr>
              <w:t>Ownership</w:t>
            </w:r>
          </w:p>
        </w:tc>
        <w:tc>
          <w:tcPr>
            <w:tcW w:w="10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0"/>
        </w:trPr>
        <w:tc>
          <w:tcPr>
            <w:tcW w:w="1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2013</w:t>
            </w:r>
          </w:p>
        </w:tc>
        <w:tc>
          <w:tcPr>
            <w:tcW w:w="46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vMerge w:val="continue"/>
            <w:shd w:val="clear" w:color="auto" w:fill="CCEEFF"/>
          </w:tcPr>
          <w:p>
            <w:pPr>
              <w:spacing w:after="0"/>
              <w:rPr>
                <w:sz w:val="17"/>
                <w:szCs w:val="17"/>
                <w:color w:val="auto"/>
              </w:rPr>
            </w:pPr>
          </w:p>
        </w:tc>
        <w:tc>
          <w:tcPr>
            <w:tcW w:w="462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128,216,423</w:t>
            </w:r>
          </w:p>
        </w:tc>
        <w:tc>
          <w:tcPr>
            <w:tcW w:w="38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98.8%</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1,549,667</w:t>
            </w:r>
          </w:p>
        </w:tc>
        <w:tc>
          <w:tcPr>
            <w:tcW w:w="38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1.2%</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129,766,090</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2014</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129,056,081</w:t>
            </w:r>
          </w:p>
        </w:tc>
        <w:tc>
          <w:tcPr>
            <w:tcW w:w="38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99.5%</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710,009</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129,766,090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three month periods ended March 31, 2014 and 2013 did not materially impact Lazard Ltd’s stockholders’ equity.</w:t>
      </w:r>
    </w:p>
    <w:p>
      <w:pPr>
        <w:spacing w:after="0" w:line="132"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periods ended March 31, 2014 and 2013 and noncontrolling interests as of March 31, 2014 and December 31, 2013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center"/>
              <w:ind w:right="123"/>
              <w:spacing w:after="0"/>
              <w:rPr>
                <w:sz w:val="20"/>
                <w:szCs w:val="20"/>
                <w:color w:val="auto"/>
              </w:rPr>
            </w:pPr>
            <w:r>
              <w:rPr>
                <w:rFonts w:ascii="Arial" w:cs="Arial" w:eastAsia="Arial" w:hAnsi="Arial"/>
                <w:sz w:val="14"/>
                <w:szCs w:val="14"/>
                <w:b w:val="1"/>
                <w:bCs w:val="1"/>
                <w:color w:val="auto"/>
                <w:w w:val="87"/>
              </w:rPr>
              <w:t>Net Income</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Attributable to Noncontrolling</w:t>
            </w: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23"/>
              <w:spacing w:after="0"/>
              <w:rPr>
                <w:sz w:val="20"/>
                <w:szCs w:val="20"/>
                <w:color w:val="auto"/>
              </w:rPr>
            </w:pPr>
            <w:r>
              <w:rPr>
                <w:rFonts w:ascii="Arial" w:cs="Arial" w:eastAsia="Arial" w:hAnsi="Arial"/>
                <w:sz w:val="14"/>
                <w:szCs w:val="14"/>
                <w:b w:val="1"/>
                <w:bCs w:val="1"/>
                <w:color w:val="auto"/>
                <w:w w:val="85"/>
              </w:rPr>
              <w:t>Interests</w:t>
            </w:r>
          </w:p>
        </w:tc>
        <w:tc>
          <w:tcPr>
            <w:tcW w:w="5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3"/>
          </w:tcPr>
          <w:p>
            <w:pPr>
              <w:jc w:val="center"/>
              <w:ind w:left="321"/>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23"/>
              <w:spacing w:after="0"/>
              <w:rPr>
                <w:sz w:val="20"/>
                <w:szCs w:val="20"/>
                <w:color w:val="auto"/>
              </w:rPr>
            </w:pPr>
            <w:r>
              <w:rPr>
                <w:rFonts w:ascii="Arial" w:cs="Arial" w:eastAsia="Arial" w:hAnsi="Arial"/>
                <w:sz w:val="14"/>
                <w:szCs w:val="14"/>
                <w:b w:val="1"/>
                <w:bCs w:val="1"/>
                <w:color w:val="auto"/>
                <w:w w:val="89"/>
              </w:rPr>
              <w:t>March 31,</w:t>
            </w:r>
          </w:p>
        </w:tc>
        <w:tc>
          <w:tcPr>
            <w:tcW w:w="5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CCEEFF"/>
            </w:tcBorders>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9"/>
              </w:rPr>
              <w:t>2013</w:t>
            </w:r>
          </w:p>
        </w:tc>
        <w:tc>
          <w:tcPr>
            <w:tcW w:w="4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50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LAZ-MD Holdings</w:t>
            </w:r>
          </w:p>
        </w:tc>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467</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00" w:type="dxa"/>
            <w:vAlign w:val="bottom"/>
            <w:vMerge w:val="continue"/>
          </w:tcPr>
          <w:p>
            <w:pPr>
              <w:spacing w:after="0"/>
              <w:rPr>
                <w:sz w:val="19"/>
                <w:szCs w:val="19"/>
                <w:color w:val="auto"/>
              </w:rPr>
            </w:pPr>
          </w:p>
        </w:tc>
        <w:tc>
          <w:tcPr>
            <w:tcW w:w="5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4,587</w:t>
            </w:r>
          </w:p>
        </w:tc>
        <w:tc>
          <w:tcPr>
            <w:tcW w:w="11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060" w:type="dxa"/>
            <w:vAlign w:val="bottom"/>
            <w:vMerge w:val="restart"/>
          </w:tcPr>
          <w:p>
            <w:pPr>
              <w:jc w:val="right"/>
              <w:ind w:right="2672"/>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6"/>
              </w:rPr>
              <w:t>Noncontrolling Interests As Of</w:t>
            </w:r>
          </w:p>
        </w:tc>
        <w:tc>
          <w:tcPr>
            <w:tcW w:w="0" w:type="dxa"/>
            <w:vAlign w:val="bottom"/>
          </w:tcPr>
          <w:p>
            <w:pPr>
              <w:spacing w:after="0"/>
              <w:rPr>
                <w:sz w:val="1"/>
                <w:szCs w:val="1"/>
                <w:color w:val="auto"/>
              </w:rPr>
            </w:pPr>
          </w:p>
        </w:tc>
      </w:tr>
      <w:tr>
        <w:trPr>
          <w:trHeight w:val="129"/>
        </w:trPr>
        <w:tc>
          <w:tcPr>
            <w:tcW w:w="8600" w:type="dxa"/>
            <w:vAlign w:val="bottom"/>
          </w:tcPr>
          <w:p>
            <w:pPr>
              <w:spacing w:after="0"/>
              <w:rPr>
                <w:sz w:val="11"/>
                <w:szCs w:val="11"/>
                <w:color w:val="auto"/>
              </w:rPr>
            </w:pPr>
          </w:p>
        </w:tc>
        <w:tc>
          <w:tcPr>
            <w:tcW w:w="68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w w:val="95"/>
              </w:rPr>
              <w:t>March 31,</w:t>
            </w:r>
          </w:p>
        </w:tc>
        <w:tc>
          <w:tcPr>
            <w:tcW w:w="8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31,</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66,849</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LAZ-MD Holdings</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2,168</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69,797</w:t>
            </w:r>
          </w:p>
        </w:tc>
        <w:tc>
          <w:tcPr>
            <w:tcW w:w="20" w:type="dxa"/>
            <w:vAlign w:val="bottom"/>
          </w:tcPr>
          <w:p>
            <w:pPr>
              <w:spacing w:after="0"/>
              <w:rPr>
                <w:sz w:val="19"/>
                <w:szCs w:val="19"/>
                <w:color w:val="auto"/>
              </w:rPr>
            </w:pPr>
          </w:p>
        </w:tc>
        <w:tc>
          <w:tcPr>
            <w:tcW w:w="10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69,789</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Dividend Declared, April 2014</w:t>
      </w:r>
      <w:r>
        <w:rPr>
          <w:rFonts w:ascii="Arial" w:cs="Arial" w:eastAsia="Arial" w:hAnsi="Arial"/>
          <w:sz w:val="18"/>
          <w:szCs w:val="18"/>
          <w:color w:val="auto"/>
        </w:rPr>
        <w:t>—On April 30, 2014, Lazard Ltd announced a quarterly dividend of $0.30 per share on its Class A common stock, payable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May 23, 2014, to stockholders of record on May 12, 2014.</w:t>
      </w:r>
    </w:p>
    <w:p>
      <w:pPr>
        <w:spacing w:after="0" w:line="25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periods ended March 31, 2014 and 2013,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units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periods ended March 31, 2014 and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4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RSUs (a)</w:t>
            </w:r>
          </w:p>
        </w:tc>
        <w:tc>
          <w:tcPr>
            <w:tcW w:w="51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52,285</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1,798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Restricted Stock (b)</w:t>
            </w:r>
          </w:p>
        </w:tc>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6,612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80" w:type="dxa"/>
            <w:vAlign w:val="bottom"/>
            <w:vMerge w:val="continue"/>
          </w:tcPr>
          <w:p>
            <w:pPr>
              <w:spacing w:after="0"/>
              <w:rPr>
                <w:sz w:val="19"/>
                <w:szCs w:val="19"/>
                <w:color w:val="auto"/>
              </w:rPr>
            </w:pPr>
          </w:p>
        </w:tc>
        <w:tc>
          <w:tcPr>
            <w:tcW w:w="49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60,797</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900" w:type="dxa"/>
            <w:vAlign w:val="bottom"/>
            <w:vMerge w:val="restart"/>
          </w:tcPr>
          <w:p>
            <w:pPr>
              <w:jc w:val="right"/>
              <w:ind w:right="2892"/>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right="6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during the three month period ended March 31, 2013, charges relating to the cost saving initiatives of $4,455 (see Note 14 of Notes to Condensed Consolidated Financial Statements).</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during the three month period ended March 31, 2013, charges relating to the cost saving initiatives of $233.</w:t>
      </w:r>
    </w:p>
    <w:p>
      <w:pPr>
        <w:spacing w:after="0" w:line="165"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1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For purposes of calculating diluted net income per share, RSU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three month period ended March 31, 2014, issuances of RSUs pertaining to such dividend participation rights and respective charges to “retained earnings”, net of estimated forfeitures, (with corresponding credits to “additional paid-in-capital”),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3"/>
              </w:rPr>
              <w:t>Three Months Ended</w:t>
            </w:r>
          </w:p>
        </w:tc>
      </w:tr>
      <w:tr>
        <w:trPr>
          <w:trHeight w:val="161"/>
        </w:trPr>
        <w:tc>
          <w:tcPr>
            <w:tcW w:w="70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2014</w:t>
            </w:r>
          </w:p>
        </w:tc>
      </w:tr>
      <w:tr>
        <w:trPr>
          <w:trHeight w:val="210"/>
        </w:trPr>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RSUs issued</w:t>
            </w:r>
          </w:p>
        </w:tc>
        <w:tc>
          <w:tcPr>
            <w:tcW w:w="3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3180" w:type="dxa"/>
            <w:vAlign w:val="bottom"/>
            <w:gridSpan w:val="2"/>
          </w:tcPr>
          <w:p>
            <w:pPr>
              <w:ind w:left="306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5,013</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Non-executive members of the Board of Directors (“Non-Executive Directors”) receive approximately 55% of their annual compensation for service on the Board of Directors and its committees in the form of DSUs. No such DSUs were granted in connection with annual compensation during the three month periods ended March 31, 2014 and 2013. Their remaining compensation is payable in cash, which they may elect to receive in the form of additional DSUs under the Directors’ Fee Deferral Unit Plan described below. DSUs are convertible into shares of Class A common stock at the time of cessation of service to the Board and, for purposes of calculating diluted net income per share, are included in the diluted weighted average shares of Class A common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outstanding using the “treasury stock” method. DSUs include a cash dividend participation right equivalent to any ordinary quarterly dividends paid on Class A common stock, and resulted in nominal cash payments for the three month period ended March 31, 2014.</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three month periods ended March 31, 2014 and 2013, 2,310 and 1,886 DSUs, respectively, had been granted pursuant to such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2014 and 2013:</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w w:val="9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Average</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620" w:type="dxa"/>
            <w:vAlign w:val="bottom"/>
          </w:tcPr>
          <w:p>
            <w:pPr>
              <w:spacing w:after="0"/>
              <w:rPr>
                <w:sz w:val="12"/>
                <w:szCs w:val="12"/>
                <w:color w:val="auto"/>
              </w:rPr>
            </w:pPr>
          </w:p>
        </w:tc>
        <w:tc>
          <w:tcPr>
            <w:tcW w:w="1160" w:type="dxa"/>
            <w:vAlign w:val="bottom"/>
            <w:gridSpan w:val="4"/>
          </w:tcPr>
          <w:p>
            <w:pPr>
              <w:jc w:val="center"/>
              <w:ind w:left="198"/>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Fair Value</w:t>
            </w:r>
          </w:p>
        </w:tc>
        <w:tc>
          <w:tcPr>
            <w:tcW w:w="620" w:type="dxa"/>
            <w:vAlign w:val="bottom"/>
          </w:tcPr>
          <w:p>
            <w:pPr>
              <w:jc w:val="right"/>
              <w:ind w:right="74"/>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16,630,009</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251,434</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115,297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3,492,223</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43.00</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(6,317,612)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38.04</w:t>
            </w: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13,783,319</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40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253,744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00" w:type="dxa"/>
            <w:vAlign w:val="bottom"/>
            <w:shd w:val="clear" w:color="auto" w:fill="CCEEFF"/>
          </w:tcPr>
          <w:p>
            <w:pPr>
              <w:spacing w:after="0"/>
              <w:rPr>
                <w:sz w:val="18"/>
                <w:szCs w:val="18"/>
                <w:color w:val="auto"/>
              </w:rPr>
            </w:pPr>
          </w:p>
        </w:tc>
      </w:tr>
      <w:tr>
        <w:trPr>
          <w:trHeight w:val="20"/>
        </w:trPr>
        <w:tc>
          <w:tcPr>
            <w:tcW w:w="618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6180" w:type="dxa"/>
            <w:vAlign w:val="bottom"/>
            <w:gridSpan w:val="2"/>
          </w:tcPr>
          <w:p>
            <w:pPr>
              <w:spacing w:after="0"/>
              <w:rPr>
                <w:sz w:val="20"/>
                <w:szCs w:val="20"/>
                <w:color w:val="auto"/>
              </w:rPr>
            </w:pPr>
            <w:r>
              <w:rPr>
                <w:rFonts w:ascii="Arial" w:cs="Arial" w:eastAsia="Arial" w:hAnsi="Arial"/>
                <w:sz w:val="18"/>
                <w:szCs w:val="18"/>
                <w:color w:val="auto"/>
              </w:rPr>
              <w:t>Balance, January 1, 2013</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21,481,131</w:t>
            </w:r>
          </w:p>
        </w:tc>
        <w:tc>
          <w:tcPr>
            <w:tcW w:w="3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33.92</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204,496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4,297,664</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(45,907)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36.12</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(8,268,744)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Balance, March 31, 2013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17,464,144</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34.26</w:t>
            </w:r>
          </w:p>
        </w:tc>
        <w:tc>
          <w:tcPr>
            <w:tcW w:w="4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206,382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31.52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RSUs that vested during the three month periods ended March 31, 2014 and 2013, the Company satisfied its minimum statutory tax withholding requirements in lieu of issuing 1,843,389 and 3,231,285 shares of Class A common stock in the respective three month periods. Accordingly, 4,474,223 and 5,037,459 shares of Class A common stock held by the Company were delivered during the three month periods ended March 31, 2014 and 2013, respectively.</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During the fourth quarter of 2012, 958,213 RSUs were modified through forward purchase agreements into liability awards. Such liability awards were settled on March 1, 2013 for $28,612. During the three month period ended March 31, 2013, compensation expense of $1,690 was recorded for such liability awards.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March 31, 2014, unrecognized RSU compensation expense, adjusted for estimated forfeitures, was approximately $267,421, with such expense expected to be recognized over a weighted average period of approximately 1.6 years subsequent to March 31, 2014.</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 month periods ended March 31, 2014 and 2013:</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575,054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449,344</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(205,075)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Balance, March 31, 2014</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819,323</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1,972,609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388,763</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(1,715,275)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642,828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three month periods ended March 31, 2014 and 2013, the Company satisfied its minimum statutory tax withholding requirements in lieu of delivering 29,999 and 12,308 shares of Class A common stock during the respective three month periods. Accordingly, 175,076 and 1,702,967 shares of Class A common stock held by the Company were delivered during the three month periods ended March 31, 2014 and 2013, respectively.</w:t>
      </w:r>
    </w:p>
    <w:p>
      <w:pPr>
        <w:spacing w:after="0" w:line="143"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restricted stock awards include a cash dividend participation right equivalent to any ordinary quarterly dividends paid on Class A common stock during the period, which will vest concurrently with the underlying restricted stock award. At March 31, 2014, unrecognized restricted stock expense was approximately $20,657, with such expense to be recognized over a weighted average period of approximately 1.9 years subsequent to March 31, 2014.</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can range from zero to two times the target number (or, for PRSUs granted in 2013, three times the target number in the event of a substantial increase in fiscal year 2014 revenue (adjusted for certain items)). The PRSUs granted in 2014 will vest on a single date three years following the date of the grant and the PRSUs granted in 2013 will vest 33% in March 2015 and 67% in March 2016, in each case provided the applicable service and performance conditions are satisfied. In addition, the performance metrics applicable to each PRSU</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relating to PRSUs during the three month periods ended March 31, 2014 and 2013 at the target level:</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PRSUs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360,783</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808,911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Balance, January 1, 2013</w:t>
            </w: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9"/>
        </w:trPr>
        <w:tc>
          <w:tcPr>
            <w:tcW w:w="7620" w:type="dxa"/>
            <w:vAlign w:val="bottom"/>
            <w:vMerge w:val="continue"/>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Balance, March 31, 2013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March 31, 2014, the total estimated unrecognized compensation expense was approximately $33,673, and the Company expects to amortize such expense over a weighted-average period of approximately 2.0 years subsequent to March 31, 2014.</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 and Other Similar Deferred Compensation Arrangements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Commencing in February 2011, the Company granted Lazard Fund Interests to eligible employees.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is a summary of activity relating to Lazard Fund Interests and other similar deferred compensation arrangements during the three month periods ended March 31, 2014 and 2013:</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60,433</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92,711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92,711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(45,450)</w:t>
            </w: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(19,407)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16"/>
        </w:trPr>
        <w:tc>
          <w:tcPr>
            <w:tcW w:w="798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Balance, March 31, 2014</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133,844</w:t>
            </w:r>
          </w:p>
        </w:tc>
        <w:tc>
          <w:tcPr>
            <w:tcW w:w="58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213,438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47,445</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72,182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72,182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(14,832)</w:t>
            </w:r>
          </w:p>
        </w:tc>
        <w:tc>
          <w:tcPr>
            <w:tcW w:w="0" w:type="dxa"/>
            <w:vAlign w:val="bottom"/>
          </w:tcPr>
          <w:p>
            <w:pPr>
              <w:spacing w:after="0"/>
              <w:rPr>
                <w:sz w:val="1"/>
                <w:szCs w:val="1"/>
                <w:color w:val="auto"/>
              </w:rPr>
            </w:pPr>
          </w:p>
        </w:tc>
      </w:tr>
      <w:tr>
        <w:trPr>
          <w:trHeight w:val="229"/>
        </w:trPr>
        <w:tc>
          <w:tcPr>
            <w:tcW w:w="798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(12,488)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16"/>
        </w:trPr>
        <w:tc>
          <w:tcPr>
            <w:tcW w:w="798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color w:val="auto"/>
              </w:rPr>
              <w:t>Balance, March 31, 2013</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106,724</w:t>
            </w:r>
          </w:p>
        </w:tc>
        <w:tc>
          <w:tcPr>
            <w:tcW w:w="58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158,809</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2.2 years subsequent to March 31, 2014.</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is a summary of the impact of Lazard Fund Interests and other similar deferred compensation arrangements on “compensation and benefits” expense within the accompanying condensed consolidated statements of operations for the three month periods ended March 31, 2014 and 2013:</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2014</w:t>
            </w:r>
          </w:p>
        </w:tc>
        <w:tc>
          <w:tcPr>
            <w:tcW w:w="11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 (a)</w:t>
            </w:r>
          </w:p>
        </w:tc>
        <w:tc>
          <w:tcPr>
            <w:tcW w:w="1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$20,313</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6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22,939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16,774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620" w:right="2640" w:hanging="5612"/>
        <w:spacing w:after="0" w:line="440" w:lineRule="auto"/>
        <w:tabs>
          <w:tab w:leader="none" w:pos="4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during the three month period ended March 31, 2013, charges relating to the cost saving initiatives of $917. 32</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 The Company did not make a contribution to the U.S. pension plans during the three month period ended March 31, 2014.</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(which superseded the terms of an agreement reached in June 2009 with respect to the previous triennial valuation as of December 31, 2007) whereby the Company: (i) made a contribution in December 2011 to the plans of 2.3 million British pounds ($3,687 at December 31, 2011 exchange rates) from a previously established escrow account, (ii) agreed to make contributions of 1 million British pounds during each year from 2012 through 2020 inclusive and (iii) amended the previous escrow arrangement into an account security arrangement covering 10.2 million British pounds, committing to make annual contributions of 1 million British pounds into such account security arrangement during each year from 2014 through 2020 inclusive.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aggregate amount in the account security arrangement was approximately $17,000 and $16,900 at March 31, 2014 and December 31, 2013, respectively, and has been recorded in “cash deposited with clearing organizations and other segregated cash” on the accompanying condensed consolidated statements of financial condition. Income on the account security arrangement accretes to the Company and is recorded in interest income.</w:t>
      </w:r>
    </w:p>
    <w:p>
      <w:pPr>
        <w:spacing w:after="0" w:line="12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the three month period ended March 31, 2014, no contribution to these U.K. pension plans was required to be made. Contributions were made to other non-U.S. pension plans of approximately $4,800.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periods ended March 31, 2014 and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Pension Plans</w:t>
            </w:r>
          </w:p>
        </w:tc>
        <w:tc>
          <w:tcPr>
            <w:tcW w:w="240" w:type="dxa"/>
            <w:vAlign w:val="bottom"/>
          </w:tcPr>
          <w:p>
            <w:pPr>
              <w:spacing w:after="0"/>
              <w:rPr>
                <w:sz w:val="14"/>
                <w:szCs w:val="14"/>
                <w:color w:val="auto"/>
              </w:rPr>
            </w:pPr>
          </w:p>
        </w:tc>
        <w:tc>
          <w:tcPr>
            <w:tcW w:w="11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8"/>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Three Months Ended March 31,</w:t>
            </w:r>
          </w:p>
        </w:tc>
        <w:tc>
          <w:tcPr>
            <w:tcW w:w="1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314</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$ 12</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$ 10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6,753</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w w:val="87"/>
              </w:rPr>
              <w:t>(8,079)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(6,797)</w:t>
            </w:r>
          </w:p>
        </w:tc>
        <w:tc>
          <w:tcPr>
            <w:tcW w:w="2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Net benefit cost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1,519</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1,890</w:t>
            </w:r>
          </w:p>
        </w:tc>
        <w:tc>
          <w:tcPr>
            <w:tcW w:w="3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$ 42</w:t>
            </w:r>
          </w:p>
        </w:tc>
        <w:tc>
          <w:tcPr>
            <w:tcW w:w="3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Cost Saving Initiatives</w:t>
      </w:r>
      <w:r>
        <w:rPr>
          <w:rFonts w:ascii="Arial" w:cs="Arial" w:eastAsia="Arial" w:hAnsi="Arial"/>
          <w:sz w:val="18"/>
          <w:szCs w:val="18"/>
          <w:color w:val="auto"/>
        </w:rPr>
        <w:t>—In October 2012, the Company announced cost saving initiatives (the “Cost Saving Initiatives”) relating to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These initiatives include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Expenses associated with the implementation of the Cost Saving Initiatives were completed during the second quarter of 2013. The Company incurred these expenses, by segment, as reflected in the tables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Asset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Advisory</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 Period Ended March 31, 2013:</w:t>
            </w:r>
          </w:p>
        </w:tc>
        <w:tc>
          <w:tcPr>
            <w:tcW w:w="17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900" w:type="dxa"/>
            <w:vAlign w:val="bottom"/>
            <w:gridSpan w:val="3"/>
          </w:tcPr>
          <w:p>
            <w:pPr>
              <w:jc w:val="right"/>
              <w:ind w:right="580"/>
              <w:spacing w:after="0"/>
              <w:rPr>
                <w:sz w:val="20"/>
                <w:szCs w:val="20"/>
                <w:color w:val="auto"/>
              </w:rPr>
            </w:pPr>
            <w:r>
              <w:rPr>
                <w:rFonts w:ascii="Arial" w:cs="Arial" w:eastAsia="Arial" w:hAnsi="Arial"/>
                <w:sz w:val="18"/>
                <w:szCs w:val="18"/>
                <w:color w:val="auto"/>
              </w:rPr>
              <w:t>$20,394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236</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4,041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vMerge w:val="continue"/>
          </w:tcPr>
          <w:p>
            <w:pPr>
              <w:spacing w:after="0"/>
              <w:rPr>
                <w:sz w:val="19"/>
                <w:szCs w:val="19"/>
                <w:color w:val="auto"/>
              </w:rPr>
            </w:pPr>
          </w:p>
        </w:tc>
        <w:tc>
          <w:tcPr>
            <w:tcW w:w="290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235</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4,072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24"/>
                <w:szCs w:val="2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Asset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Advisory</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Cumulative October 2012 Through</w:t>
            </w:r>
          </w:p>
        </w:tc>
        <w:tc>
          <w:tcPr>
            <w:tcW w:w="17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March 31, 2013:</w:t>
            </w:r>
          </w:p>
        </w:tc>
        <w:tc>
          <w:tcPr>
            <w:tcW w:w="17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900" w:type="dxa"/>
            <w:vAlign w:val="bottom"/>
            <w:gridSpan w:val="3"/>
          </w:tcPr>
          <w:p>
            <w:pPr>
              <w:jc w:val="right"/>
              <w:ind w:right="580"/>
              <w:spacing w:after="0"/>
              <w:rPr>
                <w:sz w:val="20"/>
                <w:szCs w:val="20"/>
                <w:color w:val="auto"/>
              </w:rPr>
            </w:pPr>
            <w:r>
              <w:rPr>
                <w:rFonts w:ascii="Arial" w:cs="Arial" w:eastAsia="Arial" w:hAnsi="Arial"/>
                <w:sz w:val="18"/>
                <w:szCs w:val="18"/>
                <w:color w:val="auto"/>
              </w:rPr>
              <w:t>$96,527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12,292</w:t>
            </w:r>
          </w:p>
        </w:tc>
        <w:tc>
          <w:tcPr>
            <w:tcW w:w="1480" w:type="dxa"/>
            <w:vAlign w:val="bottom"/>
            <w:gridSpan w:val="4"/>
          </w:tcPr>
          <w:p>
            <w:pPr>
              <w:jc w:val="right"/>
              <w:ind w:right="600"/>
              <w:spacing w:after="0"/>
              <w:rPr>
                <w:sz w:val="20"/>
                <w:szCs w:val="20"/>
                <w:color w:val="auto"/>
              </w:rPr>
            </w:pPr>
            <w:r>
              <w:rPr>
                <w:rFonts w:ascii="Arial" w:cs="Arial" w:eastAsia="Arial" w:hAnsi="Arial"/>
                <w:sz w:val="18"/>
                <w:szCs w:val="18"/>
                <w:color w:val="auto"/>
              </w:rPr>
              <w:t>$ 15,839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290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99,547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13,024</w:t>
            </w:r>
          </w:p>
        </w:tc>
        <w:tc>
          <w:tcPr>
            <w:tcW w:w="1480" w:type="dxa"/>
            <w:vAlign w:val="bottom"/>
            <w:gridSpan w:val="4"/>
          </w:tcPr>
          <w:p>
            <w:pPr>
              <w:jc w:val="right"/>
              <w:ind w:right="600"/>
              <w:spacing w:after="0"/>
              <w:rPr>
                <w:sz w:val="20"/>
                <w:szCs w:val="20"/>
                <w:color w:val="auto"/>
              </w:rPr>
            </w:pPr>
            <w:r>
              <w:rPr>
                <w:rFonts w:ascii="Arial" w:cs="Arial" w:eastAsia="Arial" w:hAnsi="Arial"/>
                <w:sz w:val="18"/>
                <w:szCs w:val="18"/>
                <w:color w:val="auto"/>
              </w:rPr>
              <w:t>$ 16,327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40" w:type="dxa"/>
            <w:vAlign w:val="bottom"/>
            <w:vMerge w:val="restart"/>
          </w:tcPr>
          <w:p>
            <w:pPr>
              <w:jc w:val="right"/>
              <w:ind w:right="572"/>
              <w:spacing w:after="0"/>
              <w:rPr>
                <w:sz w:val="20"/>
                <w:szCs w:val="20"/>
                <w:color w:val="auto"/>
              </w:rPr>
            </w:pPr>
            <w:r>
              <w:rPr>
                <w:rFonts w:ascii="Arial" w:cs="Arial" w:eastAsia="Arial" w:hAnsi="Arial"/>
                <w:sz w:val="18"/>
                <w:szCs w:val="18"/>
                <w:color w:val="auto"/>
              </w:rPr>
              <w:t>34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Activity related to the obligations pursuant to the Cost Saving Initiatives during the three month period ended March 31, 2014 was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2"/>
              </w:rPr>
              <w:t>Accrued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Other</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8"/>
              </w:rPr>
              <w:t>and Benefits</w:t>
            </w:r>
          </w:p>
        </w:tc>
        <w:tc>
          <w:tcPr>
            <w:tcW w:w="3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Liabilities</w:t>
            </w:r>
          </w:p>
        </w:tc>
        <w:tc>
          <w:tcPr>
            <w:tcW w:w="4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5,356</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(2,390)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Balance, March 31, 2014</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9,470</w:t>
            </w:r>
          </w:p>
        </w:tc>
        <w:tc>
          <w:tcPr>
            <w:tcW w:w="36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5,356</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14,826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20" w:lineRule="exact"/>
        <w:rPr>
          <w:sz w:val="20"/>
          <w:szCs w:val="20"/>
          <w:color w:val="auto"/>
        </w:rPr>
      </w:pPr>
    </w:p>
    <w:p>
      <w:pPr>
        <w:ind w:right="400" w:firstLine="456"/>
        <w:spacing w:after="0" w:line="284" w:lineRule="auto"/>
        <w:rPr>
          <w:sz w:val="20"/>
          <w:szCs w:val="20"/>
          <w:color w:val="auto"/>
        </w:rPr>
      </w:pPr>
      <w:r>
        <w:rPr>
          <w:rFonts w:ascii="Arial" w:cs="Arial" w:eastAsia="Arial" w:hAnsi="Arial"/>
          <w:sz w:val="16"/>
          <w:szCs w:val="16"/>
          <w:color w:val="auto"/>
        </w:rPr>
        <w:t>The Company recorded income tax provisions of $21,751 and $3,948 for the three month periods ended March 31, 2014 and 2013, respectively, representing effective tax rates of 20.3% and 18.3%, respectively. The difference between the U.S. federal statutory rate of 35.0% and the effective tax rates reflected above principally relates to (i) Lazard Group primarily operating as a limited liability company in the U.S., (ii) taxes payable to</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foreign jurisdictions that are not offset against U.S. income taxes, (iii) foreign source income (loss) not subject to U.S. income taxes (including interest on intercompany financings), (iv) change in the U.S. federal valuation allowance affecting the provision for income taxes, (v) Lazard Group’s income from U.S. operations attributable to noncontrolling interests, and (vi) U.S. state and local taxes (primarily UBT), which are incremental to the U.S. federal statutory tax rate.</w:t>
      </w:r>
    </w:p>
    <w:p>
      <w:pPr>
        <w:spacing w:after="0" w:line="10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redemption of historical partner interests in connection with the Company’s separation and recapitalization that occurred in May 2005 and the subsequent exchanges of LAZ-MD Holdings exchangeable interests for shares of Class A common stock have resulted, and future exchanges of LAZ-MD Holdings exchangeable interests for shares of Class A common stock may result, in increases in the tax basis of the tangible and/or intangible assets of Lazard Group. The tax receivable agreement dated as of May 10, 2005 with LFCM Holdings LLC (“LFCM Holdings”, see Note 17 below) requires the Company to pay LFCM Holdings 85% of the cash savings, if any, in U.S. federal, state and local income tax or franchise tax that the Company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actually realizes as a result of these increases in tax basis. The Company calculates this provision annually and includes such amounts in operating expenses on its consolidated statements of operations once the results of operations for the full year are known. If any provision is required pursuant to the tax receivable agreement, such amount would be fully offset by a reduction in the Company’s income tax expense.</w:t>
      </w:r>
    </w:p>
    <w:p>
      <w:pPr>
        <w:spacing w:after="0" w:line="26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Company’s basic and diluted net income per share calculations for the three month periods ended March 31, 2014 and 2013 are computed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years, plus applicable adjustments to such net income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shares of Class A common stock issuable on a non-contingent basis.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years, plus applicable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such shares associated with shares of Class A common stock issuable on a non-contingent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attributable to Lazard Ltd for the respective years as in the basic net income per share calculation described above, plus,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extent applicable and dilutive, (i) interest expense on convertible debt, (ii) changes in net income attributable to noncontrolling interests resulting from assumed Class A common stock issuances in connection with share-based incentive compensation, convertible debt and convertible preferred stock and, on an “as-if-exchanged” basis, amounts applicable to LAZ-MD Holdings exchangeable interests and (iii) income tax related to (i) and (ii) above.</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years as in the basic net income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calculation described above, plus, to the extent dilutive, the incremental number of shares of Class A common stock to settle share-based incentive compensation, convertible debt, convertible preferred stock and LAZ-MD Holdings exchangeable interests, using the “treasury stock” method, the “if converted” method or the “as-if-exchanged” basis, as applicable.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calculations of the Company’s basic and diluted net income per share and weighted average shares outstanding for the three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2014 and 2013 are presented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Lazard Ltd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w w:val="99"/>
              </w:rPr>
              <w:t>Add (deduct) - adjustment associated with Class A common stock issuable on a non-contingent basis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 basic</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80,842</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income relating to interest expense and changes in net income attributable to</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noncontrolling interests resulting from assumed Class A common stock issuances in connection</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with share-based incentive compensation and exchangeable interests, net of tax</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20" w:type="dxa"/>
            <w:vAlign w:val="bottom"/>
            <w:gridSpan w:val="2"/>
            <w:vMerge w:val="continue"/>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81,275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8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121,361,210</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116,921,983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Add - adjustment for shares of Class A common stock issuable on a non-contingent basis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414,997</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786,221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 - basic</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121,776,207</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117,708,204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Weighted average number of incremental shares of Class A common stock issuable from share-based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incentive compensation and exchangeable interests</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12,249,784</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15,107,356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of Class A common stock outstanding - diluted</w:t>
            </w: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2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134,025,991</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132,815,560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per share of Class A common stock:</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$0.66</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$0.61</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jc w:val="right"/>
              <w:ind w:right="2132"/>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02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5"/>
              </w:rPr>
              <w:t>March 31,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8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LFCM Holdings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4,067</w:t>
            </w:r>
          </w:p>
        </w:tc>
        <w:tc>
          <w:tcPr>
            <w:tcW w:w="4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8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4,185</w:t>
            </w:r>
          </w:p>
        </w:tc>
        <w:tc>
          <w:tcPr>
            <w:tcW w:w="4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LFCM Holdings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1,663</w:t>
            </w:r>
          </w:p>
        </w:tc>
        <w:tc>
          <w:tcPr>
            <w:tcW w:w="4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8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2,582</w:t>
            </w:r>
          </w:p>
        </w:tc>
        <w:tc>
          <w:tcPr>
            <w:tcW w:w="4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former and current managing directors (which also include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described in more detail in the Company’s Form 10-K.</w:t>
      </w:r>
    </w:p>
    <w:p>
      <w:pPr>
        <w:spacing w:after="0" w:line="11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For the three month periods ended March 31, 2014 and 2013, amounts recorded by Lazard Group relating to the administrative services agreement amounted to $369 and $632, respectively, and net referral fees for underwriting, private placement, M&amp;A and restructuring transactions under the business alliance agreement amounted to $543 and $500,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Receivables from LFCM Holdings and its subsidiaries as of March 31, 2014 and December 31, 2013 include $2,967 and $3,112, respectively, related to administrative and support services and other receivables which include sublease income and reimbursement of expenses incurred on behalf of LFCM Holdings, and $1,100 and $4,682, respectively, related to referral fees for underwriting and private placement transactions. Payables to LFCM Holdings and its subsidiaries at March 31, 2014 and December 31, 2013 include $414 and $3,051, respectively, primarily relating to referral fees for Financial Advisory transactions, and, at March 31, 2014 and December 31, 2013, $1,249 related to obligations pursuant to the tax receivable agreement (see Note 15 of Notes to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Other payables at March 31, 2014 and December 31, 2013 primarily relate to referral fees for M&amp;A and restructuring transactions with MBA Lazard Holdings S.A. and its affiliates, an Argentina-based group in which the Company has a 50% ownership interest.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Lazard Group provides certain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periods ended March 31, 2014 and 2013, such charges amounted to $250 for each period.</w:t>
      </w:r>
    </w:p>
    <w:p>
      <w:pPr>
        <w:spacing w:after="0" w:line="26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total aggregate indebtedness recorded in LFNY’s Financial and Operational Combined Uniform Single (“FOCUS”) report filed with the Financial Industry Regulatory Authority (“FINRA”), or $100, whichever is greater. At March 31, 2014, LFNY’s regulatory net capital was $100,252, which exceeded the minimum requirement by $97,110.</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Conduct Authority. At March 31, 2014, the aggregate regulatory net capital of the U.K. Subsidiaries was $92,574, which exceeded the minimum requirement by $75,634.</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March 31, 2014, the consolidated regulatory net capital of CFLF was $140,872, which exceeded the minimum requirement set for regulatory capital levels by $105,079.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periodic financial, regulatory net capital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2014, for those subsidiaries with regulatory capital requirements, their aggregate net capital was $105,753, which exceeded the minimum required capital by $77,600.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2014, each of these subsidiaries individually was in compliance with its regulatory capital requirements.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5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for the three months ended March 31, 2014 and 2013 is prepared using the following methodology:</w:t>
      </w:r>
    </w:p>
    <w:p>
      <w:pPr>
        <w:spacing w:after="0" w:line="9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6"/>
              </w:rPr>
              <w:t>2013(a)</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275,496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245,415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216,908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(48,446)</w:t>
            </w: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180" w:type="dxa"/>
            <w:vAlign w:val="bottom"/>
            <w:gridSpan w:val="3"/>
            <w:vMerge w:val="continue"/>
          </w:tcPr>
          <w:p>
            <w:pPr>
              <w:spacing w:after="0"/>
              <w:rPr>
                <w:sz w:val="24"/>
                <w:szCs w:val="24"/>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268,564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244,025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175,761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155,077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92,803</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88,948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(10,660)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(15,704)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(18,905)</w:t>
            </w:r>
          </w:p>
        </w:tc>
        <w:tc>
          <w:tcPr>
            <w:tcW w:w="0" w:type="dxa"/>
            <w:vAlign w:val="bottom"/>
          </w:tcPr>
          <w:p>
            <w:pPr>
              <w:spacing w:after="0"/>
              <w:rPr>
                <w:sz w:val="1"/>
                <w:szCs w:val="1"/>
                <w:color w:val="auto"/>
              </w:rPr>
            </w:pPr>
          </w:p>
        </w:tc>
      </w:tr>
      <w:tr>
        <w:trPr>
          <w:trHeight w:val="20"/>
        </w:trPr>
        <w:tc>
          <w:tcPr>
            <w:tcW w:w="3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180" w:type="dxa"/>
            <w:vAlign w:val="bottom"/>
            <w:gridSpan w:val="3"/>
            <w:vMerge w:val="continue"/>
          </w:tcPr>
          <w:p>
            <w:pPr>
              <w:spacing w:after="0"/>
              <w:rPr>
                <w:sz w:val="24"/>
                <w:szCs w:val="24"/>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533,400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401,903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34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426,220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380,306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340" w:type="dxa"/>
            <w:vAlign w:val="bottom"/>
          </w:tcPr>
          <w:p>
            <w:pPr>
              <w:ind w:left="1740"/>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107,180</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14 of Notes to Condensed Consolidated Financial Statements for information regarding the Cost Saving Initiatives, and the impact on each of the Company’s business segments during the three month period ended March 31, 2013.</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89"/>
              </w:rPr>
              <w:t>March 31,</w:t>
            </w:r>
          </w:p>
        </w:tc>
        <w:tc>
          <w:tcPr>
            <w:tcW w:w="1180" w:type="dxa"/>
            <w:vAlign w:val="bottom"/>
            <w:gridSpan w:val="3"/>
          </w:tcPr>
          <w:p>
            <w:pPr>
              <w:ind w:left="3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Financial Advisory</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702,885</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714,708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536,836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4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1,658,482</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1,684,411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2,898,203</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3,011,137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80" w:type="dxa"/>
            <w:vAlign w:val="bottom"/>
            <w:vMerge w:val="restart"/>
          </w:tcPr>
          <w:p>
            <w:pPr>
              <w:jc w:val="right"/>
              <w:ind w:right="2612"/>
              <w:spacing w:after="0"/>
              <w:rPr>
                <w:sz w:val="20"/>
                <w:szCs w:val="20"/>
                <w:color w:val="auto"/>
              </w:rPr>
            </w:pPr>
            <w:r>
              <w:rPr>
                <w:rFonts w:ascii="Arial" w:cs="Arial" w:eastAsia="Arial" w:hAnsi="Arial"/>
                <w:sz w:val="18"/>
                <w:szCs w:val="18"/>
                <w:color w:val="auto"/>
              </w:rPr>
              <w:t>41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2013 (the “Form 10-K”). All references to “2014”, “2013”, “first quarter”, “three months” or “the period” refer to, as the context requires, the three month periods ended March 31, 2014 and March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“could”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levels of compensation expense and non-compensation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and its subsidiaries (collectively referred to as “LAM”).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xml:space="preserve"> Our websites and the information contained therein or connected thereto shall not be deemed to be incorporated into this Form 10-Q.</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41 cities in key business and financial centers across 26 countries throughout Europe, North America, Asia, Australia, the Middle East and Central and South America.</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operate in cyclical businesses across multiple geographies, industries and asset classes. In recent years, we have expanded our geographic reach, bolstered our industry expertise and continued to build in growth areas.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ind w:left="900" w:right="16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for other clients, investment banking activities, including participation in underwritten offerings of securities in France, and asset-liability management.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1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4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4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52%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Asset Management</w:t>
            </w:r>
          </w:p>
        </w:tc>
        <w:tc>
          <w:tcPr>
            <w:tcW w:w="1420" w:type="dxa"/>
            <w:vAlign w:val="bottom"/>
            <w:gridSpan w:val="2"/>
          </w:tcPr>
          <w:p>
            <w:pPr>
              <w:jc w:val="right"/>
              <w:ind w:right="812"/>
              <w:spacing w:after="0"/>
              <w:rPr>
                <w:sz w:val="20"/>
                <w:szCs w:val="20"/>
                <w:color w:val="auto"/>
              </w:rPr>
            </w:pPr>
            <w:r>
              <w:rPr>
                <w:rFonts w:ascii="Arial" w:cs="Arial" w:eastAsia="Arial" w:hAnsi="Arial"/>
                <w:sz w:val="18"/>
                <w:szCs w:val="18"/>
                <w:color w:val="auto"/>
              </w:rPr>
              <w:t>50</w:t>
            </w: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20" w:type="dxa"/>
            <w:vAlign w:val="bottom"/>
            <w:vMerge w:val="continue"/>
          </w:tcPr>
          <w:p>
            <w:pPr>
              <w:spacing w:after="0"/>
              <w:rPr>
                <w:sz w:val="19"/>
                <w:szCs w:val="19"/>
                <w:color w:val="auto"/>
              </w:rPr>
            </w:pPr>
          </w:p>
        </w:tc>
        <w:tc>
          <w:tcPr>
            <w:tcW w:w="1420" w:type="dxa"/>
            <w:vAlign w:val="bottom"/>
            <w:gridSpan w:val="2"/>
          </w:tcPr>
          <w:p>
            <w:pPr>
              <w:jc w:val="right"/>
              <w:ind w:right="67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60" w:firstLine="8"/>
        <w:spacing w:after="0" w:line="310" w:lineRule="auto"/>
        <w:tabs>
          <w:tab w:leader="none" w:pos="21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Edgewater Funds (“Edgewater”), our Chicago-based private equity firm (see Note 10 of Notes to Condensed Consolidated Financial Statements), (ii) Lazard Australia Corporate Opportunities Fund 2 (“COF2”), a Lazard-managed Australian fund targeting Australasian mid-market investments, (iii) a mezzanine fund, which invests in mezzanine debt of a diversified selection of small-to mid-cap European companies and (iv) a fund targeting significant noncontrolling-stake investments in established private companies. We also make investments to seed our Asset Management strategies.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any obligations to LFCM Holdings LLC (“LFCM Holdings”), we may explore capital markets opportunities.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Equity market indices for developed markets at March 31, 2014 increased as compared to such indices at March 31, 2013, while equity market indices for emerging markets decreased as compared to March 31, 2013. On an industry-wide basis, during the first quarter of 2014, the number of completed and announced M&amp;A transactions decreased as compared to the same period in the prior year, while the value of announced transactions increased as compared to the same period in the prior year. Global restructuring activity, as measured by the number of corporate defaults, was lower in the first quarter of 2014 as compared to the same period in the prior year, and the aggregate value of debt defaults remained low, consistent with the last several years.</w:t>
      </w:r>
    </w:p>
    <w:p>
      <w:pPr>
        <w:spacing w:after="0" w:line="1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early 2014, interest rates remain low and corporate cash balances remain high. Macroeconomic conditions appear to be improving in the developed countries, particularly in North America, CEO and board confidence appears to be returning and, as such, companies based in these regions may be better positioned to make acquisitions for future growth and investors may be increasingly interested in deploying capital for investment purposes. Although market volatility may continue, we believe the long term trends appear positive.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intend to leverage our existing infrastructure to capitalize on any global macroeconomic recovery, any upturn in the M&amp;A cycle, and any momentum in the global equity markets. We expect to generate revenue growth by remaining adequately staffed to capitalize on any macroeconomic recovery and deploying our intellectual capital to generate new revenue streams. The cost saving initiatives that we began in 2012 are effectively complete, and through 2013, more than two-thirds of these savings were realized, with the full impact of all the savings expected to be reflected in our 2014 results. See “Cost Saving Initiatives” below and Note 14 of Notes to Condensed Consolidated Financial Statements.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right="40" w:hanging="345"/>
        <w:spacing w:after="0" w:line="290" w:lineRule="auto"/>
        <w:tabs>
          <w:tab w:leader="none" w:pos="92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near- to mid-term, we expect that the U.S. macroeconomic environment will likely be the strongest of the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economies. Certain legal decisions in the U.S. reinforce the importance of independent advice, and the global scale and breadth of our Financial Advisory business allows us to advise on large, complex cross-border transactions across a variety of industries. We continue to develop our range of advisory capabilities, in particular in Europe, with our Sovereign Advisory, Restructuring and Capital Advisory businesses. In addition, we believe our businesses throughout the emerging markets, Japan and Australia position us for growth in these markets, while enhancing our relationships with, and the services that we can provide to, clients in developed economies. We have also established the Lazard Africa initiative, to leverage our sovereign and corporate expertise in this rapidly growing region, for our clients in both developed and developing countries.</w:t>
      </w:r>
    </w:p>
    <w:p>
      <w:pPr>
        <w:spacing w:after="0" w:line="37" w:lineRule="exact"/>
        <w:rPr>
          <w:rFonts w:ascii="Arial" w:cs="Arial" w:eastAsia="Arial" w:hAnsi="Arial"/>
          <w:sz w:val="16"/>
          <w:szCs w:val="16"/>
          <w:color w:val="auto"/>
        </w:rPr>
      </w:pPr>
    </w:p>
    <w:p>
      <w:pPr>
        <w:ind w:left="920" w:right="20" w:hanging="345"/>
        <w:spacing w:after="0" w:line="291" w:lineRule="auto"/>
        <w:tabs>
          <w:tab w:leader="none" w:pos="92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Generally, we have seen increased investor demand across regions and investment platforms. In the short to intermediate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solutions for a global mix of clients, we believe we are positioned to benefit from growth that may occur in the asset management industry. We recently extended the global footprint of our Asset Management business by opening new offices in Zurich, Singapore and Dubai. We are continually developing and seeding new investment strategies that extend our existing platforms. Recent examples of growth initiatives include the following investment strategies: Emerging Markets Debt, Core Emerging Markets Equity, Emerging Markets Small Cap Equity, Real Estate, Managed Volatility Strategies, Middle East North African Equities and Asian Equities.</w:t>
      </w:r>
    </w:p>
    <w:p>
      <w:pPr>
        <w:spacing w:after="0" w:line="11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and earnings growth and stockholder returns, the prudent management of our costs and expenses, the efficient use of our assets and the return of capital to our stockholders.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As reflected in the following table, which sets forth global M&amp;A industry statistics, the value and number of all completed transactions decreased in the first quarter of 2014 as compared to the first quarter of 2013, however for deals with values greater than $500 million, the value and number increased in the current period as compared to the prior period. With respect to announced M&amp;A transactions, the value of all transactions, including deals with values greater than $500 million, increased substantially in the first quarter of 2014 as compared to the first quarter of 2013.</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4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89"/>
              </w:rPr>
              <w:t>March 31,</w:t>
            </w: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4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94"/>
              <w:spacing w:after="0"/>
              <w:rPr>
                <w:sz w:val="20"/>
                <w:szCs w:val="20"/>
                <w:color w:val="auto"/>
              </w:rPr>
            </w:pPr>
            <w:r>
              <w:rPr>
                <w:rFonts w:ascii="Arial" w:cs="Arial" w:eastAsia="Arial" w:hAnsi="Arial"/>
                <w:sz w:val="14"/>
                <w:szCs w:val="14"/>
                <w:b w:val="1"/>
                <w:bCs w:val="1"/>
                <w:color w:val="auto"/>
                <w:w w:val="89"/>
              </w:rPr>
              <w:t>2014</w:t>
            </w:r>
          </w:p>
        </w:tc>
        <w:tc>
          <w:tcPr>
            <w:tcW w:w="600" w:type="dxa"/>
            <w:vAlign w:val="bottom"/>
          </w:tcPr>
          <w:p>
            <w:pPr>
              <w:spacing w:after="0"/>
              <w:rPr>
                <w:sz w:val="14"/>
                <w:szCs w:val="14"/>
                <w:color w:val="auto"/>
              </w:rPr>
            </w:pPr>
          </w:p>
        </w:tc>
        <w:tc>
          <w:tcPr>
            <w:tcW w:w="1060" w:type="dxa"/>
            <w:vAlign w:val="bottom"/>
          </w:tcPr>
          <w:p>
            <w:pPr>
              <w:jc w:val="right"/>
              <w:ind w:right="676"/>
              <w:spacing w:after="0"/>
              <w:rPr>
                <w:sz w:val="20"/>
                <w:szCs w:val="20"/>
                <w:color w:val="auto"/>
              </w:rPr>
            </w:pPr>
            <w:r>
              <w:rPr>
                <w:rFonts w:ascii="Arial" w:cs="Arial" w:eastAsia="Arial" w:hAnsi="Arial"/>
                <w:sz w:val="14"/>
                <w:szCs w:val="14"/>
                <w:b w:val="1"/>
                <w:bCs w:val="1"/>
                <w:color w:val="auto"/>
                <w:w w:val="89"/>
              </w:rPr>
              <w:t>2013</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Incr / (Decr)</w:t>
            </w:r>
          </w:p>
        </w:tc>
      </w:tr>
      <w:tr>
        <w:trPr>
          <w:trHeight w:val="156"/>
        </w:trPr>
        <w:tc>
          <w:tcPr>
            <w:tcW w:w="43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ind w:left="520"/>
              <w:spacing w:after="0" w:line="155" w:lineRule="exact"/>
              <w:rPr>
                <w:sz w:val="20"/>
                <w:szCs w:val="20"/>
                <w:color w:val="auto"/>
              </w:rPr>
            </w:pPr>
            <w:r>
              <w:rPr>
                <w:rFonts w:ascii="Arial" w:cs="Arial" w:eastAsia="Arial" w:hAnsi="Arial"/>
                <w:sz w:val="14"/>
                <w:szCs w:val="14"/>
                <w:b w:val="1"/>
                <w:bCs w:val="1"/>
                <w:color w:val="auto"/>
              </w:rPr>
              <w:t>($ in billions)</w:t>
            </w:r>
          </w:p>
        </w:tc>
        <w:tc>
          <w:tcPr>
            <w:tcW w:w="9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662</w:t>
            </w:r>
          </w:p>
        </w:tc>
        <w:tc>
          <w:tcPr>
            <w:tcW w:w="600" w:type="dxa"/>
            <w:vAlign w:val="bottom"/>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669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360" w:type="dxa"/>
            <w:vAlign w:val="bottom"/>
          </w:tcPr>
          <w:p>
            <w:pPr>
              <w:ind w:left="880"/>
              <w:spacing w:after="0"/>
              <w:rPr>
                <w:sz w:val="20"/>
                <w:szCs w:val="20"/>
                <w:color w:val="auto"/>
              </w:rPr>
            </w:pPr>
            <w:r>
              <w:rPr>
                <w:rFonts w:ascii="Arial" w:cs="Arial" w:eastAsia="Arial" w:hAnsi="Arial"/>
                <w:sz w:val="18"/>
                <w:szCs w:val="18"/>
                <w:color w:val="auto"/>
              </w:rPr>
              <w:t>Number</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7,835</w:t>
            </w:r>
          </w:p>
        </w:tc>
        <w:tc>
          <w:tcPr>
            <w:tcW w:w="600" w:type="dxa"/>
            <w:vAlign w:val="bottom"/>
          </w:tcPr>
          <w:p>
            <w:pPr>
              <w:spacing w:after="0"/>
              <w:rPr>
                <w:sz w:val="18"/>
                <w:szCs w:val="18"/>
                <w:color w:val="auto"/>
              </w:rPr>
            </w:pPr>
          </w:p>
        </w:tc>
        <w:tc>
          <w:tcPr>
            <w:tcW w:w="1060" w:type="dxa"/>
            <w:vAlign w:val="bottom"/>
          </w:tcPr>
          <w:p>
            <w:pPr>
              <w:jc w:val="right"/>
              <w:ind w:right="556"/>
              <w:spacing w:after="0"/>
              <w:rPr>
                <w:sz w:val="20"/>
                <w:szCs w:val="20"/>
                <w:color w:val="auto"/>
              </w:rPr>
            </w:pPr>
            <w:r>
              <w:rPr>
                <w:rFonts w:ascii="Arial" w:cs="Arial" w:eastAsia="Arial" w:hAnsi="Arial"/>
                <w:sz w:val="18"/>
                <w:szCs w:val="18"/>
                <w:color w:val="auto"/>
                <w:w w:val="88"/>
              </w:rPr>
              <w:t>9,538</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60" w:type="dxa"/>
            <w:vAlign w:val="bottom"/>
          </w:tcPr>
          <w:p>
            <w:pPr>
              <w:ind w:left="880"/>
              <w:spacing w:after="0"/>
              <w:rPr>
                <w:sz w:val="20"/>
                <w:szCs w:val="20"/>
                <w:color w:val="auto"/>
              </w:rPr>
            </w:pPr>
            <w:r>
              <w:rPr>
                <w:rFonts w:ascii="Arial" w:cs="Arial" w:eastAsia="Arial" w:hAnsi="Arial"/>
                <w:sz w:val="18"/>
                <w:szCs w:val="18"/>
                <w:color w:val="auto"/>
              </w:rPr>
              <w:t>Value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4"/>
              <w:spacing w:after="0"/>
              <w:rPr>
                <w:sz w:val="20"/>
                <w:szCs w:val="20"/>
                <w:color w:val="auto"/>
              </w:rPr>
            </w:pPr>
            <w:r>
              <w:rPr>
                <w:rFonts w:ascii="Arial" w:cs="Arial" w:eastAsia="Arial" w:hAnsi="Arial"/>
                <w:sz w:val="18"/>
                <w:szCs w:val="18"/>
                <w:color w:val="auto"/>
              </w:rPr>
              <w:t>512</w:t>
            </w:r>
          </w:p>
        </w:tc>
        <w:tc>
          <w:tcPr>
            <w:tcW w:w="60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56"/>
              <w:spacing w:after="0"/>
              <w:rPr>
                <w:sz w:val="20"/>
                <w:szCs w:val="20"/>
                <w:color w:val="auto"/>
              </w:rPr>
            </w:pPr>
            <w:r>
              <w:rPr>
                <w:rFonts w:ascii="Arial" w:cs="Arial" w:eastAsia="Arial" w:hAnsi="Arial"/>
                <w:sz w:val="18"/>
                <w:szCs w:val="18"/>
                <w:color w:val="auto"/>
              </w:rPr>
              <w:t>483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222</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221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60" w:type="dxa"/>
            <w:vAlign w:val="bottom"/>
          </w:tcPr>
          <w:p>
            <w:pPr>
              <w:ind w:left="880"/>
              <w:spacing w:after="0"/>
              <w:rPr>
                <w:sz w:val="20"/>
                <w:szCs w:val="20"/>
                <w:color w:val="auto"/>
              </w:rPr>
            </w:pPr>
            <w:r>
              <w:rPr>
                <w:rFonts w:ascii="Arial" w:cs="Arial" w:eastAsia="Arial" w:hAnsi="Arial"/>
                <w:sz w:val="18"/>
                <w:szCs w:val="18"/>
                <w:color w:val="auto"/>
              </w:rPr>
              <w:t>Value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4"/>
              <w:spacing w:after="0"/>
              <w:rPr>
                <w:sz w:val="20"/>
                <w:szCs w:val="20"/>
                <w:color w:val="auto"/>
              </w:rPr>
            </w:pPr>
            <w:r>
              <w:rPr>
                <w:rFonts w:ascii="Arial" w:cs="Arial" w:eastAsia="Arial" w:hAnsi="Arial"/>
                <w:sz w:val="18"/>
                <w:szCs w:val="18"/>
                <w:color w:val="auto"/>
              </w:rPr>
              <w:t>813</w:t>
            </w:r>
          </w:p>
        </w:tc>
        <w:tc>
          <w:tcPr>
            <w:tcW w:w="60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56"/>
              <w:spacing w:after="0"/>
              <w:rPr>
                <w:sz w:val="20"/>
                <w:szCs w:val="20"/>
                <w:color w:val="auto"/>
              </w:rPr>
            </w:pPr>
            <w:r>
              <w:rPr>
                <w:rFonts w:ascii="Arial" w:cs="Arial" w:eastAsia="Arial" w:hAnsi="Arial"/>
                <w:sz w:val="18"/>
                <w:szCs w:val="18"/>
                <w:color w:val="auto"/>
              </w:rPr>
              <w:t>648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4"/>
              </w:rPr>
              <w:t>8,614</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88"/>
              </w:rPr>
              <w:t>9,495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636</w:t>
            </w:r>
          </w:p>
        </w:tc>
        <w:tc>
          <w:tcPr>
            <w:tcW w:w="600" w:type="dxa"/>
            <w:vAlign w:val="bottom"/>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461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22"/>
        </w:trPr>
        <w:tc>
          <w:tcPr>
            <w:tcW w:w="4360" w:type="dxa"/>
            <w:vAlign w:val="bottom"/>
          </w:tcPr>
          <w:p>
            <w:pPr>
              <w:ind w:left="880"/>
              <w:spacing w:after="0"/>
              <w:rPr>
                <w:sz w:val="20"/>
                <w:szCs w:val="20"/>
                <w:color w:val="auto"/>
              </w:rPr>
            </w:pPr>
            <w:r>
              <w:rPr>
                <w:rFonts w:ascii="Arial" w:cs="Arial" w:eastAsia="Arial" w:hAnsi="Arial"/>
                <w:sz w:val="18"/>
                <w:szCs w:val="18"/>
                <w:color w:val="auto"/>
              </w:rPr>
              <w:t>Number</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94"/>
              <w:spacing w:after="0"/>
              <w:rPr>
                <w:sz w:val="20"/>
                <w:szCs w:val="20"/>
                <w:color w:val="auto"/>
              </w:rPr>
            </w:pPr>
            <w:r>
              <w:rPr>
                <w:rFonts w:ascii="Arial" w:cs="Arial" w:eastAsia="Arial" w:hAnsi="Arial"/>
                <w:sz w:val="18"/>
                <w:szCs w:val="18"/>
                <w:color w:val="auto"/>
              </w:rPr>
              <w:t>249</w:t>
            </w:r>
          </w:p>
        </w:tc>
        <w:tc>
          <w:tcPr>
            <w:tcW w:w="600" w:type="dxa"/>
            <w:vAlign w:val="bottom"/>
          </w:tcPr>
          <w:p>
            <w:pPr>
              <w:spacing w:after="0"/>
              <w:rPr>
                <w:sz w:val="19"/>
                <w:szCs w:val="19"/>
                <w:color w:val="auto"/>
              </w:rPr>
            </w:pPr>
          </w:p>
        </w:tc>
        <w:tc>
          <w:tcPr>
            <w:tcW w:w="1060" w:type="dxa"/>
            <w:vAlign w:val="bottom"/>
          </w:tcPr>
          <w:p>
            <w:pPr>
              <w:jc w:val="right"/>
              <w:ind w:right="556"/>
              <w:spacing w:after="0"/>
              <w:rPr>
                <w:sz w:val="20"/>
                <w:szCs w:val="20"/>
                <w:color w:val="auto"/>
              </w:rPr>
            </w:pPr>
            <w:r>
              <w:rPr>
                <w:rFonts w:ascii="Arial" w:cs="Arial" w:eastAsia="Arial" w:hAnsi="Arial"/>
                <w:sz w:val="18"/>
                <w:szCs w:val="18"/>
                <w:color w:val="auto"/>
              </w:rPr>
              <w:t>210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April 7,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Global restructuring activity during the first quarter of 2014, as measured by the number of corporate defaults, decreased as compared to the first quarter of 2013, and the aggregate value of debt defaults remained low, consistent with the last several years. The number of defaulting issuers decreased to 8 in the first quarter of 2014, according to Moody’s Investors Service, Inc., as compared to 21 in the first quarter of 2013. In the U.S., the number of corporate defaults decreased 36% in the first quarter of 2014 as compared to the first quarter of 2013, while the value of such defaults decreased 67% during the same period.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percentage change in major equity market indices at March 31, 2014, as compared to such indices at December 31, 2013, and at March 31, 2013,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Percentage Changes</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6740" w:type="dxa"/>
            <w:vAlign w:val="bottom"/>
          </w:tcPr>
          <w:p>
            <w:pPr>
              <w:spacing w:after="0"/>
              <w:rPr>
                <w:sz w:val="14"/>
                <w:szCs w:val="14"/>
                <w:color w:val="auto"/>
              </w:rPr>
            </w:pPr>
          </w:p>
        </w:tc>
        <w:tc>
          <w:tcPr>
            <w:tcW w:w="2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March 31, 2014 vs.</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6740" w:type="dxa"/>
            <w:vAlign w:val="bottom"/>
          </w:tcPr>
          <w:p>
            <w:pPr>
              <w:spacing w:after="0"/>
              <w:rPr>
                <w:sz w:val="11"/>
                <w:szCs w:val="11"/>
                <w:color w:val="auto"/>
              </w:rPr>
            </w:pPr>
          </w:p>
        </w:tc>
        <w:tc>
          <w:tcPr>
            <w:tcW w:w="2000" w:type="dxa"/>
            <w:vAlign w:val="bottom"/>
            <w:gridSpan w:val="2"/>
          </w:tcPr>
          <w:p>
            <w:pPr>
              <w:jc w:val="center"/>
              <w:ind w:right="11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1"/>
                <w:szCs w:val="11"/>
                <w:color w:val="auto"/>
              </w:rPr>
            </w:pPr>
          </w:p>
        </w:tc>
      </w:tr>
      <w:tr>
        <w:trPr>
          <w:trHeight w:val="161"/>
        </w:trPr>
        <w:tc>
          <w:tcPr>
            <w:tcW w:w="6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2013</w:t>
            </w:r>
          </w:p>
        </w:tc>
        <w:tc>
          <w:tcPr>
            <w:tcW w:w="12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r>
      <w:tr>
        <w:trPr>
          <w:trHeight w:val="210"/>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20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Euro Stoxx</w:t>
            </w: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20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S&amp;P 500</w:t>
            </w: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bl>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 March 31, 2014 increased 1% versus AUM at December 31, 2013, due to market and foreign exchange appreciation as well as net inflows. Average AUM in the first quarter of 2014 increased 9% as compared to average AUM in the first quarter of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October 2012, we announced cost saving initiatives which, at that time, were expected to result in approximately $125 million in annual savings from our compensation and non-compensation cost base. We currently expect total annual savings related to the cost saving initiatives to be approximately $160 million, partially offset by investment in our business.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Approximately $120 million of the expected annual savings relate to compensation expense associated with our headcount, and approximately $40 million to non-compensation expense. Through 2013, more than two-thirds of these savings were realized, with the full impact of all the savings expected to be reflected in our 2014 results.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Expenses associated with implementation of the cost saving initiatives were completed in the second quarter of 2013 and were reflected in our financial results. These implementation expenses were approximately: $38 million in the second quarter of 2013; $26 million in the first quarter of 2013; and $103 million in the fourth quarter of 2012, for a total of approximately $167 million.</w:t>
      </w:r>
    </w:p>
    <w:p>
      <w:pPr>
        <w:spacing w:after="0" w:line="140"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The cost saving initiatives are intended to improve our profitability with minimal impact on revenue growth. The initiatives include: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of Notes to Condensed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0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2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Although Corporate segment net revenue during the first quarter of 2014 represented (2)% of Lazard’s net revenue, total assets in the Corporate segment represented 57% of Lazard’s consolidated total assets as of March 31, 2014, which are attributable to investments in government bonds and money market funds, fixed income funds, alternative investment funds and other securities, private equity investments,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 Incentive Compensation Plan (the “2008 Plan”) and (b) Lazard Fund Interests awards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competitive pay conditions and the nature of revenues earned, as well as the mix between current and deferred compensation.</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2" w:lineRule="exact"/>
        <w:rPr>
          <w:sz w:val="20"/>
          <w:szCs w:val="20"/>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grant date fair value of deferred incentive awards granted in 2014, 2013 and 2012 related to the 2013, 2012 and 2011 year-end compensation processes, respectively) and (ii) investments in people (</w:t>
      </w:r>
      <w:r>
        <w:rPr>
          <w:rFonts w:ascii="Arial" w:cs="Arial" w:eastAsia="Arial" w:hAnsi="Arial"/>
          <w:sz w:val="16"/>
          <w:szCs w:val="16"/>
          <w:i w:val="1"/>
          <w:iCs w:val="1"/>
          <w:color w:val="auto"/>
        </w:rPr>
        <w:t>i.e.</w:t>
      </w:r>
      <w:r>
        <w:rPr>
          <w:rFonts w:ascii="Arial" w:cs="Arial" w:eastAsia="Arial" w:hAnsi="Arial"/>
          <w:sz w:val="16"/>
          <w:szCs w:val="16"/>
          <w:color w:val="auto"/>
        </w:rPr>
        <w:t xml:space="preserve">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which compares to 58.3% for the year ended December 31, 2013. While we have implemented initiatives, including the cost saving initiatives announced in October 2012 (see “Cost Saving Initiatives” above and Note 14 of Notes to Condensed Consolidated Financial Statements),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AUM levels and/or changes in the mix of revenues from our businesses or various other factors could prevent us from attaining this goal.</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and, in the 2013 period, the relevant portion of the expense relating to the implementation of the cost saving initiatives. For all periods, the amortization of intangible assets related to acquisitions pertains primarily to the acquisition of Edgewater.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Outside the U.S., Lazard Group operates principally through subsidiary corporations that are subject to local income taxes. Income taxes shown on Lazard’s consolidated statements of operations are principally related to foreign taxes from non-U.S. entities and to New York City Unincorporated Business Tax (“UBT”) attributable to Lazard Group’s operations apportioned to New York City (see Note 15 of Notes to Condensed Consolidated Financial Statements for additional information).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and the amount attributable to LAZ-MD Holdings’ ownership interest in the net income of Lazard Group. See Note 11 of Notes to Condensed Consolidated Financial Statements for information regarding the Company’s noncontrolling interests. The Company expects that all remaining interests in LAZ-MD Holdings that are exchangeable for shares of the Company’s Class A common stock will be exchanged in May 2014. Following such event, Lazard Group will be a wholly-owned indirect subsidiary of Lazard Ltd, and the sole issued and outstanding share of the Company’s Class B common stock will automatically convert into one share of the Company’s Class A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Lazard’s consolidated financial statements are presented in U.S. Dollars. Many of our non-U.S. subsidiaries have a functional currency (</w:t>
      </w:r>
      <w:r>
        <w:rPr>
          <w:rFonts w:ascii="Arial" w:cs="Arial" w:eastAsia="Arial" w:hAnsi="Arial"/>
          <w:sz w:val="18"/>
          <w:szCs w:val="18"/>
          <w:i w:val="1"/>
          <w:iCs w:val="1"/>
          <w:color w:val="auto"/>
        </w:rPr>
        <w:t>i.e</w:t>
      </w:r>
      <w:r>
        <w:rPr>
          <w:rFonts w:ascii="Arial" w:cs="Arial" w:eastAsia="Arial" w:hAnsi="Arial"/>
          <w:sz w:val="18"/>
          <w:szCs w:val="18"/>
          <w:color w:val="auto"/>
        </w:rPr>
        <w:t>., the currency in which operational activities are primarily conducted) that is other than the U.S. Dollar, generally the currency of the country in which the subsidiaries are domiciled.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are prepared in conformity with accounting principles generally accepted in the United States of America (“U.S. GAAP”). Selected financial data from the Company’s reported condensed consolidated results of operations is set forth below, followed by a more detailed discussion of both the consolidated and business segment results.</w:t>
      </w:r>
    </w:p>
    <w:p>
      <w:pPr>
        <w:spacing w:after="0" w:line="203"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-7620</wp:posOffset>
            </wp:positionV>
            <wp:extent cx="15265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w w:val="86"/>
              </w:rPr>
              <w:t>533,400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401,903</w:t>
            </w:r>
          </w:p>
        </w:tc>
        <w:tc>
          <w:tcPr>
            <w:tcW w:w="0" w:type="dxa"/>
            <w:vAlign w:val="bottom"/>
          </w:tcPr>
          <w:p>
            <w:pPr>
              <w:spacing w:after="0"/>
              <w:rPr>
                <w:sz w:val="1"/>
                <w:szCs w:val="1"/>
                <w:color w:val="auto"/>
              </w:rPr>
            </w:pPr>
          </w:p>
        </w:tc>
      </w:tr>
      <w:tr>
        <w:trPr>
          <w:trHeight w:val="330"/>
        </w:trPr>
        <w:tc>
          <w:tcPr>
            <w:tcW w:w="6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w w:val="86"/>
              </w:rPr>
              <w:t>321,565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277,739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w w:val="86"/>
              </w:rPr>
              <w:t>103,435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420"/>
              <w:spacing w:after="0"/>
              <w:rPr>
                <w:sz w:val="20"/>
                <w:szCs w:val="20"/>
                <w:color w:val="auto"/>
              </w:rPr>
            </w:pPr>
            <w:r>
              <w:rPr>
                <w:rFonts w:ascii="Arial" w:cs="Arial" w:eastAsia="Arial" w:hAnsi="Arial"/>
                <w:sz w:val="18"/>
                <w:szCs w:val="18"/>
                <w:color w:val="auto"/>
              </w:rPr>
              <w:t>Total operating expenses</w:t>
            </w:r>
          </w:p>
        </w:tc>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w w:val="86"/>
              </w:rPr>
              <w:t>426,220</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380,306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w w:val="86"/>
              </w:rPr>
              <w:t>107,180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rPr>
              <w:t>21,751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85,429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rPr>
              <w:t>4,587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80,842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15,360</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3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3320" w:type="dxa"/>
            <w:vAlign w:val="bottom"/>
            <w:gridSpan w:val="3"/>
          </w:tcPr>
          <w:p>
            <w:pPr>
              <w:jc w:val="right"/>
              <w:ind w:right="300"/>
              <w:spacing w:after="0"/>
              <w:rPr>
                <w:sz w:val="20"/>
                <w:szCs w:val="20"/>
                <w:color w:val="auto"/>
              </w:rPr>
            </w:pPr>
            <w:r>
              <w:rPr>
                <w:rFonts w:ascii="Arial" w:cs="Arial" w:eastAsia="Arial" w:hAnsi="Arial"/>
                <w:sz w:val="18"/>
                <w:szCs w:val="18"/>
                <w:color w:val="auto"/>
              </w:rPr>
              <w:t>$533,400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$401,903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420"/>
              <w:spacing w:after="0"/>
              <w:rPr>
                <w:sz w:val="20"/>
                <w:szCs w:val="20"/>
                <w:color w:val="auto"/>
              </w:rPr>
            </w:pPr>
            <w:r>
              <w:rPr>
                <w:rFonts w:ascii="Arial" w:cs="Arial" w:eastAsia="Arial" w:hAnsi="Arial"/>
                <w:sz w:val="18"/>
                <w:szCs w:val="18"/>
                <w:color w:val="auto"/>
              </w:rPr>
              <w:t>Interest expense (a)</w:t>
            </w:r>
          </w:p>
        </w:tc>
        <w:tc>
          <w:tcPr>
            <w:tcW w:w="3320" w:type="dxa"/>
            <w:vAlign w:val="bottom"/>
            <w:gridSpan w:val="3"/>
          </w:tcPr>
          <w:p>
            <w:pPr>
              <w:jc w:val="right"/>
              <w:ind w:right="300"/>
              <w:spacing w:after="0"/>
              <w:rPr>
                <w:sz w:val="20"/>
                <w:szCs w:val="20"/>
                <w:color w:val="auto"/>
              </w:rPr>
            </w:pPr>
            <w:r>
              <w:rPr>
                <w:rFonts w:ascii="Arial" w:cs="Arial" w:eastAsia="Arial" w:hAnsi="Arial"/>
                <w:sz w:val="18"/>
                <w:szCs w:val="18"/>
                <w:color w:val="auto"/>
              </w:rPr>
              <w:t>15,716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3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(6,266)</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420"/>
              <w:spacing w:after="0"/>
              <w:rPr>
                <w:sz w:val="20"/>
                <w:szCs w:val="20"/>
                <w:color w:val="auto"/>
              </w:rPr>
            </w:pPr>
            <w:r>
              <w:rPr>
                <w:rFonts w:ascii="Arial" w:cs="Arial" w:eastAsia="Arial" w:hAnsi="Arial"/>
                <w:sz w:val="18"/>
                <w:szCs w:val="18"/>
                <w:color w:val="auto"/>
              </w:rPr>
              <w:t>Gains on investments pertaining to Lazard Fund Interests (c)</w:t>
            </w:r>
          </w:p>
        </w:tc>
        <w:tc>
          <w:tcPr>
            <w:tcW w:w="23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(2,626)</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540,224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413,704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460" w:right="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22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Lazard Fund Interests and other similar deferred compensation arrangements for which a corresponding equal amount is excluded from compensation and benefits expense.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980" w:type="dxa"/>
            <w:vAlign w:val="bottom"/>
            <w:gridSpan w:val="3"/>
          </w:tcPr>
          <w:p>
            <w:pPr>
              <w:jc w:val="right"/>
              <w:ind w:right="435"/>
              <w:spacing w:after="0" w:line="142" w:lineRule="exact"/>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$321,565</w:t>
            </w:r>
          </w:p>
        </w:tc>
        <w:tc>
          <w:tcPr>
            <w:tcW w:w="6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$277,739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3320" w:type="dxa"/>
            <w:vAlign w:val="bottom"/>
            <w:gridSpan w:val="3"/>
          </w:tcPr>
          <w:p>
            <w:pPr>
              <w:jc w:val="right"/>
              <w:ind w:right="492"/>
              <w:spacing w:after="0"/>
              <w:rPr>
                <w:sz w:val="20"/>
                <w:szCs w:val="20"/>
                <w:color w:val="auto"/>
              </w:rPr>
            </w:pPr>
            <w:r>
              <w:rPr>
                <w:rFonts w:ascii="Arial" w:cs="Arial" w:eastAsia="Arial" w:hAnsi="Arial"/>
                <w:sz w:val="18"/>
                <w:szCs w:val="18"/>
                <w:color w:val="auto"/>
              </w:rPr>
              <w:t>(1,148)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Charges pertaining to Lazard Fund Interests (b)</w:t>
            </w:r>
          </w:p>
        </w:tc>
        <w:tc>
          <w:tcPr>
            <w:tcW w:w="332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(2,626)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ind w:left="420"/>
              <w:spacing w:after="0"/>
              <w:rPr>
                <w:sz w:val="20"/>
                <w:szCs w:val="20"/>
                <w:color w:val="auto"/>
              </w:rPr>
            </w:pPr>
            <w:r>
              <w:rPr>
                <w:rFonts w:ascii="Arial" w:cs="Arial" w:eastAsia="Arial" w:hAnsi="Arial"/>
                <w:sz w:val="18"/>
                <w:szCs w:val="18"/>
                <w:color w:val="auto"/>
              </w:rPr>
              <w:t>Cost saving initiatives (c)</w:t>
            </w:r>
          </w:p>
        </w:tc>
        <w:tc>
          <w:tcPr>
            <w:tcW w:w="2020" w:type="dxa"/>
            <w:vAlign w:val="bottom"/>
          </w:tcPr>
          <w:p>
            <w:pPr>
              <w:spacing w:after="0"/>
              <w:rPr>
                <w:sz w:val="19"/>
                <w:szCs w:val="19"/>
                <w:color w:val="auto"/>
              </w:rPr>
            </w:pPr>
          </w:p>
        </w:tc>
        <w:tc>
          <w:tcPr>
            <w:tcW w:w="130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20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317,791</w:t>
            </w:r>
          </w:p>
        </w:tc>
        <w:tc>
          <w:tcPr>
            <w:tcW w:w="6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248,222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2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20" w:type="dxa"/>
            <w:vAlign w:val="bottom"/>
            <w:gridSpan w:val="3"/>
            <w:vMerge w:val="continue"/>
          </w:tcPr>
          <w:p>
            <w:pPr>
              <w:spacing w:after="0"/>
              <w:rPr>
                <w:sz w:val="18"/>
                <w:szCs w:val="18"/>
                <w:color w:val="auto"/>
              </w:rPr>
            </w:pPr>
          </w:p>
        </w:tc>
        <w:tc>
          <w:tcPr>
            <w:tcW w:w="3320" w:type="dxa"/>
            <w:vAlign w:val="bottom"/>
            <w:gridSpan w:val="3"/>
          </w:tcPr>
          <w:p>
            <w:pPr>
              <w:jc w:val="right"/>
              <w:ind w:right="412"/>
              <w:spacing w:after="0"/>
              <w:rPr>
                <w:sz w:val="20"/>
                <w:szCs w:val="20"/>
                <w:color w:val="auto"/>
              </w:rPr>
            </w:pPr>
            <w:r>
              <w:rPr>
                <w:rFonts w:ascii="Arial" w:cs="Arial" w:eastAsia="Arial" w:hAnsi="Arial"/>
                <w:sz w:val="18"/>
                <w:szCs w:val="18"/>
                <w:color w:val="auto"/>
              </w:rPr>
              <w:t>58.8%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Lazard has no economic interest in such amounts.</w:t>
      </w:r>
    </w:p>
    <w:p>
      <w:pPr>
        <w:spacing w:after="0" w:line="38" w:lineRule="exact"/>
        <w:rPr>
          <w:rFonts w:ascii="Arial" w:cs="Arial" w:eastAsia="Arial" w:hAnsi="Arial"/>
          <w:sz w:val="16"/>
          <w:szCs w:val="16"/>
          <w:color w:val="auto"/>
        </w:rPr>
      </w:pPr>
    </w:p>
    <w:p>
      <w:pPr>
        <w:ind w:left="460" w:right="940" w:hanging="452"/>
        <w:spacing w:after="0" w:line="281"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changes in the fair value of the compensation liability recorded in connection with Lazard Fund Interests and other similar deferred compensation arrangements for which a corresponding equal amount is excluded from operating revenue.</w:t>
      </w:r>
    </w:p>
    <w:p>
      <w:pPr>
        <w:spacing w:after="0" w:line="1" w:lineRule="exact"/>
        <w:rPr>
          <w:rFonts w:ascii="Arial" w:cs="Arial" w:eastAsia="Arial" w:hAnsi="Arial"/>
          <w:sz w:val="16"/>
          <w:szCs w:val="16"/>
          <w:color w:val="auto"/>
        </w:rPr>
      </w:pPr>
    </w:p>
    <w:p>
      <w:pPr>
        <w:ind w:left="460" w:right="280" w:hanging="452"/>
        <w:spacing w:after="0" w:line="361" w:lineRule="auto"/>
        <w:tabs>
          <w:tab w:leader="none" w:pos="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Represents expenses related to the cost saving initiatives for (i) severance costs and benefit payments; (ii) the acceleration of unrecognized amortization expense of deferred incentive compensation previously granted to individuals terminated and (iii) the settlement of certain contractual obligations.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1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8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200" w:type="dxa"/>
            <w:vAlign w:val="bottom"/>
          </w:tcPr>
          <w:p>
            <w:pPr>
              <w:spacing w:after="0"/>
              <w:rPr>
                <w:sz w:val="12"/>
                <w:szCs w:val="12"/>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2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$103,435</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101,690</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4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3600" w:type="dxa"/>
            <w:vAlign w:val="bottom"/>
            <w:gridSpan w:val="3"/>
          </w:tcPr>
          <w:p>
            <w:pPr>
              <w:jc w:val="right"/>
              <w:ind w:right="492"/>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(458)</w:t>
            </w:r>
          </w:p>
        </w:tc>
      </w:tr>
      <w:tr>
        <w:trPr>
          <w:trHeight w:val="216"/>
        </w:trPr>
        <w:tc>
          <w:tcPr>
            <w:tcW w:w="6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saving initiatives (b)</w:t>
            </w:r>
          </w:p>
        </w:tc>
        <w:tc>
          <w:tcPr>
            <w:tcW w:w="2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(1,651)</w:t>
            </w:r>
          </w:p>
        </w:tc>
      </w:tr>
      <w:tr>
        <w:trPr>
          <w:trHeight w:val="222"/>
        </w:trPr>
        <w:tc>
          <w:tcPr>
            <w:tcW w:w="6940" w:type="dxa"/>
            <w:vAlign w:val="bottom"/>
            <w:gridSpan w:val="2"/>
          </w:tcPr>
          <w:p>
            <w:pPr>
              <w:spacing w:after="0"/>
              <w:rPr>
                <w:sz w:val="20"/>
                <w:szCs w:val="20"/>
                <w:color w:val="auto"/>
              </w:rPr>
            </w:pPr>
            <w:r>
              <w:rPr>
                <w:rFonts w:ascii="Arial" w:cs="Arial" w:eastAsia="Arial" w:hAnsi="Arial"/>
                <w:sz w:val="18"/>
                <w:szCs w:val="18"/>
                <w:color w:val="auto"/>
              </w:rPr>
              <w:t>Adjusted non-compensation expense</w:t>
            </w:r>
          </w:p>
        </w:tc>
        <w:tc>
          <w:tcPr>
            <w:tcW w:w="2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103,001</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99,581</w:t>
            </w:r>
          </w:p>
        </w:tc>
        <w:tc>
          <w:tcPr>
            <w:tcW w:w="2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360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expenses related to the cost saving initiatives for occupancy cost reduction and other non-compensation related costs.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20" w:type="dxa"/>
            <w:vAlign w:val="bottom"/>
            <w:tcBorders>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4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revenue</w:t>
            </w:r>
          </w:p>
        </w:tc>
        <w:tc>
          <w:tcPr>
            <w:tcW w:w="5740" w:type="dxa"/>
            <w:vAlign w:val="bottom"/>
            <w:gridSpan w:val="3"/>
          </w:tcPr>
          <w:p>
            <w:pPr>
              <w:jc w:val="right"/>
              <w:ind w:right="872"/>
              <w:spacing w:after="0"/>
              <w:rPr>
                <w:sz w:val="20"/>
                <w:szCs w:val="20"/>
                <w:color w:val="auto"/>
              </w:rPr>
            </w:pPr>
            <w:r>
              <w:rPr>
                <w:rFonts w:ascii="Arial" w:cs="Arial" w:eastAsia="Arial" w:hAnsi="Arial"/>
                <w:sz w:val="18"/>
                <w:szCs w:val="18"/>
                <w:color w:val="auto"/>
              </w:rPr>
              <w:t>$ 540,224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413,704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4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5740" w:type="dxa"/>
            <w:vAlign w:val="bottom"/>
            <w:gridSpan w:val="3"/>
          </w:tcPr>
          <w:p>
            <w:pPr>
              <w:jc w:val="right"/>
              <w:ind w:right="812"/>
              <w:spacing w:after="0"/>
              <w:rPr>
                <w:sz w:val="20"/>
                <w:szCs w:val="20"/>
                <w:color w:val="auto"/>
              </w:rPr>
            </w:pPr>
            <w:r>
              <w:rPr>
                <w:rFonts w:ascii="Arial" w:cs="Arial" w:eastAsia="Arial" w:hAnsi="Arial"/>
                <w:sz w:val="18"/>
                <w:szCs w:val="18"/>
                <w:color w:val="auto"/>
              </w:rPr>
              <w:t>(317,791)</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(248,222)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40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w w:val="98"/>
              </w:rPr>
              <w:t>(103,001)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(99,581)</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4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5740" w:type="dxa"/>
            <w:vAlign w:val="bottom"/>
            <w:gridSpan w:val="3"/>
          </w:tcPr>
          <w:p>
            <w:pPr>
              <w:jc w:val="right"/>
              <w:ind w:right="872"/>
              <w:spacing w:after="0"/>
              <w:rPr>
                <w:sz w:val="20"/>
                <w:szCs w:val="20"/>
                <w:color w:val="auto"/>
              </w:rPr>
            </w:pPr>
            <w:r>
              <w:rPr>
                <w:rFonts w:ascii="Arial" w:cs="Arial" w:eastAsia="Arial" w:hAnsi="Arial"/>
                <w:sz w:val="18"/>
                <w:szCs w:val="18"/>
                <w:color w:val="auto"/>
              </w:rPr>
              <w:t>$ 119,432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65,901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574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080" w:type="dxa"/>
            <w:vAlign w:val="bottom"/>
            <w:vMerge w:val="restart"/>
          </w:tcPr>
          <w:p>
            <w:pPr>
              <w:jc w:val="right"/>
              <w:ind w:right="2932"/>
              <w:spacing w:after="0"/>
              <w:rPr>
                <w:sz w:val="20"/>
                <w:szCs w:val="20"/>
                <w:color w:val="auto"/>
              </w:rPr>
            </w:pPr>
            <w:r>
              <w:rPr>
                <w:rFonts w:ascii="Arial" w:cs="Arial" w:eastAsia="Arial" w:hAnsi="Arial"/>
                <w:sz w:val="18"/>
                <w:szCs w:val="18"/>
                <w:color w:val="auto"/>
              </w:rPr>
              <w:t>52</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4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Headcount information is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760"/>
              <w:spacing w:after="0"/>
              <w:rPr>
                <w:sz w:val="20"/>
                <w:szCs w:val="20"/>
                <w:color w:val="auto"/>
              </w:rPr>
            </w:pPr>
            <w:r>
              <w:rPr>
                <w:rFonts w:ascii="Arial" w:cs="Arial" w:eastAsia="Arial" w:hAnsi="Arial"/>
                <w:sz w:val="14"/>
                <w:szCs w:val="14"/>
                <w:b w:val="1"/>
                <w:bCs w:val="1"/>
                <w:color w:val="auto"/>
                <w:w w:val="90"/>
              </w:rPr>
              <w:t>As Of</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840" w:type="dxa"/>
            <w:vAlign w:val="bottom"/>
            <w:gridSpan w:val="4"/>
          </w:tcPr>
          <w:p>
            <w:pPr>
              <w:ind w:left="220"/>
              <w:spacing w:after="0" w:line="129" w:lineRule="exact"/>
              <w:rPr>
                <w:sz w:val="20"/>
                <w:szCs w:val="20"/>
                <w:color w:val="auto"/>
              </w:rPr>
            </w:pPr>
            <w:r>
              <w:rPr>
                <w:rFonts w:ascii="Arial" w:cs="Arial" w:eastAsia="Arial" w:hAnsi="Arial"/>
                <w:sz w:val="14"/>
                <w:szCs w:val="14"/>
                <w:b w:val="1"/>
                <w:bCs w:val="1"/>
                <w:color w:val="auto"/>
              </w:rPr>
              <w:t>March 31,</w:t>
            </w:r>
          </w:p>
        </w:tc>
        <w:tc>
          <w:tcPr>
            <w:tcW w:w="1580" w:type="dxa"/>
            <w:vAlign w:val="bottom"/>
            <w:gridSpan w:val="4"/>
          </w:tcPr>
          <w:p>
            <w:pPr>
              <w:jc w:val="center"/>
              <w:ind w:right="7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1"/>
        </w:trPr>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Headcount:</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86"/>
              </w:rPr>
              <w:t>2013(a)</w:t>
            </w:r>
          </w:p>
        </w:tc>
        <w:tc>
          <w:tcPr>
            <w:tcW w:w="3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2013(a)</w:t>
            </w:r>
          </w:p>
        </w:tc>
        <w:tc>
          <w:tcPr>
            <w:tcW w:w="0" w:type="dxa"/>
            <w:vAlign w:val="bottom"/>
          </w:tcPr>
          <w:p>
            <w:pPr>
              <w:spacing w:after="0"/>
              <w:rPr>
                <w:sz w:val="1"/>
                <w:szCs w:val="1"/>
                <w:color w:val="auto"/>
              </w:rPr>
            </w:pPr>
          </w:p>
        </w:tc>
      </w:tr>
      <w:tr>
        <w:trPr>
          <w:trHeight w:val="188"/>
        </w:trPr>
        <w:tc>
          <w:tcPr>
            <w:tcW w:w="6940" w:type="dxa"/>
            <w:vAlign w:val="bottom"/>
            <w:gridSpan w:val="2"/>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Managing Directors:</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440"/>
              <w:spacing w:after="0"/>
              <w:rPr>
                <w:sz w:val="20"/>
                <w:szCs w:val="20"/>
                <w:color w:val="auto"/>
              </w:rPr>
            </w:pPr>
            <w:r>
              <w:rPr>
                <w:rFonts w:ascii="Arial" w:cs="Arial" w:eastAsia="Arial" w:hAnsi="Arial"/>
                <w:sz w:val="18"/>
                <w:szCs w:val="18"/>
                <w:color w:val="auto"/>
              </w:rPr>
              <w:t>Asset Management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gridSpan w:val="2"/>
          </w:tcPr>
          <w:p>
            <w:pPr>
              <w:ind w:left="440"/>
              <w:spacing w:after="0"/>
              <w:rPr>
                <w:sz w:val="20"/>
                <w:szCs w:val="20"/>
                <w:color w:val="auto"/>
              </w:rPr>
            </w:pPr>
            <w:r>
              <w:rPr>
                <w:rFonts w:ascii="Arial" w:cs="Arial" w:eastAsia="Arial" w:hAnsi="Arial"/>
                <w:sz w:val="18"/>
                <w:szCs w:val="18"/>
                <w:color w:val="auto"/>
              </w:rPr>
              <w:t>Total Managing Directors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ind w:left="220"/>
              <w:spacing w:after="0"/>
              <w:rPr>
                <w:sz w:val="20"/>
                <w:szCs w:val="20"/>
                <w:color w:val="auto"/>
              </w:rPr>
            </w:pPr>
            <w:r>
              <w:rPr>
                <w:rFonts w:ascii="Arial" w:cs="Arial" w:eastAsia="Arial" w:hAnsi="Arial"/>
                <w:sz w:val="18"/>
                <w:szCs w:val="18"/>
                <w:color w:val="auto"/>
              </w:rPr>
              <w:t>Other Employees:</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1,119</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1,132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headcount reductions relating to the cost saving initiatives were substantially complete as of December 31, 2013. Such reductions have been partially offset by additional investments and, in the case of managing directors, by promotions.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versus March 31, 2013</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of $81 million, as compared to net income of $15 million in the 2013 period. The changes in the Company’s operating results during these periods are described below.</w:t>
      </w:r>
    </w:p>
    <w:p>
      <w:pPr>
        <w:spacing w:after="0" w:line="132"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Net revenue increased $131 million, or 33%, with operating revenue increasing $127 million, or 31%, as compared to the 2013 period. Fee revenue from investment banking and other advisory activities increased $105 million, or 62%, primarily due to increases in M&amp;A and Other Advisory fees. The increase in M&amp;A and Other Advisory fee revenue was primarily due to an increase in the absolute number of completed transactions involving fees greater than $1 million as compared to the 2013 period, as well as in the number of those transactions generating fees significantly greater than $1 million. Money management fees, including incentive fees, increased $22 million, or 9%, principally reflecting a $15 billion, or 9%, increase in average AUM as compared to the 2013 period. In the aggregate, interest income, other revenue and interest expense reflected an increase in net revenue of $5 million as compared to the 2013 period. Such increase was primarily due to a decrease in interest expense as a result of the refinancing of the Company’s 7.125% senior notes due 2015 (the “2015 Notes”) (See Note 9 of Notes to Condensed Consolidated Financial Statements for additional information).</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Compensation and benefits expense increased $44 million, or 16%, as compared to the 2013 period (which included a $24 million charge related to the cost saving initiatives), primarily driven by higher operating revenue.</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interim periods, as described above), was $318 million, an increase of $70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million, or 28%, as compared to $248 million in the 2013 period, primarily driven by higher operating revenue. The ratio of adjusted compensation and benefits expense to operating revenue was 58.8% for the 2014 period, which is consistent with the 2013 full year adjusted compensation ratio, as compared to 60.0% for the 2013 period. As described above, when analyzing compensation and benefits expense on an interim basis, we believe that adjusted compensation and benefits expense provides the most meaningful basis for comparison of compensation and benefits expense between present, historical and future interim periods.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Non-compensation expense increased $2 million, or 2%, as compared to the 2013 period (which included a charge of $2 million related to the cost saving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initiatives). When excluding such charge, as well as non-compensation costs relating to noncontrolling interests, adjusted non-compensation expense increased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 million, or 3%, as compared to the 2013 period, primarily due to increases in (i) marketing and business development expense associated with higher expenses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travel and other business development; (ii) higher mutual fund servicing fees and outsourced services reflecting the implementation of an existing outsourcing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arrangement across a broader number of accounts, as well as the increase in average AUM, partially offset by a decrease in professional fees. The ratio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adjusted non-compensation expense to operating revenue was 19.1%, as compared to 24.1% in the 2013 period.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2013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income increased $86 million, as compared to the 2013 period (including the charges relating to the cost saving initiatives of $26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as a percentage of net revenue, was 20.1%, as compared to 5.4% in the 2013 period.</w:t>
      </w:r>
    </w:p>
    <w:p>
      <w:pPr>
        <w:spacing w:after="0" w:line="16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Earnings from operations increased $54 million, or 81%, as compared to the 2013 period, and, as a percentage of operating revenue, was 22.1%, as compared to 15.9% in the 2013 period.</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provision for income taxes reflects an effective tax rate of 20.3%, as compared to 18.3% for the 2013 period. The increase in the effective tax rate is primarily reflective of the change in the geographic mix of earnings (see Note 15 of Notes to Condensed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increased $2 million as compared to the 2013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information technology, facilities management and senior management activities. Such support costs are allocated to the relevant segments based on various statistical drivers such as revenue, headcount, square footage and other factors.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4"/>
          </w:tcPr>
          <w:p>
            <w:pPr>
              <w:jc w:val="center"/>
              <w:ind w:right="12"/>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239,144</w:t>
            </w:r>
          </w:p>
        </w:tc>
        <w:tc>
          <w:tcPr>
            <w:tcW w:w="7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0"/>
              </w:rPr>
              <w:t>$120,756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Capital Raising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6,216</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14,686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Strategic Advisory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245,360</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30,136</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33,020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275,496</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Operating Expenses(a)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245,415</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216,908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30,081</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 (48,446)</w:t>
            </w:r>
          </w:p>
        </w:tc>
        <w:tc>
          <w:tcPr>
            <w:tcW w:w="0" w:type="dxa"/>
            <w:vAlign w:val="bottom"/>
          </w:tcPr>
          <w:p>
            <w:pPr>
              <w:spacing w:after="0"/>
              <w:rPr>
                <w:sz w:val="1"/>
                <w:szCs w:val="1"/>
                <w:color w:val="auto"/>
              </w:rPr>
            </w:pPr>
          </w:p>
        </w:tc>
      </w:tr>
      <w:tr>
        <w:trPr>
          <w:trHeight w:val="20"/>
        </w:trPr>
        <w:tc>
          <w:tcPr>
            <w:tcW w:w="908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 as a %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92"/>
              <w:spacing w:after="0"/>
              <w:rPr>
                <w:sz w:val="20"/>
                <w:szCs w:val="20"/>
                <w:color w:val="auto"/>
              </w:rPr>
            </w:pPr>
            <w:r>
              <w:rPr>
                <w:rFonts w:ascii="Arial" w:cs="Arial" w:eastAsia="Arial" w:hAnsi="Arial"/>
                <w:sz w:val="18"/>
                <w:szCs w:val="18"/>
                <w:color w:val="auto"/>
              </w:rPr>
              <w:t>10.9%</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20" w:type="dxa"/>
            <w:vAlign w:val="bottom"/>
            <w:gridSpan w:val="2"/>
          </w:tcPr>
          <w:p>
            <w:pPr>
              <w:spacing w:after="0"/>
              <w:rPr>
                <w:sz w:val="20"/>
                <w:szCs w:val="20"/>
                <w:color w:val="auto"/>
              </w:rPr>
            </w:pPr>
            <w:r>
              <w:rPr>
                <w:rFonts w:ascii="Arial" w:cs="Arial" w:eastAsia="Arial" w:hAnsi="Arial"/>
                <w:sz w:val="18"/>
                <w:szCs w:val="18"/>
                <w:color w:val="auto"/>
                <w:w w:val="90"/>
              </w:rPr>
              <w:t>(a)</w:t>
            </w:r>
          </w:p>
        </w:tc>
        <w:tc>
          <w:tcPr>
            <w:tcW w:w="8860" w:type="dxa"/>
            <w:vAlign w:val="bottom"/>
            <w:gridSpan w:val="2"/>
          </w:tcPr>
          <w:p>
            <w:pPr>
              <w:ind w:left="240"/>
              <w:spacing w:after="0"/>
              <w:rPr>
                <w:sz w:val="20"/>
                <w:szCs w:val="20"/>
                <w:color w:val="auto"/>
              </w:rPr>
            </w:pPr>
            <w:r>
              <w:rPr>
                <w:rFonts w:ascii="Arial" w:cs="Arial" w:eastAsia="Arial" w:hAnsi="Arial"/>
                <w:sz w:val="18"/>
                <w:szCs w:val="18"/>
                <w:color w:val="auto"/>
              </w:rPr>
              <w:t>In 2013, includes $22,015 associated with the implementation of the cost saving initiatives.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in the 2014 period, the industry statistics for global M&amp;A transactions described above reflect a 1% decrease in the value, and an 18% decrease in the number, of all completed transactions as compared to the 2013 period. For M&amp;A deals with values greater than $500 million, the value of completed transactions increased 6%, while the number of such deals remained flat, as compared to the 2013 period. Our M&amp;A and Other Advisory revenue (which includes Sovereign and Capital Structure Advisory revenue) increased 98% as compared to the 2013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1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9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924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r>
      <w:tr>
        <w:trPr>
          <w:trHeight w:val="196"/>
        </w:trPr>
        <w:tc>
          <w:tcPr>
            <w:tcW w:w="9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62</w:t>
            </w:r>
          </w:p>
        </w:tc>
        <w:tc>
          <w:tcPr>
            <w:tcW w:w="150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44</w:t>
            </w: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51</w:t>
            </w:r>
          </w:p>
        </w:tc>
        <w:tc>
          <w:tcPr>
            <w:tcW w:w="1500" w:type="dxa"/>
            <w:vAlign w:val="bottom"/>
            <w:gridSpan w:val="3"/>
          </w:tcPr>
          <w:p>
            <w:pPr>
              <w:ind w:left="1120"/>
              <w:spacing w:after="0"/>
              <w:rPr>
                <w:sz w:val="20"/>
                <w:szCs w:val="20"/>
                <w:color w:val="auto"/>
              </w:rPr>
            </w:pPr>
            <w:r>
              <w:rPr>
                <w:rFonts w:ascii="Arial" w:cs="Arial" w:eastAsia="Arial" w:hAnsi="Arial"/>
                <w:sz w:val="18"/>
                <w:szCs w:val="18"/>
                <w:color w:val="auto"/>
              </w:rPr>
              <w:t>36</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3"/>
              </w:rPr>
              <w:t>42%</w:t>
            </w:r>
          </w:p>
        </w:tc>
        <w:tc>
          <w:tcPr>
            <w:tcW w:w="150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w w:val="99"/>
              </w:rPr>
              <w:t>34%</w:t>
            </w: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$500 million (a)</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20</w:t>
            </w:r>
          </w:p>
        </w:tc>
        <w:tc>
          <w:tcPr>
            <w:tcW w:w="1500" w:type="dxa"/>
            <w:vAlign w:val="bottom"/>
            <w:gridSpan w:val="3"/>
          </w:tcPr>
          <w:p>
            <w:pPr>
              <w:ind w:left="112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April 7,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92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33</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922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9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versus March 31, 2013</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our M&amp;A and Other Advisory and Capital Raising businesses, increased $110 million, or 81%, and Restructuring revenue decreased $3 million, or 9%, as compared to the 2013 period.</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M&amp;A and Other Advisory revenue increased $118 million, or 98%, while Capital Raising revenue decreased by $8 million, or 58%, as compared to the 2013 period. The increase in M&amp;A and Other Advisory revenue was primarily due to an increase in the absolute number of completed transactions involving fees greater than $1 million as compared to the 2013 period, as well as in the number of those transactions generating fees significantly greater than $1 million. Our major clients, which in the aggregate represented a significant portion of our M&amp;A and Other Advisory revenue for the 2014 period, included Cadence Pharmaceuticals, The Coca-Cola Company, Fiat, Google, Leap Wireless, Royal Bank of Scotland, Singapore Power, Shire and Shapell Industries.</w:t>
      </w:r>
    </w:p>
    <w:p>
      <w:pPr>
        <w:spacing w:after="0" w:line="1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timing of which may not correspond to industry announced defaults. The decrease in Restructuring revenue in the 2014 period was generally in line with the continued industry-wide low level of corporate restructuring activity. Our major clients, which in the aggregate represented a significant portion of our restructuring revenue for the 2014 period, included A.T.U, Cengage Learning, Dubai Group, Munshaat and Savient Pharmaceuticals.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Operating expenses increased $29 million, or 13%, as compared to the 2013 period, and in the 2013 period included a $22 million charge related to the cost saving initiatives. Excluding such charge, operating expenses increased $51 million, or 26%. The primary contributors to the increase were higher compensation and benefits expense due to higher operating revenue.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Financial Advisory operating income was $30 million, an increase of $78 million as compared to operating loss of $48 million (including the impact of the $22 million charge related to the cost saving initiatives) in the 2013 period and, as a percentage of net revenue, was 10.9%, as compared to (28.8%) in the 2013 period. Excluding the impact of such charges in the 2013 period, operating income increased $57 million as compared to operating income in the 2013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4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56"/>
        </w:trPr>
        <w:tc>
          <w:tcPr>
            <w:tcW w:w="9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47,679</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47,450</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35,359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35,521</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31,232</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41,754</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39,859</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155,259</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154,062</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11,155</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28,378</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189,453</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186,924</w:t>
            </w:r>
          </w:p>
        </w:tc>
        <w:tc>
          <w:tcPr>
            <w:tcW w:w="100" w:type="dxa"/>
            <w:vAlign w:val="bottom"/>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Total AUM at March 31, 2014 was $189 billion, an increase of $3 billion, or 1%, as compared to total AUM of $187 billion at December 31, 2013, due to market and foreign exchange appreciation and net inflows. Average AUM for the three months ended March 31, 2014 was 9% higher than that for three months ended March 31, 2013.</w:t>
      </w:r>
    </w:p>
    <w:p>
      <w:pPr>
        <w:spacing w:after="0" w:line="14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As of March 31, 2014, approximately 89% of our AUM was managed on behalf of institutional clients, including corporations, labor unions, public pension funds, insurance companies and banks, and through sub-advisory relationships, mutual fund sponsors, broker-dealers and registered advisors, and approximately 11% of our AUM was managed on behalf of individual client relationships, which are principally with family offices and individuals, and was substantially unchanged from the corresponding percentages at December 31, 2013.</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March 31, 2014, AUM denominated in foreign currencies represented approximately 62% of our total AUM, as compared to 63% at December 31, 2013. Foreign denominated AUM generally declines in value with the strengthening of the U.S. Dollar and increases in value as the U.S. Dollar weakens, with all other factors held constant.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by asset class for the three months ended March 31, 2014 and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center"/>
              <w:ind w:left="199"/>
              <w:spacing w:after="0"/>
              <w:rPr>
                <w:sz w:val="20"/>
                <w:szCs w:val="20"/>
                <w:color w:val="auto"/>
              </w:rPr>
            </w:pPr>
            <w:r>
              <w:rPr>
                <w:rFonts w:ascii="Arial" w:cs="Arial" w:eastAsia="Arial" w:hAnsi="Arial"/>
                <w:sz w:val="14"/>
                <w:szCs w:val="14"/>
                <w:b w:val="1"/>
                <w:bCs w:val="1"/>
                <w:color w:val="auto"/>
                <w:w w:val="89"/>
              </w:rPr>
              <w:t>Three Months Ended March 31, 2014</w:t>
            </w: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rPr>
              <w:t>AUM</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0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Exchange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4"/>
              </w:rPr>
              <w:t>Beginning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AUM Ending</w:t>
            </w:r>
          </w:p>
        </w:tc>
        <w:tc>
          <w:tcPr>
            <w:tcW w:w="0" w:type="dxa"/>
            <w:vAlign w:val="bottom"/>
          </w:tcPr>
          <w:p>
            <w:pPr>
              <w:spacing w:after="0"/>
              <w:rPr>
                <w:sz w:val="1"/>
                <w:szCs w:val="1"/>
                <w:color w:val="auto"/>
              </w:rPr>
            </w:pPr>
          </w:p>
        </w:tc>
      </w:tr>
      <w:tr>
        <w:trPr>
          <w:trHeight w:val="16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4"/>
                <w:szCs w:val="14"/>
                <w:b w:val="1"/>
                <w:bCs w:val="1"/>
                <w:color w:val="auto"/>
                <w:w w:val="85"/>
              </w:rPr>
              <w:t>Balance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Inflows</w:t>
            </w:r>
          </w:p>
        </w:tc>
        <w:tc>
          <w:tcPr>
            <w:tcW w:w="2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Outflows</w:t>
            </w:r>
          </w:p>
        </w:tc>
        <w:tc>
          <w:tcPr>
            <w:tcW w:w="1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Net Flows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1,685</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1,059</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w:t>
            </w: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186,924</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8,840</w:t>
            </w:r>
          </w:p>
        </w:tc>
        <w:tc>
          <w:tcPr>
            <w:tcW w:w="3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(7,992)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848</w:t>
            </w:r>
          </w:p>
        </w:tc>
        <w:tc>
          <w:tcPr>
            <w:tcW w:w="3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745</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189,453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Inflows in the Equity asset class were primarily attributable to the Emerging Markets and Multi-Regional platforms, and inflows in the Fixed Income asset class were primarily attributable to the Emerging Markets platform. Outflows in the Equity asset class were primarily attributable to the Emerging Markets and Global equity platforms, and outflows in the Fixed Income asset class were primarily attributable to the Multi-Regional platform.</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2013</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Foreign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rPr>
              <w:t>AUM</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Market Value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Exchange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4"/>
              </w:rPr>
              <w:t>Beginning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Appreciation/</w:t>
            </w:r>
          </w:p>
        </w:tc>
        <w:tc>
          <w:tcPr>
            <w:tcW w:w="30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1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AUM Ending</w:t>
            </w: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4"/>
                <w:szCs w:val="14"/>
                <w:b w:val="1"/>
                <w:bCs w:val="1"/>
                <w:color w:val="auto"/>
                <w:w w:val="85"/>
              </w:rPr>
              <w:t>Balance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w w:val="95"/>
              </w:rPr>
              <w:t>Inflows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Outflows</w:t>
            </w:r>
          </w:p>
        </w:tc>
        <w:tc>
          <w:tcPr>
            <w:tcW w:w="10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Net Flows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9"/>
              </w:rPr>
              <w:t>(Depreciation)</w:t>
            </w:r>
          </w:p>
        </w:tc>
        <w:tc>
          <w:tcPr>
            <w:tcW w:w="30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(Depreciation)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138,171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(1,652)</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8,979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142,802</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817</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23,130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6,033</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167,060</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9,092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(10,087)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(995)</w:t>
            </w:r>
          </w:p>
        </w:tc>
        <w:tc>
          <w:tcPr>
            <w:tcW w:w="420" w:type="dxa"/>
            <w:vAlign w:val="bottom"/>
          </w:tcPr>
          <w:p>
            <w:pPr>
              <w:jc w:val="right"/>
              <w:ind w:right="269"/>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9,075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(3,175)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171,965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of April 25, 2014, AUM was 190.2 billion, a $0.7 billion increase since March 31, 2014, with such increase primarily due to market and foreign exchange appreciation.</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Average AUM for the three month period ended March 31, 2014 and 2013 for each significant asset class is set forth below. Average AUM generally represents the average of the monthly ending AUM balances for the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7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5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Equity</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$ 152,412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$ 141,813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22,784</w:t>
            </w: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Alternative Investments</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2,350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23"/>
        </w:trPr>
        <w:tc>
          <w:tcPr>
            <w:tcW w:w="3960" w:type="dxa"/>
            <w:vAlign w:val="bottom"/>
          </w:tcPr>
          <w:p>
            <w:pPr>
              <w:ind w:left="440"/>
              <w:spacing w:after="0"/>
              <w:rPr>
                <w:sz w:val="20"/>
                <w:szCs w:val="20"/>
                <w:color w:val="auto"/>
              </w:rPr>
            </w:pPr>
            <w:r>
              <w:rPr>
                <w:rFonts w:ascii="Arial" w:cs="Arial" w:eastAsia="Arial" w:hAnsi="Arial"/>
                <w:sz w:val="18"/>
                <w:szCs w:val="18"/>
                <w:color w:val="auto"/>
              </w:rPr>
              <w:t>Cash Management</w:t>
            </w:r>
          </w:p>
        </w:tc>
        <w:tc>
          <w:tcPr>
            <w:tcW w:w="56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Average AUM</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$ 185,602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$ 170,665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600" w:type="dxa"/>
            <w:vAlign w:val="bottom"/>
            <w:vMerge w:val="restart"/>
          </w:tcPr>
          <w:p>
            <w:pPr>
              <w:jc w:val="right"/>
              <w:ind w:right="3672"/>
              <w:spacing w:after="0"/>
              <w:rPr>
                <w:sz w:val="20"/>
                <w:szCs w:val="20"/>
                <w:color w:val="auto"/>
              </w:rPr>
            </w:pPr>
            <w:r>
              <w:rPr>
                <w:rFonts w:ascii="Arial" w:cs="Arial" w:eastAsia="Arial" w:hAnsi="Arial"/>
                <w:sz w:val="18"/>
                <w:szCs w:val="18"/>
                <w:color w:val="auto"/>
              </w:rPr>
              <w:t>58</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6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left="398"/>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3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92"/>
              <w:spacing w:after="0"/>
              <w:rPr>
                <w:sz w:val="20"/>
                <w:szCs w:val="20"/>
                <w:color w:val="auto"/>
              </w:rPr>
            </w:pPr>
            <w:r>
              <w:rPr>
                <w:rFonts w:ascii="Arial" w:cs="Arial" w:eastAsia="Arial" w:hAnsi="Arial"/>
                <w:sz w:val="18"/>
                <w:szCs w:val="18"/>
                <w:color w:val="auto"/>
                <w:w w:val="86"/>
              </w:rPr>
              <w:t>239,523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219,992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10,378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3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18,663</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w w:val="86"/>
              </w:rPr>
              <w:t>268,564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244,025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3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175,761</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155,077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92,803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88,948</w:t>
            </w: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3"/>
            <w:vMerge w:val="continue"/>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52"/>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In 2013, includes $235 associated with the implementation of the cost saving initiatives.</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92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92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9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versus March 31, 2013</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Asset Management net revenue increased $25 million, or 10%, as compared to the 2013 period. Management fees increased $20 million, or 9%, as compared to the 2013 period, reflecting a $15 billion, or 9%, increase in average AUM. Incentive fees increased $2 million, or 18%, as compared to the 2013 period, primarily due to fees related to traditional investment products. Other revenue increased $3 million, or 22%, as compared to the 2013 period, primarily due to higher transaction based commission revenue as a result of increased market activity and custody fees.</w:t>
      </w:r>
    </w:p>
    <w:p>
      <w:pPr>
        <w:spacing w:after="0" w:line="11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Operating expenses increased $21 million, or 13%, as compared to the 2013 period, primarily in (i) compensation and benefits expense related to the increase in operating revenue, (ii) mutual fund servicing fees and in outsourced services reflecting the implementation of an existing outsourcing arrangement across a broader number of accounts, as well as the increase in average AUM, and (iii) travel and other business development expenses.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Asset Management operating income was $93 million, an increase of $4 million, or 4%, as compared to operating income of $89 million (including the impact of the $0.2 million charge related to the cost saving initiatives) in the 2013 period and, as a percentage of net revenue, was 34.6%, as compared to 36.5% in the 2013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center"/>
              <w:ind w:left="358"/>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40" w:type="dxa"/>
            <w:vAlign w:val="bottom"/>
            <w:gridSpan w:val="2"/>
          </w:tcPr>
          <w:p>
            <w:pPr>
              <w:jc w:val="right"/>
              <w:ind w:right="552"/>
              <w:spacing w:after="0"/>
              <w:rPr>
                <w:sz w:val="20"/>
                <w:szCs w:val="20"/>
                <w:color w:val="auto"/>
              </w:rPr>
            </w:pPr>
            <w:r>
              <w:rPr>
                <w:rFonts w:ascii="Arial" w:cs="Arial" w:eastAsia="Arial" w:hAnsi="Arial"/>
                <w:sz w:val="18"/>
                <w:szCs w:val="18"/>
                <w:color w:val="auto"/>
                <w:w w:val="89"/>
              </w:rPr>
              <w:t>(15,952)</w:t>
            </w: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(20,151)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89"/>
              </w:rPr>
              <w:t>(14,971)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(19,434)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89"/>
              </w:rPr>
              <w:t>(10,660)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(10,584)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89"/>
              </w:rPr>
              <w:t>(15,704)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(18,905)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In 2013, includes $4,072 associated with the implementation of the cost saving initiatives.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versus March 31,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$4 million, or 23%, as compared to the 2013 period, primarily due to the refinancing of the 2015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$5 million, or 51%, as compared to the 2013 period, primarily due to decreased investment income.</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Operating expenses decreased $3 million, or 39%, as compared to the 2013 period, and included in the 2013 period charges of $4 million associated with the cost saving initiatives. Excluding the impact of such charges, operating expenses remained substantially unchanged as compared to the 2013 period.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makes cash payments for, or in respect of, a significant portion of its incentive compensation during the first three months of each calendar year with respect to the prior year’s results. In addition, during 2014 and 2013, the Company made cash payments, including severance payments, associated with the cost saving initiatives (see “Cost Saving Initiatives” above and Note 14 of Notes to Condensed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center"/>
              <w:ind w:left="315"/>
              <w:spacing w:after="0"/>
              <w:rPr>
                <w:sz w:val="20"/>
                <w:szCs w:val="20"/>
                <w:color w:val="auto"/>
              </w:rPr>
            </w:pPr>
            <w:r>
              <w:rPr>
                <w:rFonts w:ascii="Arial" w:cs="Arial" w:eastAsia="Arial" w:hAnsi="Arial"/>
                <w:sz w:val="14"/>
                <w:szCs w:val="14"/>
                <w:b w:val="1"/>
                <w:bCs w:val="1"/>
                <w:color w:val="auto"/>
                <w:w w:val="88"/>
              </w:rPr>
              <w:t>Three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960" w:type="dxa"/>
            <w:vAlign w:val="bottom"/>
            <w:vMerge w:val="restart"/>
          </w:tcPr>
          <w:p>
            <w:pPr>
              <w:ind w:left="8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 w:type="dxa"/>
            <w:vAlign w:val="bottom"/>
          </w:tcPr>
          <w:p>
            <w:pPr>
              <w:spacing w:after="0"/>
              <w:rPr>
                <w:sz w:val="19"/>
                <w:szCs w:val="19"/>
                <w:color w:val="auto"/>
              </w:rPr>
            </w:pPr>
          </w:p>
        </w:tc>
        <w:tc>
          <w:tcPr>
            <w:tcW w:w="7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(227.8)</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(174.9)</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18"/>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841.5</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0" w:type="dxa"/>
            <w:vAlign w:val="bottom"/>
            <w:tcBorders>
              <w:bottom w:val="single" w:sz="8" w:color="auto"/>
            </w:tcBorders>
          </w:tcPr>
          <w:p>
            <w:pPr>
              <w:spacing w:after="0"/>
              <w:rPr>
                <w:sz w:val="8"/>
                <w:szCs w:val="8"/>
                <w:color w:val="auto"/>
              </w:rPr>
            </w:pPr>
          </w:p>
        </w:tc>
        <w:tc>
          <w:tcPr>
            <w:tcW w:w="7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76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93.1</w:t>
            </w:r>
          </w:p>
        </w:tc>
        <w:tc>
          <w:tcPr>
            <w:tcW w:w="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units (“RSUs”), Class A common stock dividends and distributions to noncontrolling interest 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During 2013, liquidity was also impacted by cash payments, including severance payments, associated with the cost saving initiatives (see “Cost Saving Initiatives” above and Note 14 of Notes to Condensed Consolidated Financial Statements).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Lazard Group common membership interests and matters relating to liquidity and to compliance with regulatory net capital requirements. At March 31, 2014, Lazard had approximately $667 million of cash, with such amount including approximately $313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March 31, 2014, Lazard had approximately $258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$48 million (at March 31, 2014 exchange rates) and Edgewater of $55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table below sets forth our corporate indebtedness as of March 31, 2014 and December 31, 2013. The agreements with respect to this indebtedness are discussed in more detail in our condensed consolidated financial statements and related notes included elsewhere in this Form 10-Q and in our Form 10-K.</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6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5"/>
              </w:rPr>
              <w:t>March 31,</w:t>
            </w: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7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8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74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right"/>
              <w:ind w:right="2452"/>
              <w:spacing w:after="0"/>
              <w:rPr>
                <w:sz w:val="20"/>
                <w:szCs w:val="20"/>
                <w:color w:val="auto"/>
              </w:rPr>
            </w:pPr>
            <w:r>
              <w:rPr>
                <w:rFonts w:ascii="Arial" w:cs="Arial" w:eastAsia="Arial" w:hAnsi="Arial"/>
                <w:sz w:val="18"/>
                <w:szCs w:val="18"/>
                <w:color w:val="auto"/>
                <w:w w:val="87"/>
              </w:rPr>
              <w:t>Senior Debt:</w:t>
            </w:r>
          </w:p>
        </w:tc>
        <w:tc>
          <w:tcPr>
            <w:tcW w:w="3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right"/>
              <w:ind w:right="2452"/>
              <w:spacing w:after="0"/>
              <w:rPr>
                <w:sz w:val="20"/>
                <w:szCs w:val="20"/>
                <w:color w:val="auto"/>
              </w:rPr>
            </w:pPr>
            <w:r>
              <w:rPr>
                <w:rFonts w:ascii="Arial" w:cs="Arial" w:eastAsia="Arial" w:hAnsi="Arial"/>
                <w:sz w:val="18"/>
                <w:szCs w:val="18"/>
                <w:color w:val="auto"/>
              </w:rPr>
              <w:t>6.85%</w:t>
            </w:r>
          </w:p>
        </w:tc>
        <w:tc>
          <w:tcPr>
            <w:tcW w:w="3720" w:type="dxa"/>
            <w:vAlign w:val="bottom"/>
            <w:gridSpan w:val="2"/>
          </w:tcPr>
          <w:p>
            <w:pPr>
              <w:jc w:val="center"/>
              <w:ind w:left="3112"/>
              <w:spacing w:after="0"/>
              <w:rPr>
                <w:sz w:val="20"/>
                <w:szCs w:val="20"/>
                <w:color w:val="auto"/>
              </w:rPr>
            </w:pPr>
            <w:r>
              <w:rPr>
                <w:rFonts w:ascii="Arial" w:cs="Arial" w:eastAsia="Arial" w:hAnsi="Arial"/>
                <w:sz w:val="18"/>
                <w:szCs w:val="18"/>
                <w:color w:val="auto"/>
                <w:w w:val="89"/>
              </w:rPr>
              <w:t>2017</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  548.4</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548.4</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jc w:val="right"/>
              <w:ind w:right="2452"/>
              <w:spacing w:after="0"/>
              <w:rPr>
                <w:sz w:val="20"/>
                <w:szCs w:val="20"/>
                <w:color w:val="auto"/>
              </w:rPr>
            </w:pPr>
            <w:r>
              <w:rPr>
                <w:rFonts w:ascii="Arial" w:cs="Arial" w:eastAsia="Arial" w:hAnsi="Arial"/>
                <w:sz w:val="18"/>
                <w:szCs w:val="18"/>
                <w:color w:val="auto"/>
              </w:rPr>
              <w:t>4.25%</w:t>
            </w:r>
          </w:p>
        </w:tc>
        <w:tc>
          <w:tcPr>
            <w:tcW w:w="3720" w:type="dxa"/>
            <w:vAlign w:val="bottom"/>
            <w:gridSpan w:val="2"/>
            <w:shd w:val="clear" w:color="auto" w:fill="CCEEFF"/>
          </w:tcPr>
          <w:p>
            <w:pPr>
              <w:jc w:val="center"/>
              <w:ind w:left="3112"/>
              <w:spacing w:after="0"/>
              <w:rPr>
                <w:sz w:val="20"/>
                <w:szCs w:val="20"/>
                <w:color w:val="auto"/>
              </w:rPr>
            </w:pPr>
            <w:r>
              <w:rPr>
                <w:rFonts w:ascii="Arial" w:cs="Arial" w:eastAsia="Arial" w:hAnsi="Arial"/>
                <w:sz w:val="18"/>
                <w:szCs w:val="18"/>
                <w:color w:val="auto"/>
                <w:w w:val="89"/>
              </w:rPr>
              <w:t>2020</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vMerge w:val="restart"/>
          </w:tcPr>
          <w:p>
            <w:pPr>
              <w:jc w:val="right"/>
              <w:ind w:right="2092"/>
              <w:spacing w:after="0"/>
              <w:rPr>
                <w:sz w:val="20"/>
                <w:szCs w:val="20"/>
                <w:color w:val="auto"/>
              </w:rPr>
            </w:pPr>
            <w:r>
              <w:rPr>
                <w:rFonts w:ascii="Arial" w:cs="Arial" w:eastAsia="Arial" w:hAnsi="Arial"/>
                <w:sz w:val="18"/>
                <w:szCs w:val="18"/>
                <w:color w:val="auto"/>
                <w:w w:val="88"/>
              </w:rPr>
              <w:t>Total Senior Debt</w:t>
            </w:r>
          </w:p>
        </w:tc>
        <w:tc>
          <w:tcPr>
            <w:tcW w:w="3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40" w:type="dxa"/>
            <w:vAlign w:val="bottom"/>
            <w:vMerge w:val="continue"/>
          </w:tcPr>
          <w:p>
            <w:pPr>
              <w:spacing w:after="0"/>
              <w:rPr>
                <w:sz w:val="19"/>
                <w:szCs w:val="19"/>
                <w:color w:val="auto"/>
              </w:rPr>
            </w:pPr>
          </w:p>
        </w:tc>
        <w:tc>
          <w:tcPr>
            <w:tcW w:w="3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1,048.4</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1,048.4</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200" w:type="dxa"/>
            <w:vAlign w:val="bottom"/>
            <w:vMerge w:val="restart"/>
          </w:tcPr>
          <w:p>
            <w:pPr>
              <w:jc w:val="right"/>
              <w:ind w:right="752"/>
              <w:spacing w:after="0"/>
              <w:rPr>
                <w:sz w:val="20"/>
                <w:szCs w:val="20"/>
                <w:color w:val="auto"/>
              </w:rPr>
            </w:pPr>
            <w:r>
              <w:rPr>
                <w:rFonts w:ascii="Arial" w:cs="Arial" w:eastAsia="Arial" w:hAnsi="Arial"/>
                <w:sz w:val="18"/>
                <w:szCs w:val="18"/>
                <w:color w:val="auto"/>
              </w:rPr>
              <w:t>62</w:t>
            </w: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fourth quarter of 2013, the Company completed a refinancing of the 2015 Notes by issuing a tender and redemption notice for the 2015 Notes and issuing $500 million of 4.25% senior notes maturing in 2020 (the “2020 Notes”).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due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March 31, 2014, Lazard Group was in compliance with such ratios, with its Consolidated Leverage Ratio being 1.50 to 1.00 and its Consolidated Interest Coverage Ratio being 10.85 to 1.00. In any event, no amounts were outstanding under the Credit Facility as of March 31, 2014.</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March 31, 2014,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and subordinated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At March 31, 2014, total stockholders’ equity was $556 million, as compared to $630 million at December 31, 2013, including $486 million and $560 million attributable to Lazard Ltd on the respective dates. The net activity in stockholders’ equity during the three month period ended March 31, 2014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Equity—January 1, 2014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$ 630</w:t>
            </w:r>
          </w:p>
        </w:tc>
        <w:tc>
          <w:tcPr>
            <w:tcW w:w="100" w:type="dxa"/>
            <w:vAlign w:val="bottom"/>
            <w:shd w:val="clear" w:color="auto" w:fill="CCEEFF"/>
          </w:tcPr>
          <w:p>
            <w:pPr>
              <w:spacing w:after="0"/>
              <w:rPr>
                <w:sz w:val="18"/>
                <w:szCs w:val="18"/>
                <w:color w:val="auto"/>
              </w:rPr>
            </w:pPr>
          </w:p>
        </w:tc>
      </w:tr>
      <w:tr>
        <w:trPr>
          <w:trHeight w:val="283"/>
        </w:trPr>
        <w:tc>
          <w:tcPr>
            <w:tcW w:w="998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Other comprehensive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Purchase of Class A common stock</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of share-based incentive compensation, net of related tax benefit of $2 (a)</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Class A common stock dividends</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Distributions to noncontrolling interests, net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22"/>
        </w:trPr>
        <w:tc>
          <w:tcPr>
            <w:tcW w:w="9980" w:type="dxa"/>
            <w:vAlign w:val="bottom"/>
          </w:tcPr>
          <w:p>
            <w:pPr>
              <w:spacing w:after="0"/>
              <w:rPr>
                <w:sz w:val="20"/>
                <w:szCs w:val="20"/>
                <w:color w:val="auto"/>
              </w:rPr>
            </w:pPr>
            <w:r>
              <w:rPr>
                <w:rFonts w:ascii="Arial" w:cs="Arial" w:eastAsia="Arial" w:hAnsi="Arial"/>
                <w:sz w:val="18"/>
                <w:szCs w:val="18"/>
                <w:color w:val="auto"/>
              </w:rPr>
              <w:t>Stockholders’ Equity—March 31, 2014</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$ 556</w:t>
            </w:r>
          </w:p>
        </w:tc>
        <w:tc>
          <w:tcPr>
            <w:tcW w:w="10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tax withholding portion of share-based compensation is settled in cash, not shares.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of Lazard Ltd has issued a series of authorizations to repurchase Class A common stock and Lazard Group common membership interests, which help offset the dilutive effect of our share-based incentive compensation plans. During a given year the Company intends to repurchase at least as many shares as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it expects to ultimately issue pursuant to such compensation plans in respect of year-end incentive compensation attributable to the prior year</w:t>
      </w:r>
      <w:r>
        <w:rPr>
          <w:rFonts w:ascii="Arial" w:cs="Arial" w:eastAsia="Arial" w:hAnsi="Arial"/>
          <w:sz w:val="18"/>
          <w:szCs w:val="18"/>
          <w:i w:val="1"/>
          <w:iCs w:val="1"/>
          <w:color w:val="auto"/>
        </w:rPr>
        <w:t>.</w:t>
      </w:r>
      <w:r>
        <w:rPr>
          <w:rFonts w:ascii="Arial" w:cs="Arial" w:eastAsia="Arial" w:hAnsi="Arial"/>
          <w:sz w:val="18"/>
          <w:szCs w:val="18"/>
          <w:color w:val="auto"/>
        </w:rPr>
        <w:t xml:space="preserve"> The rate at which the Company purchases shares in connection with this annual objective may vary from quarter to quarter due to a variety of factors. Purchases with respect to such program are set forth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10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Membership</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 Purchased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129"/>
        </w:trPr>
        <w:tc>
          <w:tcPr>
            <w:tcW w:w="20" w:type="dxa"/>
            <w:vAlign w:val="bottom"/>
          </w:tcPr>
          <w:p>
            <w:pPr>
              <w:spacing w:after="0"/>
              <w:rPr>
                <w:sz w:val="11"/>
                <w:szCs w:val="11"/>
                <w:color w:val="auto"/>
              </w:rPr>
            </w:pPr>
          </w:p>
        </w:tc>
        <w:tc>
          <w:tcPr>
            <w:tcW w:w="198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4"/>
              </w:rPr>
              <w:t>Three Months Ended March 31:</w:t>
            </w:r>
          </w:p>
        </w:tc>
        <w:tc>
          <w:tcPr>
            <w:tcW w:w="6240" w:type="dxa"/>
            <w:vAlign w:val="bottom"/>
            <w:tcBorders>
              <w:top w:val="single" w:sz="8" w:color="CCEEFF"/>
              <w:bottom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2013</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831,157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2,392,674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March 31, 2014, a total of $15 million of share repurchase authorization remained available under the Company’s share repurchase program, which will expire on December 31, 2015.</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During the three months ended March 31, 2014, the Company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April 2014, the Board of Directors of Lazard Ltd authorized the repurchase of up to an additional $200 million in aggregate cost of Class A common stock and Lazard Group common membership interests through December 31, 2015.</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See Note 11 and 12 of Notes to Condensed Consolidated Financial Statements for additional information regarding Lazard’s stockholders’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1-3 Years</w:t>
            </w:r>
          </w:p>
        </w:tc>
        <w:tc>
          <w:tcPr>
            <w:tcW w:w="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$ 1,328,567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58,812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$ 117,624</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$ 609,631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542,500</w:t>
            </w: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Operating Leases (exclusive of $160,666 of sublease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1,004,117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84,948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151,364</w:t>
            </w:r>
          </w:p>
        </w:tc>
        <w:tc>
          <w:tcPr>
            <w:tcW w:w="16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132,936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634,869</w:t>
            </w: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17,362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1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27,156</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27,156</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$ 2,377,202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$ 174,133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$ 274,287</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$ 751,413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1,177,369</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 These amounts are generally due on demand and therefore are presented in the “less than 1 year” category.</w:t>
      </w:r>
    </w:p>
    <w:p>
      <w:pPr>
        <w:ind w:left="460" w:right="40" w:hanging="452"/>
        <w:spacing w:after="0" w:line="25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table above excludes contingent obligations, as well as any possible payments for uncertain tax positions and payments pursuant to the Company’s tax receivable agreement, given the inability to estimate the possible amounts and timing of any such payments. See Notes 10, 12, 13 and 15 of Notes to Condensed Consolidated Financial Statements regarding information in connection with commitments, incentive plans, employee benefit plans and income taxes,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condensed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judgements regarding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each of their respective jurisdictions. In addition to estimating actual current tax liability for these jurisdictions, we also must account for the tax effects of differences between the financial reporting and tax reporting of items, such as deferred revenue, compensation and benefits expense, unrealized gains or losses on investments and depreciation and amortization, as well as intercompany transactions such as revenue sharing, dividends and interest expense. Differences that are temporary in nature result in deferred tax assets and liabilities. Significant judgment is required in determining our provision for income taxes, our deferred tax assets and liabilities as discussed below, any valuation allowance recorded against our deferred tax assets and our unrecognized tax benefits.</w:t>
      </w:r>
    </w:p>
    <w:p>
      <w:pPr>
        <w:spacing w:after="0" w:line="12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A deferred tax asset is recognized if it is more likely than not (defined as a likelihood of greater than 50%) that a tax benefit will be accepted by a taxing authority. The measurement of deferred tax assets and liabilities is based upon currently enacted tax rates in the applicable jurisdictions. At December 31, 2013, on a consolidated basis, we recorded gross deferred tax assets of approximately $1.40 billion.</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In order to determine whether we apply a valuation allowance, we must assess whether it is more likely than not that such asset will be realized, taking into account all available information. The ultimate realization of a deferred tax asset for a particular entity depends, among other things, on the generation of taxable income by such entity in the applicable jurisdiction. Although we have been profitable on a consolidated basis for the three year periods ended December 31, 2013 and March 31, 2014, certain of our tax-paying entities have individually experienced minimal profits on a cumulative basis during such years and losses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2012, primarily due to permanent differences between net income and taxable income at such entities. Considering the recent operating results of such entities and the other factors listed below, we recorded a valuation allowance of approximately $1.23 billion on our deferred tax assets as of December 31, 2013 and have not changed our assessment regarding the level of valuation allowance as of March 31, 2014.</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212"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nature, frequency and magnitude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significant evidence and will generally outweigh a projection of future taxable income.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mentioned previously, certain of our tax-paying entities have individually experienced minimal profits on a cumulative basis over the past several years and losses in 2012. Taking into account all available information, we cannot determine that it is more likely than not that deferred tax assets will be realized. If the cumulative positive information outweighs the negative, including among other matters the achievement by the relevant tax-paying entities of sustainable levels of profitability, the evaluation of the realizability of the deferred tax assets could change and a significant amount of the valuation allowance could be released in whole or in part. This could occur at some point or points over the next few years, including as early as the end of 2014. If any significant valuation allowance reduction were to occur, we would likely have a negative effective tax rate in the period in which such reduction occurs. Included in our deferred tax assets as of December 31, 2013 are approximately $652 million related to certain basis step-ups and approximately $257 million of net operating losses generated by the amortization of such step-up assets, all of which are subject to the tax receivable agreement. Under the tax receivable agreement, Lazard Group will retain 15% of the actual cash tax savings relating to such assets and will pay 85% of such savings to the owners of Lazard prior to the separation. As a result, in the event of a reduction of our valuation allowance, we also would recognize a liability relating to the portion expected to be payable under the tax receivable agreement. The creation of this liability could potentially offset a significant amount (but not all) of the income we would otherwise recognize upon a release of the valuation allowance.</w:t>
      </w:r>
    </w:p>
    <w:p>
      <w:pPr>
        <w:spacing w:after="0" w:line="124"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If any valuation allowance reduction were to occur, for subsequent periods, our effective tax rate, with all other factors being held constant, would increase and could be significantly higher than our effective tax rate in the period immediately preceding the reduction in the valuation allowance. In such a situation, with all other factors being held constant, an increase in our effective tax rate as a result of a reduction in the valuation allowance would not impact the amount of cash income taxes we would pay to taxing authorities in those subsequent periods.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1A, “Risk Factors” and see Note 17 of Notes to Consolidated Financial Statements in our Form 10-K for additional information related to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Investments consist primarily of debt and equity securities, interests in alternative investment, debt, equity and private equity funds and investments accounted for under the equity method of accounting.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investments, with the exception of equity method investments,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and therefore subject Lazard to market and credit risk.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580" w:type="dxa"/>
            <w:vAlign w:val="bottom"/>
            <w:gridSpan w:val="4"/>
          </w:tcPr>
          <w:p>
            <w:pPr>
              <w:ind w:left="6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18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60" w:type="dxa"/>
            <w:vAlign w:val="bottom"/>
            <w:tcBorders>
              <w:top w:val="single" w:sz="8" w:color="auto"/>
            </w:tcBorders>
            <w:gridSpan w:val="3"/>
          </w:tcPr>
          <w:p>
            <w:pPr>
              <w:ind w:left="62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$103,850</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118,535</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19,893</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25,231</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1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27,673</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151,416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173,686</w:t>
            </w:r>
          </w:p>
        </w:tc>
        <w:tc>
          <w:tcPr>
            <w:tcW w:w="100" w:type="dxa"/>
            <w:vAlign w:val="bottom"/>
            <w:shd w:val="clear" w:color="auto" w:fill="CCEEFF"/>
          </w:tcPr>
          <w:p>
            <w:pPr>
              <w:spacing w:after="0"/>
              <w:rPr>
                <w:sz w:val="18"/>
                <w:szCs w:val="18"/>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1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106,251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104,405</w:t>
            </w:r>
          </w:p>
        </w:tc>
        <w:tc>
          <w:tcPr>
            <w:tcW w:w="10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Short-term investments and other</w:t>
            </w:r>
          </w:p>
        </w:tc>
        <w:tc>
          <w:tcPr>
            <w:tcW w:w="15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11,711</w:t>
            </w: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investments owned</w:t>
            </w:r>
          </w:p>
        </w:tc>
        <w:tc>
          <w:tcPr>
            <w:tcW w:w="15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117,962</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116,049</w:t>
            </w:r>
          </w:p>
        </w:tc>
        <w:tc>
          <w:tcPr>
            <w:tcW w:w="100" w:type="dxa"/>
            <w:vAlign w:val="bottom"/>
            <w:shd w:val="clear" w:color="auto" w:fill="CCEEFF"/>
          </w:tcPr>
          <w:p>
            <w:pPr>
              <w:spacing w:after="0"/>
              <w:rPr>
                <w:sz w:val="18"/>
                <w:szCs w:val="18"/>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269,378</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289,735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15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method (c)</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8,552</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9,488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consolidated, not owned (d)</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Lazard Fund Interests (e)</w:t>
            </w:r>
          </w:p>
        </w:tc>
        <w:tc>
          <w:tcPr>
            <w:tcW w:w="1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130,079</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169,095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417,295</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478,105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March 31, 2014 and December 31, 2013, seed investments in directly owned equity securities were invested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5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9"/>
              </w:rPr>
              <w:t>March 31,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80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196"/>
        </w:trPr>
        <w:tc>
          <w:tcPr>
            <w:tcW w:w="80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00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80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15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r>
      <w:tr>
        <w:trPr>
          <w:trHeight w:val="216"/>
        </w:trPr>
        <w:tc>
          <w:tcPr>
            <w:tcW w:w="800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1500" w:type="dxa"/>
            <w:vAlign w:val="bottom"/>
            <w:gridSpan w:val="2"/>
          </w:tcPr>
          <w:p>
            <w:pPr>
              <w:jc w:val="right"/>
              <w:ind w:right="900"/>
              <w:spacing w:after="0"/>
              <w:rPr>
                <w:sz w:val="20"/>
                <w:szCs w:val="20"/>
                <w:color w:val="auto"/>
              </w:rPr>
            </w:pPr>
            <w:r>
              <w:rPr>
                <w:rFonts w:ascii="Arial" w:cs="Arial" w:eastAsia="Arial" w:hAnsi="Arial"/>
                <w:sz w:val="18"/>
                <w:szCs w:val="18"/>
                <w:color w:val="auto"/>
              </w:rPr>
              <w:t>12</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r>
      <w:tr>
        <w:trPr>
          <w:trHeight w:val="216"/>
        </w:trPr>
        <w:tc>
          <w:tcPr>
            <w:tcW w:w="80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Technology</w:t>
            </w:r>
          </w:p>
        </w:tc>
        <w:tc>
          <w:tcPr>
            <w:tcW w:w="15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8000" w:type="dxa"/>
            <w:vAlign w:val="bottom"/>
          </w:tcPr>
          <w:p>
            <w:pPr>
              <w:ind w:left="1480"/>
              <w:spacing w:after="0"/>
              <w:rPr>
                <w:sz w:val="20"/>
                <w:szCs w:val="20"/>
                <w:color w:val="auto"/>
              </w:rPr>
            </w:pPr>
            <w:r>
              <w:rPr>
                <w:rFonts w:ascii="Arial" w:cs="Arial" w:eastAsia="Arial" w:hAnsi="Arial"/>
                <w:sz w:val="18"/>
                <w:szCs w:val="18"/>
                <w:color w:val="auto"/>
              </w:rPr>
              <w:t>Energy</w:t>
            </w:r>
          </w:p>
        </w:tc>
        <w:tc>
          <w:tcPr>
            <w:tcW w:w="1500" w:type="dxa"/>
            <w:vAlign w:val="bottom"/>
            <w:gridSpan w:val="2"/>
          </w:tcPr>
          <w:p>
            <w:pPr>
              <w:jc w:val="right"/>
              <w:ind w:right="900"/>
              <w:spacing w:after="0"/>
              <w:rPr>
                <w:sz w:val="20"/>
                <w:szCs w:val="20"/>
                <w:color w:val="auto"/>
              </w:rPr>
            </w:pPr>
            <w:r>
              <w:rPr>
                <w:rFonts w:ascii="Arial" w:cs="Arial" w:eastAsia="Arial" w:hAnsi="Arial"/>
                <w:sz w:val="18"/>
                <w:szCs w:val="18"/>
                <w:color w:val="auto"/>
              </w:rPr>
              <w:t>7</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r>
      <w:tr>
        <w:trPr>
          <w:trHeight w:val="216"/>
        </w:trPr>
        <w:tc>
          <w:tcPr>
            <w:tcW w:w="80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8000" w:type="dxa"/>
            <w:vAlign w:val="bottom"/>
          </w:tcPr>
          <w:p>
            <w:pPr>
              <w:ind w:left="1900"/>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0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460" w:hanging="452"/>
        <w:spacing w:after="0" w:line="332"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$20 million and $18 million as of March 31, 2014 and December 31, 2013, respectively.</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0"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59"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Composed of investments held in connection with Lazard Fund Interests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w:t>
      </w:r>
      <w:r>
        <w:rPr>
          <w:rFonts w:ascii="Arial" w:cs="Arial" w:eastAsia="Arial" w:hAnsi="Arial"/>
          <w:sz w:val="18"/>
          <w:szCs w:val="18"/>
          <w:color w:val="auto"/>
        </w:rPr>
        <w:t>” for risk management information relating to derivatives.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March 31, 2014 and December 31, 2013, $117 million and $116 million, respectively, of our total investments at a fair value of $408 and $468 million, respectively, or 29% and 25%, respectively, were classified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as Level 3 investments. Substantially all of our Level 3 investments at both dates are priced based on NAV. During the three months ended March 31, 2014 and 2013, gains of approximately $6 million and $1 million, respectively, were recognized in “revenue-other” on the consolidated statement of operations pertaining to Level 3 investments. See Notes 4 and 5 of Notes to Condensed Consolidated Financial Statements for additional information regarding investments measured at fair value, including the levels of fair value within which such measurements of fair value fall.</w:t>
      </w:r>
    </w:p>
    <w:p>
      <w:pPr>
        <w:spacing w:after="0" w:line="11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As of March 31, 2014 and December 31, 2013, the Company held seed investments of approximately $151 million and $174 million, respectively. Seed investments held in entities in which the Company maintained a controlling interest were $46 million in six entities as of March 31, 2014, as compared to $58 million in nine entities as of December 31, 2013.</w:t>
      </w:r>
    </w:p>
    <w:p>
      <w:pPr>
        <w:spacing w:after="0" w:line="140"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As of March 31, 2014 and December 31, 2013, the Company did not consolidate or deconsolidate any seed investment entities. As such, 100% of the recorded balance of seed investments as of March 31, 2014 and December 31, 2013 represented the Company’s economic interest in the seed investments. See “—Consolidation of Variable Interest Entities” below for more information on the Company’s policy regarding the consolidation of seed investment entities.</w:t>
      </w:r>
    </w:p>
    <w:p>
      <w:pPr>
        <w:spacing w:after="0" w:line="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 in our Form 10-K.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During the fourth quarter of 2013, the Company changed the date of its annual impairment testing from December 31 to November 1. See Note 8 of Notes to Condensed Consolidated Financial Statements for additional information regarding goodwill.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140" w:hanging="325"/>
        <w:spacing w:after="0" w:line="298"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31"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0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Lazard makes seed investments in certain entities that are considered VOEs and often require consolidation as a result of our investment. The impact of seed investment entities that require consolidation on the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w:t>
      </w:r>
      <w:r>
        <w:rPr>
          <w:rFonts w:ascii="Arial" w:cs="Arial" w:eastAsia="Arial" w:hAnsi="Arial"/>
          <w:sz w:val="15"/>
          <w:szCs w:val="15"/>
          <w:i w:val="1"/>
          <w:iCs w:val="1"/>
          <w:color w:val="auto"/>
        </w:rPr>
        <w:t>Investments</w:t>
      </w:r>
      <w:r>
        <w:rPr>
          <w:rFonts w:ascii="Arial" w:cs="Arial" w:eastAsia="Arial" w:hAnsi="Arial"/>
          <w:sz w:val="15"/>
          <w:szCs w:val="15"/>
          <w:color w:val="auto"/>
        </w:rPr>
        <w:t>” above for more information regarding our investments.</w:t>
      </w:r>
    </w:p>
    <w:p>
      <w:pPr>
        <w:spacing w:after="0" w:line="98"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Lazard Fund Interests and other similar deferred compensation arrangements. The Company measures its net economic exposure to market and other risks arising from investments that it owns, excluding (i) investments held in connection with Lazard Fund Interests and other similar deferred compensation arrangements and (ii) investments in funds owned entirely by the noncontrolling interest holders of certain acquired entities.</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Equity Market Price Risk—As of March 31, 2014 and December 31, 2013, the Company’s exposure to equity market price risk in its investment portfolio, which primarily relates to investments in equity securities, equity funds and hedge funds, was approximately $117 million and $134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$1.0 million and $1.7 million in the carrying value of such investments as of March 31, 2014 and December 31, 2013, respectively, including the effect of the hedging transactions.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Interest Rate/Credit Spread Risk—As of March 31, 2014 and December 31, 2013, the Company’s exposure to interest rate and credit spread risk in its investment portfolio related to investments in debt securities or funds which invest primarily in debt securities was $44 million and $48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$0.7 million and $0.9 million in the carrying value of such investments as of March 31, 2014 and December 31, 2013, respectively, including the effect of the hedging transactions.</w:t>
      </w:r>
    </w:p>
    <w:p>
      <w:pPr>
        <w:spacing w:after="0" w:line="116" w:lineRule="exact"/>
        <w:rPr>
          <w:sz w:val="20"/>
          <w:szCs w:val="20"/>
          <w:color w:val="auto"/>
        </w:rPr>
      </w:pPr>
    </w:p>
    <w:p>
      <w:pPr>
        <w:jc w:val="both"/>
        <w:ind w:right="320" w:firstLine="456"/>
        <w:spacing w:after="0" w:line="294" w:lineRule="auto"/>
        <w:rPr>
          <w:sz w:val="20"/>
          <w:szCs w:val="20"/>
          <w:color w:val="auto"/>
        </w:rPr>
      </w:pPr>
      <w:r>
        <w:rPr>
          <w:rFonts w:ascii="Arial" w:cs="Arial" w:eastAsia="Arial" w:hAnsi="Arial"/>
          <w:sz w:val="16"/>
          <w:szCs w:val="16"/>
          <w:color w:val="auto"/>
        </w:rPr>
        <w:t>Foreign Exchange Rate Risk—As of March 31, 2014 and December 31, 2013, the Company’s exposure to foreign exchange rate risk in its investment portfolio, which primarily relates to investments in foreign currency denominated equity and debt securities, was $71 million and $85 million, respectively. A significant portion of the Company’s foreign currency exposure is hedged through the aforementioned total return swaps. The Company estimates that a 10% adverse change in foreign exchange rates versus US dollars would result in a decrease of approximately $0.3 million and $1.4 million in the carrying value of such investments as of March 31, 2014 and December 31, 2013, respectively, including the effect of the hedging transactions.</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As of March 31, 2014 and December 31, 2013, the Company’s exposure to changes in the fair value of such investments was approximately $106 million and $104 million, respectively. The Company estimates that a hypothetical 10% adverse change in fair value would result in a decrease of approximately $10.6 million and $10.4 million in the carrying value of such investments as of March 31, 2014 and December 31, 2013,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March 31, 2014, total receivables amounted to $523 million, net of an allowance for doubtful accounts of $31 million. As of that date, Financial Advisory and Asset Management fees, and customer and related party receivables comprised 77%, 22% and 1% of total receivables, respectively. At December 31, 2013, total receivables amounted to $513 million, net of an allowance for doubtful accounts of $29 million. As of that date, Financial Advisory and Asset Management fees, and customer and related party receivables comprised 88%, 10% and 2% of total receivables, respectively. At March 31, 2014 and December 31, 2013, the Company had receivables past due or deemed uncollectible of approximately $36 million and $39 million, respectively. See also “Critical Accounting Policies and Estimates—Revenue Recognition” above and Note 3 of Notes to Condensed Consolidated Financial Statements for additional information regarding receivables.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March 31, 2014 and December 31, 2013, customer receivables included $22 million and $15 million of LFB loans, respectively. Such loans are closely monitored for counterparty creditworthiness to help minimize exposure. In addition, as of March 31, 2014, LFB’s commitments to lend, which are fully collateralized and generally contain requirements for the counterparty to maintain a minimum collateral level, were not significant.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As of March 31, 2014, the Company’s largest individual counterparty exposure was a Financial Advisory fee receivable of $12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enters into interest rate swaps and forward foreign currency exchange contracts to hedge exposures to interest rates and currency exchange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$0.3 million and $1 million at March 31, 2014 and December 31, 2013, respectively, and derivative liabilities, excluding the derivative liability arising from the Company’s obligation pertaining to Lazard Fund Interests and other similar deferred compensation arrangements, amounted to $6 million and $2 million at such respective dates.</w:t>
      </w:r>
    </w:p>
    <w:p>
      <w:pPr>
        <w:spacing w:after="0" w:line="1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Company also records derivative liabilities relating to its obligations pertaining to Lazard Fund Interests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Lazard Fund Interests awards. Derivative liabilities relating to Lazard Fund Interests amounted to $213 million and $162 million at March 31, 2014 and December 31, 2013, respectively.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currency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March 31, 2014, we do not believe that the impact of potential significant movements in either the currency or interest rate markets on LFB’s positions would materially affect the Company’s annual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Short-Term Investments and Corporate Indebtedness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short-term investments generally have floating interest rates. Based on account balances as of March 31, 2014, Lazard estimates that its annual operating income relating to cash and short-term investments and corporate indebtedness would increase by approximately $7 million in the event interest rates were to increase by 1% and decrease by approximately $1 million if rates were to decrease by 1%.</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March 31, 2014, the Company’s cash and cash equivalents totaled approximately $667 million. Substantially all of the Company’s cash and cash equivalents were invested in highly liquid institutional money market funds (a significant majority of which were invested solely in U.S. Government or agency money market funds), in short-term interest earning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459" w:right="3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20"/>
          </w:cols>
          <w:pgMar w:left="24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first quarter of 2014.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Total Number</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of Shares</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w:t>
            </w: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Price</w:t>
            </w: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Paid</w:t>
            </w: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Announced</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Yet Be Purchased</w:t>
            </w:r>
          </w:p>
        </w:tc>
        <w:tc>
          <w:tcPr>
            <w:tcW w:w="0" w:type="dxa"/>
            <w:vAlign w:val="bottom"/>
          </w:tcPr>
          <w:p>
            <w:pPr>
              <w:spacing w:after="0"/>
              <w:rPr>
                <w:sz w:val="1"/>
                <w:szCs w:val="1"/>
                <w:color w:val="auto"/>
              </w:rPr>
            </w:pPr>
          </w:p>
        </w:tc>
      </w:tr>
      <w:tr>
        <w:trPr>
          <w:trHeight w:val="149"/>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Per</w:t>
            </w: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Plans or</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48"/>
        </w:trPr>
        <w:tc>
          <w:tcPr>
            <w:tcW w:w="5320" w:type="dxa"/>
            <w:vAlign w:val="bottom"/>
            <w:gridSpan w:val="3"/>
            <w:vMerge w:val="continue"/>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600" w:type="dxa"/>
            <w:vAlign w:val="bottom"/>
          </w:tcPr>
          <w:p>
            <w:pPr>
              <w:spacing w:after="0"/>
              <w:rPr>
                <w:sz w:val="12"/>
                <w:szCs w:val="12"/>
                <w:color w:val="auto"/>
              </w:rPr>
            </w:pPr>
          </w:p>
        </w:tc>
        <w:tc>
          <w:tcPr>
            <w:tcW w:w="1100" w:type="dxa"/>
            <w:vAlign w:val="bottom"/>
            <w:gridSpan w:val="3"/>
          </w:tcPr>
          <w:p>
            <w:pPr>
              <w:jc w:val="center"/>
              <w:ind w:right="600"/>
              <w:spacing w:after="0" w:line="148" w:lineRule="exact"/>
              <w:rPr>
                <w:sz w:val="20"/>
                <w:szCs w:val="20"/>
                <w:color w:val="auto"/>
              </w:rPr>
            </w:pPr>
            <w:r>
              <w:rPr>
                <w:rFonts w:ascii="Arial" w:cs="Arial" w:eastAsia="Arial" w:hAnsi="Arial"/>
                <w:sz w:val="14"/>
                <w:szCs w:val="14"/>
                <w:b w:val="1"/>
                <w:bCs w:val="1"/>
                <w:color w:val="auto"/>
                <w:w w:val="87"/>
              </w:rPr>
              <w:t>Share</w:t>
            </w:r>
          </w:p>
        </w:tc>
        <w:tc>
          <w:tcPr>
            <w:tcW w:w="154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5"/>
              </w:rPr>
              <w:t>Programs</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January 1 – January 31, 2014</w:t>
            </w: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1,084,086</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44.97</w:t>
            </w:r>
          </w:p>
        </w:tc>
        <w:tc>
          <w:tcPr>
            <w:tcW w:w="60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1,084,086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72.8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February 1 – February 28, 2014</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913,488</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43.97</w:t>
            </w:r>
          </w:p>
        </w:tc>
        <w:tc>
          <w:tcPr>
            <w:tcW w:w="6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913,488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32.7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1,860,011</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43.78</w:t>
            </w:r>
          </w:p>
        </w:tc>
        <w:tc>
          <w:tcPr>
            <w:tcW w:w="600" w:type="dxa"/>
            <w:vAlign w:val="bottom"/>
          </w:tcPr>
          <w:p>
            <w:pPr>
              <w:spacing w:after="0"/>
              <w:rPr>
                <w:sz w:val="19"/>
                <w:szCs w:val="19"/>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March 1 – March 31, 2014</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760" w:type="dxa"/>
            <w:vAlign w:val="bottom"/>
          </w:tcPr>
          <w:p>
            <w:pPr>
              <w:jc w:val="right"/>
              <w:spacing w:after="0"/>
              <w:rPr>
                <w:sz w:val="20"/>
                <w:szCs w:val="20"/>
                <w:color w:val="auto"/>
              </w:rPr>
            </w:pPr>
            <w:r>
              <w:rPr>
                <w:rFonts w:ascii="Arial" w:cs="Arial" w:eastAsia="Arial" w:hAnsi="Arial"/>
                <w:sz w:val="18"/>
                <w:szCs w:val="18"/>
                <w:color w:val="auto"/>
              </w:rPr>
              <w:t>395,100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45.61</w:t>
            </w:r>
          </w:p>
        </w:tc>
        <w:tc>
          <w:tcPr>
            <w:tcW w:w="60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395,100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14.7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13,377</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45.28</w:t>
            </w:r>
          </w:p>
        </w:tc>
        <w:tc>
          <w:tcPr>
            <w:tcW w:w="6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2,392,674</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44.69</w:t>
            </w:r>
          </w:p>
        </w:tc>
        <w:tc>
          <w:tcPr>
            <w:tcW w:w="6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2,392,674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14.7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1,873,388</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43.79</w:t>
            </w:r>
          </w:p>
        </w:tc>
        <w:tc>
          <w:tcPr>
            <w:tcW w:w="600" w:type="dxa"/>
            <w:vAlign w:val="bottom"/>
          </w:tcPr>
          <w:p>
            <w:pPr>
              <w:spacing w:after="0"/>
              <w:rPr>
                <w:sz w:val="19"/>
                <w:szCs w:val="19"/>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40" w:hanging="452"/>
        <w:spacing w:after="0" w:line="305" w:lineRule="auto"/>
        <w:tabs>
          <w:tab w:leader="none" w:pos="4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As disclosed in more detail in Note 11 of Notes to Condensed Consolidated Financial Statements, in February 2011, October 2011, April 2012, October 2012 and October 2013, the Board of Directors authorized, on a cumulative basis, the repurchase of up to an additional $250 million, $125 million,</w:t>
      </w:r>
    </w:p>
    <w:p>
      <w:pPr>
        <w:ind w:left="460"/>
        <w:spacing w:after="0" w:line="255" w:lineRule="auto"/>
        <w:rPr>
          <w:rFonts w:ascii="Arial" w:cs="Arial" w:eastAsia="Arial" w:hAnsi="Arial"/>
          <w:sz w:val="15"/>
          <w:szCs w:val="15"/>
          <w:color w:val="auto"/>
        </w:rPr>
      </w:pPr>
      <w:r>
        <w:rPr>
          <w:rFonts w:ascii="Arial" w:cs="Arial" w:eastAsia="Arial" w:hAnsi="Arial"/>
          <w:sz w:val="18"/>
          <w:szCs w:val="18"/>
          <w:color w:val="auto"/>
        </w:rPr>
        <w:t>$125 million, $200 million and $100 million, respectively, in aggregate cost of Lazard Ltd Class A common stock and Lazard Group common membership interests through December 31, 2012, December 31, 2013, December 31, 2013, December 31, 2014 and December 31, 2015, respectively. The share repurchase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program is used primarily to offset a portion of the shares to be issued under the 2005 Plan and the 2008 Plan. Purchases under the share repurchase program may be made in the open market or through privately negotiated transactions. Amounts shown in this line item include repurchases of Class A common stock and exclude the shares of Class A common stock withheld by the Company to meet the minimum statutory tax withholding requirements as described below.</w:t>
      </w:r>
    </w:p>
    <w:p>
      <w:pPr>
        <w:spacing w:after="0" w:line="62"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During the three months ended March 31, 2014, the Company had in place trading plans under Rule 10b5-1 of the Securities Exchange Act of 1934, pursuant to which it effected stock repurchases in the open market.</w:t>
      </w:r>
    </w:p>
    <w:p>
      <w:pPr>
        <w:spacing w:after="0" w:line="51"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In April 2014, the Board of Directors authorized the repurchase of up to an additional $200 million in aggregate cost of Class A common stock and Lazard Group common membership interests through December 31, 2015.</w:t>
      </w:r>
    </w:p>
    <w:p>
      <w:pPr>
        <w:spacing w:after="0" w:line="51" w:lineRule="exact"/>
        <w:rPr>
          <w:sz w:val="20"/>
          <w:szCs w:val="20"/>
          <w:color w:val="auto"/>
        </w:rPr>
      </w:pPr>
    </w:p>
    <w:p>
      <w:pPr>
        <w:ind w:left="460" w:hanging="452"/>
        <w:spacing w:after="0" w:line="298"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Under the terms of the 2005 Plan and the 2008 Plan, upon the vesting of RSUs, PRSUs and delivery of restricted Class A common stock, shares of Class A common stock may be withheld by the Company to meet the minimum statutory tax withholding requirements. During the three month period ended March 31, 2014, the Company satisfied such obligations in lieu of issuing (i) 1,843,389 shares of Class A common stock upon the vesting of 6,317,612 RSUs and (ii) 29,999 shares of Class A common stock upon the vesting of 205,075 shares of restricted Class A common stock.</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0560" w:type="dxa"/>
            <w:vAlign w:val="bottom"/>
          </w:tcPr>
          <w:p>
            <w:pPr>
              <w:ind w:left="4580"/>
              <w:spacing w:after="0"/>
              <w:rPr>
                <w:sz w:val="20"/>
                <w:szCs w:val="20"/>
                <w:color w:val="auto"/>
              </w:rPr>
            </w:pPr>
            <w:r>
              <w:rPr>
                <w:rFonts w:ascii="Arial" w:cs="Arial" w:eastAsia="Arial" w:hAnsi="Arial"/>
                <w:sz w:val="18"/>
                <w:szCs w:val="18"/>
                <w:b w:val="1"/>
                <w:bCs w:val="1"/>
                <w:color w:val="auto"/>
              </w:rPr>
              <w:t>PART IV</w:t>
            </w:r>
          </w:p>
        </w:tc>
      </w:tr>
      <w:tr>
        <w:trPr>
          <w:trHeight w:val="419"/>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2.1</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Group LLC, LAZ-MD Holdings LLC and</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LFCM Holdings LLC (incorporated by reference to Exhibit 2.1 to the Registrant’s Quarterly Report (File No. 001-32492) on Form 10-Q filed</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2.2</w:t>
            </w:r>
          </w:p>
        </w:tc>
        <w:tc>
          <w:tcPr>
            <w:tcW w:w="10560" w:type="dxa"/>
            <w:vAlign w:val="bottom"/>
          </w:tcPr>
          <w:p>
            <w:pPr>
              <w:ind w:left="4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2.2 to the Registrant’s Quarterly Report (File No. 001-32492) on Form 10-Q filed on November 7, 2006).</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Form 8-K (File No. 001-32492)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2.4</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 filed on December 17, 2004).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in Change of Name of the Registrant (incorporated by reference to Exhibit 3.2 to the Registrant’s Registration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560" w:type="dxa"/>
            <w:vAlign w:val="bottom"/>
          </w:tcPr>
          <w:p>
            <w:pPr>
              <w:ind w:left="480"/>
              <w:spacing w:after="0"/>
              <w:rPr>
                <w:sz w:val="20"/>
                <w:szCs w:val="20"/>
                <w:color w:val="auto"/>
              </w:rPr>
            </w:pPr>
            <w:r>
              <w:rPr>
                <w:rFonts w:ascii="Arial" w:cs="Arial" w:eastAsia="Arial" w:hAnsi="Arial"/>
                <w:sz w:val="18"/>
                <w:szCs w:val="18"/>
                <w:color w:val="auto"/>
                <w:w w:val="96"/>
              </w:rPr>
              <w:t>First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(incorporated by reference to Exhibit 4.2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2005).</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65"/>
        </w:trPr>
        <w:tc>
          <w:tcPr>
            <w:tcW w:w="780" w:type="dxa"/>
            <w:vAlign w:val="bottom"/>
          </w:tcPr>
          <w:p>
            <w:pPr>
              <w:spacing w:after="0"/>
              <w:rPr>
                <w:sz w:val="24"/>
                <w:szCs w:val="24"/>
                <w:color w:val="auto"/>
              </w:rPr>
            </w:pPr>
          </w:p>
        </w:tc>
        <w:tc>
          <w:tcPr>
            <w:tcW w:w="10560" w:type="dxa"/>
            <w:vAlign w:val="bottom"/>
          </w:tcPr>
          <w:p>
            <w:pPr>
              <w:ind w:left="484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ind w:left="100"/>
              <w:spacing w:after="0"/>
              <w:rPr>
                <w:sz w:val="20"/>
                <w:szCs w:val="20"/>
                <w:color w:val="auto"/>
              </w:rPr>
            </w:pPr>
            <w:r>
              <w:rPr>
                <w:rFonts w:ascii="Arial" w:cs="Arial" w:eastAsia="Arial" w:hAnsi="Arial"/>
                <w:sz w:val="18"/>
                <w:szCs w:val="18"/>
                <w:color w:val="auto"/>
              </w:rPr>
              <w:t>4.5</w:t>
            </w:r>
          </w:p>
        </w:tc>
        <w:tc>
          <w:tcPr>
            <w:tcW w:w="10500" w:type="dxa"/>
            <w:vAlign w:val="bottom"/>
          </w:tcPr>
          <w:p>
            <w:pPr>
              <w:ind w:left="420"/>
              <w:spacing w:after="0"/>
              <w:rPr>
                <w:sz w:val="20"/>
                <w:szCs w:val="20"/>
                <w:color w:val="auto"/>
              </w:rPr>
            </w:pPr>
            <w:r>
              <w:rPr>
                <w:rFonts w:ascii="Arial" w:cs="Arial" w:eastAsia="Arial" w:hAnsi="Arial"/>
                <w:sz w:val="18"/>
                <w:szCs w:val="18"/>
                <w:color w:val="auto"/>
                <w:w w:val="92"/>
              </w:rPr>
              <w:t>Fifth Supplemental Indenture, dated as of November 14, 2013, between Lazard Group LLC and The Bank of New York Mellon, as trustee</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(incorporated by reference to Exhibit 4.1 to the Registrant’s Current Report on Form 8-K (File No. 001-32492) filed on November 14, 2013).</w:t>
            </w:r>
          </w:p>
        </w:tc>
      </w:tr>
      <w:tr>
        <w:trPr>
          <w:trHeight w:val="324"/>
        </w:trPr>
        <w:tc>
          <w:tcPr>
            <w:tcW w:w="840" w:type="dxa"/>
            <w:vAlign w:val="bottom"/>
          </w:tcPr>
          <w:p>
            <w:pPr>
              <w:ind w:left="100"/>
              <w:spacing w:after="0"/>
              <w:rPr>
                <w:sz w:val="20"/>
                <w:szCs w:val="20"/>
                <w:color w:val="auto"/>
              </w:rPr>
            </w:pPr>
            <w:r>
              <w:rPr>
                <w:rFonts w:ascii="Arial" w:cs="Arial" w:eastAsia="Arial" w:hAnsi="Arial"/>
                <w:sz w:val="18"/>
                <w:szCs w:val="18"/>
                <w:color w:val="auto"/>
              </w:rPr>
              <w:t>4.6</w:t>
            </w:r>
          </w:p>
        </w:tc>
        <w:tc>
          <w:tcPr>
            <w:tcW w:w="10500" w:type="dxa"/>
            <w:vAlign w:val="bottom"/>
          </w:tcPr>
          <w:p>
            <w:pPr>
              <w:ind w:left="420"/>
              <w:spacing w:after="0"/>
              <w:rPr>
                <w:sz w:val="20"/>
                <w:szCs w:val="20"/>
                <w:color w:val="auto"/>
              </w:rPr>
            </w:pPr>
            <w:r>
              <w:rPr>
                <w:rFonts w:ascii="Arial" w:cs="Arial" w:eastAsia="Arial" w:hAnsi="Arial"/>
                <w:sz w:val="18"/>
                <w:szCs w:val="18"/>
                <w:color w:val="auto"/>
              </w:rPr>
              <w:t>Form of Senior Note (included in Exhibits 4.3, 4.4 and 4.5).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certain members of LAZ-MD Holdings LLC (incorporated by reference to Exhibit 10.1 to the Registrant’s Quarterly Report (File No. 001-</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32492)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10.2 to the Registrant’s Quarterly Report (File No. 001-32492)</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2, dated as of May 9, 2008,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LFCM Holdings LLC (incorporated by reference to Exhibit 10.4 to the Registrant’s Quarterly Report (File No. 001-32492) on Form 10-Q filed</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10.5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5"/>
              </w:rPr>
              <w:t>Frères S.A.S., Lazard &amp; Co., Holdings Limited and LFCM Holdings LLC (incorporated by reference to Exhibit 10.6 to the Registrant’s</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Group LLC (incorporated by reference to Exhibit 10.7 to the Registrant’s Quarterly Report (File No. 001-32492) on Form 10-Q filed on June</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10.8 to the Registrant’s Quarterly Report (File No. 001-32492) on Form 10-Q filed on June 16, 2005).</w:t>
            </w:r>
          </w:p>
        </w:tc>
      </w:tr>
      <w:tr>
        <w:trPr>
          <w:trHeight w:val="365"/>
        </w:trPr>
        <w:tc>
          <w:tcPr>
            <w:tcW w:w="840" w:type="dxa"/>
            <w:vAlign w:val="bottom"/>
          </w:tcPr>
          <w:p>
            <w:pPr>
              <w:spacing w:after="0"/>
              <w:rPr>
                <w:sz w:val="24"/>
                <w:szCs w:val="24"/>
                <w:color w:val="auto"/>
              </w:rPr>
            </w:pPr>
          </w:p>
        </w:tc>
        <w:tc>
          <w:tcPr>
            <w:tcW w:w="10500" w:type="dxa"/>
            <w:vAlign w:val="bottom"/>
          </w:tcPr>
          <w:p>
            <w:pPr>
              <w:ind w:left="478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Group LLC and LFCM Holdings LLC (incorporated by reference to Exhibit 10.12 to the Registrant’s Annual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reference to Exhibit 10.16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2005 Equity Incentive Plan (incorporated by reference to Exhibit 10.21 to the Registrant’s Registration Statement (File No. 333-121407)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Lazard Ltd’s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Schedule I for, Scott D. Hoffman (incorporated by reference to Exhibit 10.26 to the Registrant’s Quarterly Report (File No. 001-32492) on Form</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May 4, 2005, for Scott D. Hoffman (incorporated by reference to Exhibit 10.2 to the Registrant’s Current Report on Form 8-K (File No. 001-</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32492) filed on May 9,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23, 2011, to the Agreement Relating to Retention and Noncompetition and Other Covenants, dated as of May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4, 2005 and amended as of May 7, 2008, for Scott D. Hoffman (incorporated by reference to Exhibit 10.25 to the Registrant’s Quarterly Report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and Alexander F. Stern (incorporated by reference to Exhibit 10.28 to the Registrant’s Annual Report (File No. 001-32492) on Form 10-K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2, 2009).</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Matthieu Bucaille (incorporated by reference to Exhibit 10.31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October 4, 2004, between Lazard Group LLC and Matthieu Bucaille (incorporated by reference to Exhibit 10.32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001-32492) on Form 10-Q filed on November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reference to Exhibit 10.27 to the Registrant’s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IXIS Corporate and Investment Bank (incorporated by reference to Exhibit 10.30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10.41 to the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10.42 to the Registrant’s Annual Report (File No. 001-32492) on Form 10-K filed on March 2, 2009).</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Directors’ Fee Deferral Unit Plan (incorporated by reference to Exhibit 10.39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May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Plan (incorporated by reference to Exhibit 10.43 to the Registrant’s Annual Report (File No. 001-32492) on Form 10-K filed on March 1, 2007).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August 15,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Senior Revolving Credit Agreement, dated as of September 25, 2012, among Lazard Group LLC, the Banks from time to time parties thereto,</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and Citibank, N.A., as Administrative Agent (incorporated by reference to Exhibit 10.47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filed on November 1,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10.55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 for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retirement under the 2008 Incentive Compensation Plan (incorporated by reference to Exhibit 10.53 to the Registrant’s Quarterly Report (File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No. 001-32492) on Form 10-Q filed on May 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March 15, 2005, between Lazard Group LLC and Ashish Bhutani (incorporated by reference to Exhibit 10.56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August 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October 24, 2012,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of March 18, 2005 and amended on March 23, 2010, among the Registrant, Lazard Group LLC and Kenneth M. Jacobs (incorporated by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10.52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November 1, 2012).</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March 15, 2005 and amended on August 2, 2011, among the Registrant, Lazard Group LLC and Ashish Bhutani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10.50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October 4, 2004 and amended on April 1, 2011, among the Registrant, Lazard Group LLC and Matthieu Bucaille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10.51 to the Registrant’s Quarterly Report (File No. 001-32492) on Form 10-Q filed on April 30,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May 4, 2005 and amended on May 7, 2008 and February 23, 2011, among the Registrant, Lazard Group LLC and Scott D. Hoffman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10.52 to the Registrant’s Quarterly Report (File No. 001-32492) on Form 10-Q filed on April 30, 2013).</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10.51*</w:t>
            </w:r>
          </w:p>
        </w:tc>
        <w:tc>
          <w:tcPr>
            <w:tcW w:w="10440" w:type="dxa"/>
            <w:vAlign w:val="bottom"/>
          </w:tcPr>
          <w:p>
            <w:pPr>
              <w:ind w:left="30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16"/>
        </w:trPr>
        <w:tc>
          <w:tcPr>
            <w:tcW w:w="96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88"/>
              </w:rPr>
              <w:t>October 4, 2004 and amended on March 23, 2010, among the Registrant, Lazard Group LLC and Alexander F. Stern (incorporated by reference</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to Exhibit 10.53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10.52*</w:t>
            </w:r>
          </w:p>
        </w:tc>
        <w:tc>
          <w:tcPr>
            <w:tcW w:w="10440" w:type="dxa"/>
            <w:vAlign w:val="bottom"/>
          </w:tcPr>
          <w:p>
            <w:pPr>
              <w:ind w:left="300"/>
              <w:spacing w:after="0"/>
              <w:rPr>
                <w:sz w:val="20"/>
                <w:szCs w:val="20"/>
                <w:color w:val="auto"/>
              </w:rPr>
            </w:pPr>
            <w:r>
              <w:rPr>
                <w:rFonts w:ascii="Arial" w:cs="Arial" w:eastAsia="Arial" w:hAnsi="Arial"/>
                <w:sz w:val="18"/>
                <w:szCs w:val="18"/>
                <w:color w:val="auto"/>
                <w:w w:val="92"/>
              </w:rPr>
              <w:t>Form of Agreement evidencing a grant of Performance-Based Stock Units under the 2008 Incentive Compensation Plan (incorporated by</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reference to Exhibit 10.54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10.53*</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Lazard Fund Interests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10.55 to the Registrant’s Quarterly Report (File No. 001-32492) on Form 10-Q filed on April 30, 2013).</w:t>
            </w:r>
          </w:p>
        </w:tc>
      </w:tr>
      <w:tr>
        <w:trPr>
          <w:trHeight w:val="318"/>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10.54*</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Restricted Stock Units to Named Executive Officers under the 2008 Incentive Compensation Plan</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10.56 to the Registrant’s Quarterly Report (File No. 001-32492) on Form 10-Q filed on April 30, 2013).</w:t>
            </w:r>
          </w:p>
        </w:tc>
      </w:tr>
      <w:tr>
        <w:trPr>
          <w:trHeight w:val="324"/>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10.55*</w:t>
            </w:r>
          </w:p>
        </w:tc>
        <w:tc>
          <w:tcPr>
            <w:tcW w:w="1044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February 20, 2014 grant of Performance-Based Stock Units under the 2008 Incentive Compensation Plan.</w:t>
            </w:r>
          </w:p>
        </w:tc>
      </w:tr>
      <w:tr>
        <w:trPr>
          <w:trHeight w:val="331"/>
        </w:trPr>
        <w:tc>
          <w:tcPr>
            <w:tcW w:w="960" w:type="dxa"/>
            <w:vAlign w:val="bottom"/>
          </w:tcPr>
          <w:p>
            <w:pPr>
              <w:jc w:val="right"/>
              <w:ind w:right="372"/>
              <w:spacing w:after="0"/>
              <w:rPr>
                <w:sz w:val="20"/>
                <w:szCs w:val="20"/>
                <w:color w:val="auto"/>
              </w:rPr>
            </w:pPr>
            <w:r>
              <w:rPr>
                <w:rFonts w:ascii="Arial" w:cs="Arial" w:eastAsia="Arial" w:hAnsi="Arial"/>
                <w:sz w:val="18"/>
                <w:szCs w:val="18"/>
                <w:color w:val="auto"/>
                <w:w w:val="92"/>
              </w:rPr>
              <w:t>10.56*</w:t>
            </w:r>
          </w:p>
        </w:tc>
        <w:tc>
          <w:tcPr>
            <w:tcW w:w="10440" w:type="dxa"/>
            <w:vAlign w:val="bottom"/>
          </w:tcPr>
          <w:p>
            <w:pPr>
              <w:ind w:left="300"/>
              <w:spacing w:after="0"/>
              <w:rPr>
                <w:sz w:val="20"/>
                <w:szCs w:val="20"/>
                <w:color w:val="auto"/>
              </w:rPr>
            </w:pPr>
            <w:r>
              <w:rPr>
                <w:rFonts w:ascii="Arial" w:cs="Arial" w:eastAsia="Arial" w:hAnsi="Arial"/>
                <w:sz w:val="18"/>
                <w:szCs w:val="18"/>
                <w:color w:val="auto"/>
                <w:w w:val="87"/>
              </w:rPr>
              <w:t>Agreement between the Company and Kenneth M. Jacobs, dated as of February 20, 2014, evidencing a grant of Performance-Based Stock Units</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under the 2008 Incentive Compensation Plan.</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12.1</w:t>
            </w:r>
          </w:p>
        </w:tc>
        <w:tc>
          <w:tcPr>
            <w:tcW w:w="1044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31.1</w:t>
            </w:r>
          </w:p>
        </w:tc>
        <w:tc>
          <w:tcPr>
            <w:tcW w:w="1044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31.2</w:t>
            </w:r>
          </w:p>
        </w:tc>
        <w:tc>
          <w:tcPr>
            <w:tcW w:w="1044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32.1</w:t>
            </w:r>
          </w:p>
        </w:tc>
        <w:tc>
          <w:tcPr>
            <w:tcW w:w="1044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32.2</w:t>
            </w:r>
          </w:p>
        </w:tc>
        <w:tc>
          <w:tcPr>
            <w:tcW w:w="1044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6, 2014</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Matthieu Bucaille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Financial Officer</w:t>
            </w:r>
          </w:p>
        </w:tc>
      </w:tr>
      <w:tr>
        <w:trPr>
          <w:trHeight w:val="43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Dominick Ragone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10.55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constitutes part of a prospectus covering securities that have been registered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STOCK UNIT AGREEMENT</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AGREEMENT, dated as of February 20, 2014, between Lazard Ltd, a Bermuda exempted company (the “Company”), on behalf of its applicable Affiliate (as defined under the definitional rules of Section 1(a) below), and [NAME] (the “Employee”).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herefrom, the parties hereto agree as follows:</w:t>
      </w:r>
    </w:p>
    <w:p>
      <w:pPr>
        <w:spacing w:after="0" w:line="352" w:lineRule="exact"/>
        <w:rPr>
          <w:sz w:val="20"/>
          <w:szCs w:val="20"/>
          <w:color w:val="auto"/>
        </w:rPr>
      </w:pPr>
    </w:p>
    <w:p>
      <w:pPr>
        <w:ind w:left="360" w:hanging="172"/>
        <w:spacing w:after="0"/>
        <w:tabs>
          <w:tab w:leader="none" w:pos="3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Grant and Vesting of Performance-Based Stock Units.</w:t>
      </w:r>
    </w:p>
    <w:p>
      <w:pPr>
        <w:spacing w:after="0" w:line="121" w:lineRule="exact"/>
        <w:rPr>
          <w:rFonts w:ascii="Arial" w:cs="Arial" w:eastAsia="Arial" w:hAnsi="Arial"/>
          <w:sz w:val="18"/>
          <w:szCs w:val="18"/>
          <w:b w:val="1"/>
          <w:bCs w:val="1"/>
          <w:color w:val="auto"/>
        </w:rPr>
      </w:pPr>
    </w:p>
    <w:p>
      <w:pPr>
        <w:ind w:right="100" w:firstLine="464"/>
        <w:spacing w:after="0" w:line="293" w:lineRule="auto"/>
        <w:tabs>
          <w:tab w:leader="none" w:pos="701" w:val="left"/>
        </w:tabs>
        <w:numPr>
          <w:ilvl w:val="1"/>
          <w:numId w:val="58"/>
        </w:numPr>
        <w:rPr>
          <w:rFonts w:ascii="Arial" w:cs="Arial" w:eastAsia="Arial" w:hAnsi="Arial"/>
          <w:sz w:val="16"/>
          <w:szCs w:val="16"/>
          <w:color w:val="auto"/>
        </w:rPr>
      </w:pPr>
      <w:r>
        <w:rPr>
          <w:rFonts w:ascii="Arial" w:cs="Arial" w:eastAsia="Arial" w:hAnsi="Arial"/>
          <w:sz w:val="16"/>
          <w:szCs w:val="16"/>
          <w:color w:val="auto"/>
        </w:rPr>
        <w:t>Subject to the provisions of this Agreement and to the provisions of the Company’s 2008 Incentive Compensation Plan (the “Plan”) (all capitalized terms used herein, to the extent not defined, shall have the meaning set forth in the Plan), the Company, on behalf of its applicable Affiliate, hereby grants to the Employee, as of the date set forth above (the “Grant Date”), the target number of performance-based Stock Units (“Stock Units”) specified in Appendix A, each with respect to one Share. Subject to the terms and conditions set forth in this Agreement, the Employee will actually earn (or be deemed to earn) a number of Stock Units that is between 0% and 200% of the target number of Stock Units subject to this Agreement, such number of earned Stock Units to be determined based on achievement of the performance goals set forth on Appendix A (the “Performance Conditions”).</w:t>
      </w:r>
    </w:p>
    <w:p>
      <w:pPr>
        <w:spacing w:after="0" w:line="164" w:lineRule="exact"/>
        <w:rPr>
          <w:rFonts w:ascii="Arial" w:cs="Arial" w:eastAsia="Arial" w:hAnsi="Arial"/>
          <w:sz w:val="16"/>
          <w:szCs w:val="16"/>
          <w:color w:val="auto"/>
        </w:rPr>
      </w:pPr>
    </w:p>
    <w:p>
      <w:pPr>
        <w:ind w:right="240" w:firstLine="464"/>
        <w:spacing w:after="0" w:line="277" w:lineRule="auto"/>
        <w:tabs>
          <w:tab w:leader="none" w:pos="711"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to the provisions of the Plan, the Stock Units shall vest and no longer be subject to any restriction if each of the following two conditions has been satisfied:</w:t>
      </w:r>
    </w:p>
    <w:p>
      <w:pPr>
        <w:spacing w:after="0" w:line="75" w:lineRule="exact"/>
        <w:rPr>
          <w:rFonts w:ascii="Arial" w:cs="Arial" w:eastAsia="Arial" w:hAnsi="Arial"/>
          <w:sz w:val="18"/>
          <w:szCs w:val="18"/>
          <w:color w:val="auto"/>
        </w:rPr>
      </w:pPr>
    </w:p>
    <w:p>
      <w:pPr>
        <w:ind w:left="1920" w:right="280" w:hanging="440"/>
        <w:spacing w:after="0" w:line="277" w:lineRule="auto"/>
        <w:tabs>
          <w:tab w:leader="none" w:pos="192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Employee has remained continuously employed by the Company or any of its Affiliates until March 1, 2017 (such date, the “Final Service Date”, and such condition, the “Service Condition”); and</w:t>
      </w:r>
    </w:p>
    <w:p>
      <w:pPr>
        <w:spacing w:after="0" w:line="75" w:lineRule="exact"/>
        <w:rPr>
          <w:rFonts w:ascii="Arial" w:cs="Arial" w:eastAsia="Arial" w:hAnsi="Arial"/>
          <w:sz w:val="18"/>
          <w:szCs w:val="18"/>
          <w:color w:val="auto"/>
        </w:rPr>
      </w:pPr>
    </w:p>
    <w:p>
      <w:pPr>
        <w:ind w:left="1920" w:right="140" w:hanging="440"/>
        <w:spacing w:after="0" w:line="271" w:lineRule="auto"/>
        <w:tabs>
          <w:tab w:leader="none" w:pos="1920" w:val="left"/>
        </w:tabs>
        <w:numPr>
          <w:ilvl w:val="2"/>
          <w:numId w:val="58"/>
        </w:numPr>
        <w:rPr>
          <w:rFonts w:ascii="Arial" w:cs="Arial" w:eastAsia="Arial" w:hAnsi="Arial"/>
          <w:sz w:val="17"/>
          <w:szCs w:val="17"/>
          <w:color w:val="auto"/>
        </w:rPr>
      </w:pPr>
      <w:r>
        <w:rPr>
          <w:rFonts w:ascii="Arial" w:cs="Arial" w:eastAsia="Arial" w:hAnsi="Arial"/>
          <w:sz w:val="17"/>
          <w:szCs w:val="17"/>
          <w:color w:val="auto"/>
        </w:rPr>
        <w:t xml:space="preserve">The Committee concludes that during the period beginning on January 1, 2014 and ending on December 31, 2016 (the “Performance Period”), the Company has achieved the Performance Conditions and specifies the level at which the Stock Units shall vest, based on the scoring, adjustment and weighting provisions set forth in Appendix 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in its sole discretion, may interpret the goals and scoring set forth in Appendix A as it deems necessary or appropriate (including, without limitation, to the extent necessary to address extraordinary events or circumstances). The ultimate score achieved based on Appendix A (which may range from 0.0 to 2.0) will be multiplied by the total target number of Stock Units in order to determine the number of Stock Units that may vest upon satisfaction of the Service Condition. Furthermore, the Committee shall determine, following the end of each fiscal year during</w:t>
      </w:r>
    </w:p>
    <w:p>
      <w:pPr>
        <w:sectPr>
          <w:pgSz w:w="11900" w:h="16838" w:orient="portrait"/>
          <w:cols w:equalWidth="0" w:num="1">
            <w:col w:w="11420"/>
          </w:cols>
          <w:pgMar w:left="240" w:top="121" w:right="239" w:bottom="1440" w:gutter="0" w:footer="0" w:header="0"/>
        </w:sectPr>
      </w:pPr>
    </w:p>
    <w:bookmarkStart w:id="87" w:name="page88"/>
    <w:bookmarkEnd w:id="87"/>
    <w:p>
      <w:pPr>
        <w:ind w:left="1920"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Performance Period and in accordance with the methodology described in the first sentence of this Section 1(b)(ii), the extent to which the Company has achieved the Performance Conditions with respect to such fiscal year and, in the event that the Performance Conditions in that year have been achieved at the target level (</w:t>
      </w:r>
      <w:r>
        <w:rPr>
          <w:rFonts w:ascii="Arial" w:cs="Arial" w:eastAsia="Arial" w:hAnsi="Arial"/>
          <w:sz w:val="16"/>
          <w:szCs w:val="16"/>
          <w:u w:val="single" w:color="auto"/>
          <w:color w:val="auto"/>
        </w:rPr>
        <w:t>i.e.</w:t>
      </w:r>
      <w:r>
        <w:rPr>
          <w:rFonts w:ascii="Arial" w:cs="Arial" w:eastAsia="Arial" w:hAnsi="Arial"/>
          <w:sz w:val="16"/>
          <w:szCs w:val="16"/>
          <w:color w:val="auto"/>
        </w:rPr>
        <w:t>, the 1.0x level) or above, then the Performance Conditions will be deemed satisfied with respect to twenty-five percent (25%) of the total target number of Stock Units (any such Stock Units that are earned in accordance with this sentence, the “Fiscal Year Stock Units”). Any Fiscal Year Stock Units will vest upon satisfaction (or deemed satisfaction) of the Service Condition in accordance with Section 1(b)(i) above or Section 1(d) or 1(f) below. In the event that the Committee makes any conclusion regarding achievement of the Performance Conditions for the full Performance Period (or, in the case of Section 1(d)(i) or 1(f)(i), for a portion thereof), any Fiscal Year Stock Units will be applied to reduce the number of Stock Units that would otherwise be earned in accordance with this Agreement.</w:t>
      </w:r>
    </w:p>
    <w:p>
      <w:pPr>
        <w:spacing w:after="0" w:line="167" w:lineRule="exact"/>
        <w:rPr>
          <w:sz w:val="20"/>
          <w:szCs w:val="20"/>
          <w:color w:val="auto"/>
        </w:rPr>
      </w:pPr>
    </w:p>
    <w:p>
      <w:pPr>
        <w:ind w:left="-20" w:right="20" w:firstLine="464"/>
        <w:spacing w:after="0" w:line="254" w:lineRule="auto"/>
        <w:tabs>
          <w:tab w:leader="none" w:pos="681"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set forth in Section 1(f) below, in the event that the Employee incurs a Termination of Employment prior to the Final Service Date for any reason not set forth in Section 1(d), all unvested Stock Units (and any Remaining Shares (as defined in Section 1(d)(iii) below)) shall be forfeited by the Employee effective immediately upon such Termination of Employment. For purposes of this Section 1(c), the Employee will be deemed to have incurred a Termination of Employment on the date that the Employee provides notice of termination to the Company, and accordingly, all unvested Stock Units (and any Remaining Shares) shall be forfeited by the Employee immediately upon delivery of any such notice. In addition, all unvested Stock Units (excluding any Fiscal Year Stock Units or Dividend Equivalent Stock Units (as defined in Section 4 below)) shall be forfeited by the Employee to the extent that, following the last day of the Performance Period (or such earlier date as specified in Section 1(d) or 1(f)), the Performance Conditions with respect to such Stock Units have not been satisfied.</w:t>
      </w:r>
    </w:p>
    <w:p>
      <w:pPr>
        <w:spacing w:after="0" w:line="192" w:lineRule="exact"/>
        <w:rPr>
          <w:rFonts w:ascii="Arial" w:cs="Arial" w:eastAsia="Arial" w:hAnsi="Arial"/>
          <w:sz w:val="18"/>
          <w:szCs w:val="18"/>
          <w:color w:val="auto"/>
        </w:rPr>
      </w:pPr>
    </w:p>
    <w:p>
      <w:pPr>
        <w:ind w:left="-20" w:firstLine="464"/>
        <w:spacing w:after="0" w:line="269" w:lineRule="auto"/>
        <w:tabs>
          <w:tab w:leader="none" w:pos="691"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(i) Except as set forth in Section 1(f) below, in the event that the Employee incurs a Termination of Employment prior to the Final Service Date due to (A) the Employee’s Disability, (B) the Employee’s death or (C) a Termination of Employment by the Company other than for Cause, subject to Section 1(e) below, the Stock Units (and any Remaining Shares) held by the Employee on the Date of Termination shall no longer be subject to the Performance Conditions and the Service Condition, and any Stock Units shall be settled as set forth in Section 1(d)(iii) or Section 2 below but such Stock Units and Remaining Shares shall remain subject to forfeiture pursuant to Section 1(e) through the Final Service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 Termination of Employment due to the Employee’s death as described in clause (B) of this Section 1(d)(i) or in the case of the Employee’s death subsequent to a Termination of Employment described in this Section 1(d)(i), the Stock Units (and any Remaining Shares) will immediately vest upon the date of death and the Stock Units shall be settled through delivery of fully transferable Shares as soon as practicable following such date (or, if applicable, in the event the Employee’s death occurs more than halfway through a fiscal quarter, as soon as practicable following the date that the Committee determines the extent to which the Performance Conditions have been satisfied for the applicable measurement period). The Stock Units (excluding Fiscal Year Stock Units and Dividend Equivalent Stock Units) shall vest based on (1)</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74" w:right="239" w:bottom="1440" w:gutter="0" w:footer="0" w:header="0"/>
        </w:sectPr>
      </w:pPr>
    </w:p>
    <w:bookmarkStart w:id="88" w:name="page89"/>
    <w:bookmarkEnd w:id="8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actual performance level during the period beginning on the first day of the Performance Period and ending on the last day of the most recent fiscal quarter preceding the Date of Termination (or, if the Date of Termination occurs more than halfway through a fiscal quarter, the last day of such current fiscal quarter), as determined by the Committee, and (2) deemed performance at the target level for the period beginning on the first day of the following fiscal quarter through the last day of the Performance Period.</w:t>
      </w:r>
    </w:p>
    <w:p>
      <w:pPr>
        <w:spacing w:after="0" w:line="92" w:lineRule="exact"/>
        <w:rPr>
          <w:sz w:val="20"/>
          <w:szCs w:val="20"/>
          <w:color w:val="auto"/>
        </w:rPr>
      </w:pPr>
    </w:p>
    <w:p>
      <w:pPr>
        <w:ind w:left="1920" w:right="40" w:hanging="440"/>
        <w:spacing w:after="0" w:line="283" w:lineRule="auto"/>
        <w:tabs>
          <w:tab w:leader="none" w:pos="19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Except as set forth in Section 1(f) below, in the event that the Employee incurs a Termination of Employment prior to the Final Service Date due to the Employee’s Retirement (as defined below), all Stock Units held by the Employee on the Date of Termination (and any Remaining Shares) shall no longer be subject to the Service Condition and, following satisfaction of the Performance Conditions and subject to Section 1(e), shall be settled as set forth in Section 1(d)(iii) below (unless already settled pursuant to such section prior to Termination of Employment) but shall remain subject to forfeiture pursuant to Section 1(e) through the Final Service Date (subject to any acceleration of vesting as otherwise set forth in this Agreement). Such Stock Units (excluding Fiscal Year Stock Units and Dividend Equivalent Stock Units) shall vest at the level determined by the Committee following the last day of the Performance Period, based on actual performance during the Performance Period. For purposes of this Agreement, “Retirement” shall mean that the Employee voluntarily incurs a Termination of Employment on or after the date on which the Employee meets all of the following retirement eligibility requirements (such date, the “Retirement Eligibility Date”):</w:t>
      </w:r>
    </w:p>
    <w:p>
      <w:pPr>
        <w:spacing w:after="0" w:line="5" w:lineRule="exact"/>
        <w:rPr>
          <w:rFonts w:ascii="Arial" w:cs="Arial" w:eastAsia="Arial" w:hAnsi="Arial"/>
          <w:sz w:val="16"/>
          <w:szCs w:val="16"/>
          <w:color w:val="auto"/>
        </w:rPr>
      </w:pPr>
    </w:p>
    <w:p>
      <w:pPr>
        <w:ind w:left="1920" w:right="260"/>
        <w:spacing w:after="0" w:line="261" w:lineRule="auto"/>
        <w:rPr>
          <w:rFonts w:ascii="Arial" w:cs="Arial" w:eastAsia="Arial" w:hAnsi="Arial"/>
          <w:sz w:val="16"/>
          <w:szCs w:val="16"/>
          <w:color w:val="auto"/>
        </w:rPr>
      </w:pPr>
      <w:r>
        <w:rPr>
          <w:rFonts w:ascii="Arial" w:cs="Arial" w:eastAsia="Arial" w:hAnsi="Arial"/>
          <w:sz w:val="18"/>
          <w:szCs w:val="18"/>
          <w:color w:val="auto"/>
        </w:rPr>
        <w:t>(A) minimum age fifty-six (56); (B) minimum of five (5) years of service with the Company or its Affiliates; and (C) actual age plus years of service with the Company or any of its Affiliates at least seventy (70).</w:t>
      </w:r>
    </w:p>
    <w:p>
      <w:pPr>
        <w:spacing w:after="0" w:line="89" w:lineRule="exact"/>
        <w:rPr>
          <w:rFonts w:ascii="Arial" w:cs="Arial" w:eastAsia="Arial" w:hAnsi="Arial"/>
          <w:sz w:val="16"/>
          <w:szCs w:val="16"/>
          <w:color w:val="auto"/>
        </w:rPr>
      </w:pPr>
    </w:p>
    <w:p>
      <w:pPr>
        <w:ind w:left="1920" w:hanging="440"/>
        <w:spacing w:after="0" w:line="288" w:lineRule="auto"/>
        <w:tabs>
          <w:tab w:leader="none" w:pos="19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Subject to the final sentence of Section 2 below, all Shares underlying the (A) Fiscal Year Stock Units, (B) Stock Units for which the Performance Conditions have been satisfied (or are deemed to be satisfied in accordance with Section 1(d)(i) or Section 1(f)(i)) and (C) Dividend Equivalent Stock Units shall be delivered to the Employee (1) in the case of any Termination of Employment due to Disability or the occurrence of the Retirement Eligibility Date, within 30 days following the later of (x) the date that the Employee is no longer required to perform any additional services in order to retain such Stock Units and (y) the date that the Committee determines the extent to which the Performance Conditions have been satisfied for the applicable measurement period, and (2) in the case of a Termination of Employment by the Company other than for Cause, as soon as practicable following the later of (x) the date that the release described in Section 1(e) below has become effective and irrevocable and (y) the date that the Committee determines the extent to which the Performance Conditions have been satisfied for the applicable measurement period (but in all cases, such settlement shall not be later than March 15 of the calendar year following the year in which such Stock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89" w:name="page90"/>
    <w:bookmarkEnd w:id="89"/>
    <w:p>
      <w:pPr>
        <w:ind w:left="19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Units are no longer subject to a substantial risk of forfeiture within the meaning of Treasury Regulation Section 1.409A-1(d)) (the date that Shares are delivered to the Employee is an “Initial Delivery Date”). For the avoidance of doubt, there may be multiple Initial Delivery Dates for purposes of this Agreement (including as a result of achievement of Performance Conditions applicable to the Fiscal Year Stock Units and as a result of the Dividend Equivalent Stock Units). Immediately following the Initial Delivery Date with respect to any Stock Units, subject to approval of the Compliance Department of the Company or an Affiliate, the Employee will be permitted to dispose of the Applicable Percentage (as defined below) of the Shares (such Shares, the “Transferable Shares”) delivered to the Employee pursuant to this Section 1(d)(iii) immediately following the date that such Shares are delivered to the Employee. For purposes of this Agreement, the “Applicable Percentage” is the percentage of the Shares (if any) delivered to the Employee that the Company determines, in its sole discretion, is necessary to satisfy the Employee’s tax liability incurred with respect to such Shares on the date that such Shares are delivered to the Employee. All Shares delivered to the Employee on the Initial Delivery Date that are not Transferable Shares (such Shares, the “Remaining Shares”) will remain subject to the restrictions set forth in this Agreement (including Section 1(e)) until the date that such Remaining Shares otherwise would have been delivered to the Employee following the Final Service Date or such earlier date on which such Remaining Shares would have been delivered pursuant to this Agreement as a result of the Employee’s death or a Change in Control (such date, the “Final Delivery Date”). Accordingly, prior to the Final Delivery Date, neither the Employee nor any of the Employee’s creditors or beneficiaries will have the right to subject the Remaining Shares to any anticipation, alienation, sale, transfer, assignment, pledge, encumbrance, hedge, exchange, attachment or garnishment or any similar transaction. Furthermore, for the avoidance of doubt, the Remaining Shares shall continue to be subject to the forfeiture provisions set forth in this Agreement relating to violation of the restrictive covenants set forth in Appendix B, which are incorporated herein by reference (the “Restrictive Covenants”) until the Final Delivery Date.</w:t>
      </w:r>
    </w:p>
    <w:p>
      <w:pPr>
        <w:spacing w:after="0" w:line="188" w:lineRule="exact"/>
        <w:rPr>
          <w:sz w:val="20"/>
          <w:szCs w:val="20"/>
          <w:color w:val="auto"/>
        </w:rPr>
      </w:pPr>
    </w:p>
    <w:p>
      <w:pPr>
        <w:ind w:left="-20" w:right="120" w:firstLine="464"/>
        <w:spacing w:after="0" w:line="291" w:lineRule="auto"/>
        <w:tabs>
          <w:tab w:leader="none" w:pos="681"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in the event that the Employee incurs a Termination of Employment by the Company other than for Cause (regardless of whether the Retirement Eligibility Date precedes the date of such Termination of Employment) or due to a Retirement in accordance with Section 1(d)(ii), in each case, prior to a Change in Control, from and after the date of such Termination of Employment, in order for the Stock Units or the Remaining Shares, as applicable, to be treated as provided in Section 1(d), the Employee must sign a customary release of claims in favor of the Company and its Affiliates that is acceptable to the Company, and such release must become effective and irrevocable on or before the 65th day following the Employee’s Termination of Employment. In the event the Employee does not sign such release or revokes such release before it becomes irrevocable, the Employee shall forfeit all rights to any unvested Stock Units or Remaining Shares, as applicable.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90" w:name="page91"/>
    <w:bookmarkEnd w:id="90"/>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Employee incurs a Termination of Employment pursuant to Section 1(d)(i) (other than as a result of death) or 1(d)(ii), and the Employee violates any of the provisions of the Restrictive Covenants prior to the Final Delivery Date, all outstanding vested or unvested Stock Units (including Fiscal Year Stock Units and Dividend Equivalent Stock Units) and, if applicable, all Remaining Shares, shall be forfeited and canceled. Notwithstanding that certain Restricted Covenants in Appendix B apply for only a limited period following a Termination of Employment, in the event that the Employee incurs a Termination of Employment due to a Retirement, the Employee will forfeit any outstanding Stock Units (including Fiscal Year Stock Units and Dividend Equivalent Stock Units) and, if applicable, any Remaining Shares, if the Employee does not comply with all of the Restrictive Covenants in Appendix B until the earlier of the Final Service Date or, as applicable, Final Delivery Date. For the avoidance of doubt, in no event shall a violation of the Restrictive Covenants in Appendix B serve as a basis for forfeiture of Stock Units (including Fiscal Year Stock Units and Dividend Equivalent Stock Units) and, if applicable, any Remaining Shares, from and after a Change in Control.</w:t>
      </w:r>
    </w:p>
    <w:p>
      <w:pPr>
        <w:spacing w:after="0" w:line="182" w:lineRule="exact"/>
        <w:rPr>
          <w:sz w:val="20"/>
          <w:szCs w:val="20"/>
          <w:color w:val="auto"/>
        </w:rPr>
      </w:pPr>
    </w:p>
    <w:p>
      <w:pPr>
        <w:ind w:firstLine="464"/>
        <w:spacing w:after="0" w:line="255" w:lineRule="auto"/>
        <w:tabs>
          <w:tab w:leader="none" w:pos="68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Notwithstanding any provision of this Agreement to the contrary, in the event of a Change in Control that occurs prior to the end of the Performance Period (without regard to whether the Employee’s Retirement has occurred on or prior to the date of such Change in Control), the Performance Conditions shall no longer apply and, instead, shall be deemed to have been satisfied as of immediately prior to the Change in Control at the greater of (A) the target level and (B) the actual performance level achieved during the period beginning at the start of the Performance Period and ending on the date of such Change in Control, as determined by the Committee prior to the Change in Control with any necessary exercise of discretion determined by the Committee prior to the Change in Control.</w:t>
      </w:r>
    </w:p>
    <w:p>
      <w:pPr>
        <w:spacing w:after="0" w:line="98" w:lineRule="exact"/>
        <w:rPr>
          <w:rFonts w:ascii="Arial" w:cs="Arial" w:eastAsia="Arial" w:hAnsi="Arial"/>
          <w:sz w:val="18"/>
          <w:szCs w:val="18"/>
          <w:color w:val="auto"/>
        </w:rPr>
      </w:pPr>
    </w:p>
    <w:p>
      <w:pPr>
        <w:ind w:left="1920" w:right="60" w:hanging="440"/>
        <w:spacing w:after="0" w:line="288" w:lineRule="auto"/>
        <w:tabs>
          <w:tab w:leader="none" w:pos="19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Section 1(f)(ii) and 1(f)(iii) below, following a Change in Control, the unvested Stock Units (and, if applicable, any Remaining Shares) shall remain outstanding through the Final Service Date or Final Delivery Date,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Employee incurs a Termination of Employment upon or following a Change in Control but prior to the Final Service Date under any of the circumstances described in Section 1(d)(i) or 1(d)(ii) above, the date of such Termination of Employment shall be deemed to be the Final Delivery Date, and all Shares issued in settlement of such Stock Units shall be Transferable Shares. Furthermore, in the event that the Employee incurs a Termination of Employment under any of the circumstances described in Section 1(d)(i) or 1(d)(ii) above prior to the Final Delivery Date and prior to a Change in Control, upon a Change in Control, the date of the Change in Control shall be deemed to be the Final Service Date for purposes of any Stock Units (and the Final Delivery Date for any Remaining Shares and, for purposes of Section 1(e), all Stock Units) then held by the Employee and any dividends held by an escrow agent with respect thereto, as set forth in Section 4 below.</w:t>
      </w:r>
    </w:p>
    <w:p>
      <w:pPr>
        <w:spacing w:after="0" w:line="74" w:lineRule="exact"/>
        <w:rPr>
          <w:rFonts w:ascii="Arial" w:cs="Arial" w:eastAsia="Arial" w:hAnsi="Arial"/>
          <w:sz w:val="16"/>
          <w:szCs w:val="16"/>
          <w:color w:val="auto"/>
        </w:rPr>
      </w:pPr>
    </w:p>
    <w:p>
      <w:pPr>
        <w:ind w:left="1920" w:right="600" w:hanging="440"/>
        <w:spacing w:after="0" w:line="277" w:lineRule="auto"/>
        <w:tabs>
          <w:tab w:leader="none" w:pos="19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Notwithstanding the foregoing, in the event of a Change in Control prior to the Final Service Date, unless (A) either (1) the unvested Stock Units and Remaining Shares remain outstanding following such Change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91" w:name="page92"/>
    <w:bookmarkEnd w:id="91"/>
    <w:p>
      <w:pPr>
        <w:ind w:left="1940"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Control or (2) provision is made in connection with the Change in Control for assumption of such Stock Units or substitution of such Stock Units and Remaining Shares for new awards covering equity interests in a successor entity, with appropriate adjustments to the number of Stock Units and Remaining Shares, as determined by the Committee prior to the Change in Control pursuant to Section 3(b)(ii) of the Plan, and (B) the material terms and conditions of such Stock Units and Remaining Shares as in effect immediately prior to the Change in Control are preserved following the Change in Control (including, without limitation, with respect to the vesting schedules, the intrinsic value of the Stock Units and Remaining Shares and transferability of the Shares or other securities underlying the Stock Units and Remaining Shares prior to and following the Change in Control), the date of the Change in Control shall be deemed to be the Final Service Date for purposes of such Stock Units (and the Final Delivery Date for purposes of any Remaining Shares then outstanding and, for purposes of Section 1(e), all Stock Units) and such Stock Units shall be settled within 30 days following such date.</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 Settlement of Units, Restrictions on Remaining Shares.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soon as practicable (but in no event more than 30 days) after any Stock Unit has vested and is no longer subject to the applicable Service Condition and Performance Conditions, the Company shall, subject to Sections 1(d), 1(e) and 6, cause its applicable Affiliate to deliver to the Employee one or more unlegended, freely-transferable stock certificates or book-entry credits in respect of such Shares issued upon settlement of the vested Stock Units. Notwithstanding the foregoing, (a) the Company shall be entitled to hold the Shares or cash issuable upon settlement of Stock Units that have vested until the Company shall have received from the Employee a duly executed Form W-9 or W-8, as applicable, and (b) any certificate or book entry credit issued or entered in respect of the Remaining Shares shall be registered in the Employee’s name and shall bear an appropriate legend referring to the terms, conditions and restrictions applicable to the Remaining Shares, substantially in the following form:</w:t>
      </w:r>
    </w:p>
    <w:p>
      <w:pPr>
        <w:spacing w:after="0" w:line="70" w:lineRule="exact"/>
        <w:rPr>
          <w:sz w:val="20"/>
          <w:szCs w:val="20"/>
          <w:color w:val="auto"/>
        </w:rPr>
      </w:pPr>
    </w:p>
    <w:p>
      <w:pPr>
        <w:jc w:val="both"/>
        <w:ind w:left="460" w:right="640"/>
        <w:spacing w:after="0" w:line="264" w:lineRule="auto"/>
        <w:rPr>
          <w:sz w:val="20"/>
          <w:szCs w:val="20"/>
          <w:color w:val="auto"/>
        </w:rPr>
      </w:pPr>
      <w:r>
        <w:rPr>
          <w:rFonts w:ascii="Arial" w:cs="Arial" w:eastAsia="Arial" w:hAnsi="Arial"/>
          <w:sz w:val="18"/>
          <w:szCs w:val="18"/>
          <w:color w:val="auto"/>
        </w:rPr>
        <w:t>“The transferability of this certificate and the shares of stock represented hereby is subject to the terms and conditions (including forfeiture) of the Lazard Ltd 2008 Incentive Compensation Plan and an Award Agreement, as well as the terms and conditions of applicable law. Copies of such Plan and Agreement are on file at the offices of Lazard Ltd.”</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Company may require that the certificates or book entry credits evidencing title of the Remaining Shares be held in custody by the Company until the restrictions thereon shall have lapsed and that, as a condition of receiving the Remaining Shares, the Employee shall have delivered to the Company a stock power, endorsed in blank, relating to such Remaining Shares. If and when the Final Delivery Date occurs (or is deemed to occur) with respect to the Remaining Shares, the legend set forth shall be removed from the certificates or book entry credits evidencing such Shares. Notwithstanding any provision of this Agreement to the contrary, Shares will be delivered to the Employee in settlement of any Stock Units for which all conditions have been satisfied (or deemed satisfied) no later than March 15 of the year following the year in which such Stock Units are no longer subject to a substantial risk of forfeiture within the meaning of Treasury Regulation Section 1.409A-1(d).</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92" w:name="page93"/>
    <w:bookmarkEnd w:id="92"/>
    <w:p>
      <w:pPr>
        <w:ind w:lef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Nontransferability of the Stock Units and Remaining Shares.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Until such time as the Stock Units are ultimately settled or the Remaining Shares are ultimately free from restriction, as applicable, as provided in Section 1(d), Section 1(f) or Section 2 above, the Stock Units and Remaining Shares shall not be transferable by the Employee by means of sale, assignment, exchange, encumbrance, pledge, hedge or otherwise.</w:t>
      </w:r>
    </w:p>
    <w:p>
      <w:pPr>
        <w:spacing w:after="0" w:line="28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4. Dividend Equivalents, Rights as a Shareholder.</w:t>
      </w:r>
    </w:p>
    <w:p>
      <w:pPr>
        <w:spacing w:after="0" w:line="12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If the Company declares and pays (or sets a record date with respect to) ordinary quarterly cash dividends on the Common Stock (a) during the Performance Period, the target number of Stock Units less any Transferable Shares and Remaining Shares (such Stock Units, the “Target Stock Units”) shall be credited with additional Stock Units (determined by dividing the aggregate dividend amount that would have been paid with respect to the Target Stock Units if they had been actual Shares by the Fair Market Value of a Share on the dividend payment date) (such additional Stock Units, the “Dividend Equivalent Stock Units”), which Dividend Equivalent Stock Units (and any additional Dividend Equivalent Stock Units that are granted while the Dividend Equivalent Stock Units are outstanding) shall be subject to the Service Condition and all other terms of this Agreement but shall not be subject to the Performance Conditions (</w:t>
      </w:r>
      <w:r>
        <w:rPr>
          <w:rFonts w:ascii="Arial" w:cs="Arial" w:eastAsia="Arial" w:hAnsi="Arial"/>
          <w:sz w:val="16"/>
          <w:szCs w:val="16"/>
          <w:u w:val="single" w:color="auto"/>
          <w:color w:val="auto"/>
        </w:rPr>
        <w:t>i.e.</w:t>
      </w:r>
      <w:r>
        <w:rPr>
          <w:rFonts w:ascii="Arial" w:cs="Arial" w:eastAsia="Arial" w:hAnsi="Arial"/>
          <w:sz w:val="16"/>
          <w:szCs w:val="16"/>
          <w:color w:val="auto"/>
        </w:rPr>
        <w:t>, the Dividend Equivalent Stock Units shall be treated as Stock Units for which the Performance Conditions have already been satisfied), or (b) after the Performance Period but while any Stock Units remain outstanding, any then outstanding Stock Units shall be credited with additional Stock Units (determined by dividing the aggregate dividend amount that would have been paid with respect to the Stock Units if they had been actual Shares by the Fair Market Value of a Share on the dividend payment date), which additional Stock Units shall vest and be settled concurrently with the underlying Stock Units and be treated as Stock Units for all purposes of this Agreement. For the avoidance of doubt, the provisions of the immediately preceding sentence shall not apply to any extraordinary dividends or distributions, which are addressed in Section 3(b)(i) of the Plan.</w:t>
      </w:r>
    </w:p>
    <w:p>
      <w:pPr>
        <w:spacing w:after="0" w:line="16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Notwithstanding the foregoing, subject to Section 1(d) and Section 2 and any other applicable law or agreement, from and after the Initial Delivery Date, the Employee will have all rights and privileges of a shareholder with respect to the Shares delivered on such Initial Delivery Date, including the right to vote the Shares and to receive dividends and other distributions with respect thereto, provided that, any dividends that are paid on the Remaining Shares prior to the Final Delivery Date (whether payable in cash or Shares) will be held until the Final Delivery Date by an escrow agent that is designated by the Company, and in the event that the Remaining Shares are forfeited in accordance with Section 1(e), such dividends will also be forfeited. For the avoidance of doubt, the determination of applicable dividends, and the calculation of amounts equivalent thereto, provided for in this Section 4 shall be made consistent with the Company’s past practice with respect to similar Awards.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93" w:name="page94"/>
    <w:bookmarkEnd w:id="93"/>
    <w:p>
      <w:pPr>
        <w:ind w:lef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 Payment of Transfer Taxes, Fees and Other Expenses.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Company agrees, or will cause its applicable Affiliate, to pay any and all original issue taxes and stock transfer taxes that may be imposed on the issuance of Shares received by an Employee in connection with the Stock Units, together with any and all other fees and expenses necessarily incurred by the Company in connection therewith.</w:t>
      </w:r>
    </w:p>
    <w:p>
      <w:pPr>
        <w:spacing w:after="0" w:line="285" w:lineRule="exact"/>
        <w:rPr>
          <w:sz w:val="20"/>
          <w:szCs w:val="20"/>
          <w:color w:val="auto"/>
        </w:rPr>
      </w:pPr>
    </w:p>
    <w:p>
      <w:pPr>
        <w:ind w:left="360" w:hanging="172"/>
        <w:spacing w:after="0"/>
        <w:tabs>
          <w:tab w:leader="none" w:pos="3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Taxes and Withholding; Disgorgement of Tax Benefits.</w:t>
      </w:r>
    </w:p>
    <w:p>
      <w:pPr>
        <w:spacing w:after="0" w:line="121" w:lineRule="exact"/>
        <w:rPr>
          <w:rFonts w:ascii="Arial" w:cs="Arial" w:eastAsia="Arial" w:hAnsi="Arial"/>
          <w:sz w:val="18"/>
          <w:szCs w:val="18"/>
          <w:b w:val="1"/>
          <w:bCs w:val="1"/>
          <w:color w:val="auto"/>
        </w:rPr>
      </w:pPr>
    </w:p>
    <w:p>
      <w:pPr>
        <w:ind w:firstLine="464"/>
        <w:spacing w:after="0" w:line="268" w:lineRule="auto"/>
        <w:tabs>
          <w:tab w:leader="none" w:pos="701" w:val="left"/>
        </w:tabs>
        <w:numPr>
          <w:ilvl w:val="1"/>
          <w:numId w:val="63"/>
        </w:numPr>
        <w:rPr>
          <w:rFonts w:ascii="Arial" w:cs="Arial" w:eastAsia="Arial" w:hAnsi="Arial"/>
          <w:sz w:val="17"/>
          <w:szCs w:val="17"/>
          <w:color w:val="auto"/>
        </w:rPr>
      </w:pPr>
      <w:r>
        <w:rPr>
          <w:rFonts w:ascii="Arial" w:cs="Arial" w:eastAsia="Arial" w:hAnsi="Arial"/>
          <w:sz w:val="17"/>
          <w:szCs w:val="17"/>
          <w:color w:val="auto"/>
        </w:rPr>
        <w:t>No later than the date as of which an amount first becomes includible in the gross income of the Employee for federal, state, local or foreign income tax purposes with respect to any Stock Units, the Employee shall pay to the Company or its applicable Affiliate, or make arrangements satisfactory to the Company or its applicable Affiliate regarding the payment of, any federal, state, local and foreign taxes that are required by applicable laws and regulations to be withheld with respect to such amount. Except as otherwise required by applicable law, the Company will report that the Employee will be taxed on the full value of the Shares underlying the Employee’s Stock Units on the date that such Shares are issued to the Employee in accordance with this Agreement. The obligations of the Company under this Agreement shall be conditioned on compliance by the Employee with this Section 6, and the Company or its applicable Affiliate shall, to the extent permitted by law, have the right to deduct any such taxes from any payment otherwise due to the Employee, including deducting such amount from the delivery of Shares or cash issued upon settlement of the Stock Units that gives rise to the withholding requirement. Notwithstanding the foregoing, the Company or an Affiliate may, in the Company’s sole discretion and subject to such other terms and conditions as the Company may determine, if the Employee is not subject to withholding as a matter of applicable law as of the date that the Shares are delivered to the Employee (including if the Employee is a member of the Company who reports income from the Company and its Affiliates on Schedule K-1 to the Company’s Federal income tax return) and pursuant to the prior written approval of the Company, permit the Employee to surrender some or all of the Transferable Shares to the Company or an Affiliate and have the Company or such Affiliate remit the relevant taxes on the Employee’s behalf to the appropriate taxing authorities. Prior to an Initial Delivery Date, the Company will notify the Employee of (i) how many Shares will be delivered to the Employee on such Initial Delivery Date and (ii) the portion, if any, of the Transferable Shares that the Company or an Affiliate will retain pursuant to the immediately preceding sentence.</w:t>
      </w:r>
    </w:p>
    <w:p>
      <w:pPr>
        <w:spacing w:after="0" w:line="180" w:lineRule="exact"/>
        <w:rPr>
          <w:rFonts w:ascii="Arial" w:cs="Arial" w:eastAsia="Arial" w:hAnsi="Arial"/>
          <w:sz w:val="17"/>
          <w:szCs w:val="17"/>
          <w:color w:val="auto"/>
        </w:rPr>
      </w:pPr>
    </w:p>
    <w:p>
      <w:pPr>
        <w:ind w:right="20" w:firstLine="464"/>
        <w:spacing w:after="0" w:line="273" w:lineRule="auto"/>
        <w:tabs>
          <w:tab w:leader="none" w:pos="711" w:val="left"/>
        </w:tabs>
        <w:numPr>
          <w:ilvl w:val="1"/>
          <w:numId w:val="63"/>
        </w:numPr>
        <w:rPr>
          <w:rFonts w:ascii="Arial" w:cs="Arial" w:eastAsia="Arial" w:hAnsi="Arial"/>
          <w:sz w:val="17"/>
          <w:szCs w:val="17"/>
          <w:color w:val="auto"/>
        </w:rPr>
      </w:pPr>
      <w:r>
        <w:rPr>
          <w:rFonts w:ascii="Arial" w:cs="Arial" w:eastAsia="Arial" w:hAnsi="Arial"/>
          <w:sz w:val="17"/>
          <w:szCs w:val="17"/>
          <w:color w:val="auto"/>
        </w:rPr>
        <w:t>In the event that the Employee incurs a Termination of Employment due to a Retirement and, after such Retirement, the Employee forfeits the Remaining Shares and the dividends held in escrow in accordance with Section 4 of this Agreement, the Employee shall disgorge to the Company any tax benefit the Employee realizes from the forfeiture of any such Remaining Shares or dividends, if, as and when actually realized by the Employee. The Employee agrees to use commercially reasonable efforts to claim any tax benefit from such forfeiture that the Company reasonably determines is available to the Employee on all relevant tax returns filed after having received notice from the Company. Notwithstanding the foregoing, this Section 6(b) shall not apply from and after a Change in Control or a Termination of Employment pursuant to Section 1(d)(i).</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94" w:name="page95"/>
    <w:bookmarkEnd w:id="94"/>
    <w:p>
      <w:pPr>
        <w:ind w:lef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 Effect of Agreement.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 Nothing in this Agreement or the Plan shall confer upon the Employee any right to continue in the employ of the Company or any of its Affiliates or interfere in any way with the right of the Company or any such Affiliates to terminate the Employee’s employment at any time. Until Shares are actually delivered to the Employee upon settlement of the Stock Units, the Employee shall not have any rights as a shareholder with respect to the Stock Units, except as specifically provided herein.</w:t>
      </w:r>
    </w:p>
    <w:p>
      <w:pPr>
        <w:spacing w:after="0" w:line="297" w:lineRule="exact"/>
        <w:rPr>
          <w:sz w:val="20"/>
          <w:szCs w:val="20"/>
          <w:color w:val="auto"/>
        </w:rPr>
      </w:pPr>
    </w:p>
    <w:p>
      <w:pPr>
        <w:ind w:left="360" w:hanging="172"/>
        <w:spacing w:after="0"/>
        <w:tabs>
          <w:tab w:leader="none" w:pos="3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Laws Applicable to Construction; Consent to Jurisdiction.</w:t>
      </w:r>
    </w:p>
    <w:p>
      <w:pPr>
        <w:spacing w:after="0" w:line="121" w:lineRule="exact"/>
        <w:rPr>
          <w:rFonts w:ascii="Arial" w:cs="Arial" w:eastAsia="Arial" w:hAnsi="Arial"/>
          <w:sz w:val="18"/>
          <w:szCs w:val="18"/>
          <w:b w:val="1"/>
          <w:bCs w:val="1"/>
          <w:color w:val="auto"/>
        </w:rPr>
      </w:pPr>
    </w:p>
    <w:p>
      <w:pPr>
        <w:ind w:firstLine="464"/>
        <w:spacing w:after="0" w:line="302" w:lineRule="auto"/>
        <w:tabs>
          <w:tab w:leader="none" w:pos="701"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(United States of America), without regard to principles of conflict of laws that could cause the application of the law of any jurisdiction other than the State of New York. In addition to the terms and conditions set forth in this Agreement and the Restrictive Covenants, the Stock Units are subject to the terms and conditions of the Plan, which is hereby incorporated by reference. By accepting the Stock Units, the Employee agrees to and is bound by the Plan and the Restrictive Covenants.</w:t>
      </w:r>
    </w:p>
    <w:p>
      <w:pPr>
        <w:spacing w:after="0" w:line="154" w:lineRule="exact"/>
        <w:rPr>
          <w:rFonts w:ascii="Arial" w:cs="Arial" w:eastAsia="Arial" w:hAnsi="Arial"/>
          <w:sz w:val="16"/>
          <w:szCs w:val="16"/>
          <w:color w:val="auto"/>
        </w:rPr>
      </w:pPr>
    </w:p>
    <w:p>
      <w:pPr>
        <w:ind w:right="160" w:firstLine="464"/>
        <w:spacing w:after="0" w:line="259" w:lineRule="auto"/>
        <w:tabs>
          <w:tab w:leader="none" w:pos="711" w:val="left"/>
        </w:tabs>
        <w:numPr>
          <w:ilvl w:val="1"/>
          <w:numId w:val="64"/>
        </w:numPr>
        <w:rPr>
          <w:rFonts w:ascii="Arial" w:cs="Arial" w:eastAsia="Arial" w:hAnsi="Arial"/>
          <w:sz w:val="18"/>
          <w:szCs w:val="18"/>
          <w:color w:val="auto"/>
        </w:rPr>
      </w:pPr>
      <w:r>
        <w:rPr>
          <w:rFonts w:ascii="Arial" w:cs="Arial" w:eastAsia="Arial" w:hAnsi="Arial"/>
          <w:sz w:val="18"/>
          <w:szCs w:val="18"/>
          <w:color w:val="auto"/>
        </w:rPr>
        <w:t>Subject to the provisions of Section 8(c), any controversy or claim between the Employee and the Company or its Affiliates arising out of or relating to or concerning the provisions of this Agreement or the Plan shall be finally settled by arbitration in New York City before, and in accordance with the rules then obtaining of, the Financial Industry Regulatory Authority (“FINRA”) or, if FINRA declines to arbitrate the matter, the American Arbitration Association (the “AAA”) in accordance with the commercial arbitration rules of the AAA.</w:t>
      </w:r>
    </w:p>
    <w:p>
      <w:pPr>
        <w:spacing w:after="0" w:line="186" w:lineRule="exact"/>
        <w:rPr>
          <w:rFonts w:ascii="Arial" w:cs="Arial" w:eastAsia="Arial" w:hAnsi="Arial"/>
          <w:sz w:val="18"/>
          <w:szCs w:val="18"/>
          <w:color w:val="auto"/>
        </w:rPr>
      </w:pPr>
    </w:p>
    <w:p>
      <w:pPr>
        <w:ind w:firstLine="464"/>
        <w:spacing w:after="0" w:line="290" w:lineRule="auto"/>
        <w:tabs>
          <w:tab w:leader="none" w:pos="701" w:val="left"/>
        </w:tabs>
        <w:numPr>
          <w:ilvl w:val="1"/>
          <w:numId w:val="64"/>
        </w:numPr>
        <w:rPr>
          <w:rFonts w:ascii="Arial" w:cs="Arial" w:eastAsia="Arial" w:hAnsi="Arial"/>
          <w:sz w:val="16"/>
          <w:szCs w:val="16"/>
          <w:color w:val="auto"/>
        </w:rPr>
      </w:pPr>
      <w:r>
        <w:rPr>
          <w:rFonts w:ascii="Arial" w:cs="Arial" w:eastAsia="Arial" w:hAnsi="Arial"/>
          <w:sz w:val="16"/>
          <w:szCs w:val="16"/>
          <w:color w:val="auto"/>
        </w:rPr>
        <w:t>Notwithstanding the provisions of Section 8(b), and in addition to its right to submit any dispute or controversy to arbitration, the Company or one of its Affiliates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Restrictive Covenants, or to enforce an arbitration award, and, for the purposes of this Section 8(c), the Employee (i) expressly consents to the application of Section 8(d) to any such action or proceeding, (ii) agrees that proof shall not be required that monetary damages for breach of the provisions of the Restrictive Covenants or this Agreement would be difficult to calculate and that remedies at law would be inadequate, and (iii) irrevocably appoints the General Counsel of the Company as the Employee’s agent for service of process in connection with any such action or proceeding, who shall promptly advise the Employee of any such service of process by notifying the Employee at the last address on file in the Company’s records.</w:t>
      </w:r>
    </w:p>
    <w:p>
      <w:pPr>
        <w:spacing w:after="0" w:line="166" w:lineRule="exact"/>
        <w:rPr>
          <w:rFonts w:ascii="Arial" w:cs="Arial" w:eastAsia="Arial" w:hAnsi="Arial"/>
          <w:sz w:val="16"/>
          <w:szCs w:val="16"/>
          <w:color w:val="auto"/>
        </w:rPr>
      </w:pPr>
    </w:p>
    <w:p>
      <w:pPr>
        <w:ind w:right="360" w:firstLine="464"/>
        <w:spacing w:after="0" w:line="264" w:lineRule="auto"/>
        <w:tabs>
          <w:tab w:leader="none" w:pos="711"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Employee and the Company hereby irrevocably submit to the exclusive jurisdiction of any state or federal court located in the City of New York over any suit, action, or proceeding arising out of, relating to or in connection with this Agreement or the Plan that is not otherwise required to be arbitrated or resolved in accordance with the provisions of Section 8(b).</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95" w:name="page96"/>
    <w:bookmarkEnd w:id="9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includes any suit, action or proceeding to compel arbitration or to enforce an arbitration award. The Employee and the Company acknowledge that the forum designated by this Section 8(d) has a reasonable relation to this Agreement, and to the Employee’s relationship to the Company. Notwithstanding the foregoing, nothing herein shall preclude the Company or the Employee from bringing any action or proceeding in any other court for the purpose of enforcing the provisions of Sections 8(a), 8(b), or this Section 8(d). The agreement of the Employee and the Company as to forum is independent of the law that may be applied in the action, and the Employee and the Company agree to such forum even if the forum may under applicable law choose to apply non-forum law. The Employee and the Company hereby waive, to the fullest extent permitted by applicable law, any objection which the Employee or the Company now or hereafter may have to personal jurisdiction or to the laying of venue of any such suit, action or proceeding in any court referred to in this Section 8(d). The Employee and the Company undertake not to commence any action arising out of, or relating to or in connection with this Agreement in any forum other than a forum described in this Section 8(d), or, to the extent applicable, Section 8(b). The Employee and the Company agree that, to the fullest extent permitted by applicable law, a final and non-appealable judgment in any such suit, action or proceeding in any such court shall be conclusive and binding upon the Employee and the Company.</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9. Conflicts and Interpretation.</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Committee has the power, among others, to (a) interpret the Plan, (b) prescribe, amend and rescind rules and regulations relating to the Plan, and (c) make all other determinations deemed necessary or advisable for the administration of the Plan.</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10. Amendment.</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Any modification, amendment or waiver to this Agreement that shall materially impair the rights of the Employee with respect to the Stock Units shall require an instrument in writing to be signed (either in paper format or electronically) by both parties hereto, except such a modification, amendment or waiver made to cause the Plan or the Stock Units to comply with applicable law, tax rules, stock exchange rules or accounting rules and which is made to similarly situated employees.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11. Section 409A of the Code.</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It is intended that the Stock Units shall be exempt from Section 409A of the Code pursuant to the “short-term deferral” rule applicable to such section, as set forth in the regulations or other guidance published by the Internal Revenue Service thereunder.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96" w:name="page97"/>
    <w:bookmarkEnd w:id="96"/>
    <w:p>
      <w:pPr>
        <w:ind w:lef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 Electronic Delivery.</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lieu of receiving documents in paper format, the Employee hereby agrees, to the fullest extent permitted by law, to accept electronic delivery of any documents that the Company or any Affiliate may be required to deliver (including, but not limited to, prospectuses, prospectus supplements, grant or Award notifications and agreements, account statements, annual and quarterly reports, and all other forms of communications) in connection with the Stock Units or any other prior or future Award (it being understood and agreed that the Company or its Affiliates may, in their sole discretion, elect to satisfy any delivery requirements electronically, in paper format, or a combination of both methods). Electronic delivery of a document to the Employee may be via a Company email system or by reference to a location on a Company intranet or secure internet site to which Employee has access.</w:t>
      </w:r>
    </w:p>
    <w:p>
      <w:pPr>
        <w:spacing w:after="0" w:line="26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13. Compensation Recovery Policy.</w:t>
      </w:r>
    </w:p>
    <w:p>
      <w:pPr>
        <w:spacing w:after="0" w:line="121"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The Employee acknowledges and agrees that the Employee and the Stock Units are subject to the Company’s Compensation Recovery Policy Applicable to Named Executive Officers, as in effect as of the date hereof (a copy of which has been provided to the Employee).</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14. Headings.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LEFT INTENTIONALLY BLANK]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70" w:right="339" w:bottom="1440" w:gutter="0" w:footer="0" w:header="0"/>
        </w:sectPr>
      </w:pPr>
    </w:p>
    <w:bookmarkStart w:id="97" w:name="page98"/>
    <w:bookmarkEnd w:id="97"/>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as of the date first above written, the Company has caused this Agreement to be executed on behalf of its applicable Affiliate by a duly authorized officer and the Employee has hereunto set the Employee’s hand.</w:t>
      </w:r>
    </w:p>
    <w:p>
      <w:pPr>
        <w:spacing w:after="0" w:line="17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LAZARD LTD,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74930</wp:posOffset>
            </wp:positionV>
            <wp:extent cx="2718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38"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340360</wp:posOffset>
            </wp:positionV>
            <wp:extent cx="2718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274" w:right="39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Criteria and Calculation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4" w:right="1440" w:bottom="1440" w:gutter="0" w:footer="0" w:header="0"/>
        </w:sectPr>
      </w:pPr>
    </w:p>
    <w:bookmarkStart w:id="99" w:name="page100"/>
    <w:bookmarkEnd w:id="99"/>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Restrictive Covenants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Employee acknowledges that the grant of the performance-based Stock Units pursuant to the Performance-Based Stock Unit Agreement (such Stock Units, the “Stock Units” and such Performance-Based Stock Unit Agreement, the “Agreement”) confers a substantial benefit upon the Employee, and agrees to the following covenants (the “Restrictive Covenants”), which are designed, among other things, to protect the interests of the Lazard Group LLC, a Delaware limited liability company (the “Company”), and its Affiliates (collectively, the “Firm”) in its confidential and proprietary information, trade secrets, customer and employee relationships, orderly transition of responsibilities, and other legitimate business interests. All capitalized terms used herein, to the extent not defined, shall have the meaning set forth in the Lazard Ltd 2008 Incentive Compensation Plan. The Employee acknowledges that the Stock Units will be forfeited upon a violation by the Employee of the Restrictive Covenants, and that, pursuant to the Agreement, the Firm may seek injunctive relief in order to enforce the Restrictive Covenants:</w:t>
      </w:r>
    </w:p>
    <w:p>
      <w:pPr>
        <w:spacing w:after="0" w:line="192" w:lineRule="exact"/>
        <w:rPr>
          <w:sz w:val="20"/>
          <w:szCs w:val="20"/>
          <w:color w:val="auto"/>
        </w:rPr>
      </w:pPr>
    </w:p>
    <w:p>
      <w:pPr>
        <w:ind w:right="20" w:firstLine="464"/>
        <w:spacing w:after="0" w:line="287" w:lineRule="auto"/>
        <w:tabs>
          <w:tab w:leader="none" w:pos="701"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The Employee shall not at any time (whether prior to or following the Employee’s Termination of Employment) disclose or use for the Employee’s own benefit or purposes or the benefit or purposes of any other person, corporation or other business organization or entity, other than the Firm, any trade secrets, information, data, or other confidential or proprietary information relating to the customers, developments, programs, plans or business and affairs of the Firm;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information that is not unique to the Firm or that is generally known to the industry or the public other than as a result of the Employee’s breach of this Restrictive Covenant or as required pursuant to an order of a court, governmental agency or other authorized tribunal (provided that the Employee shall provide the Firm prior written notice of any such required disclosure). The Employee agrees that upon the Employee’s Termination of Employment, the Employee or, in the event of the Employee’s death, the Employee’s heirs or estate at the request of the Firm, shall return to the Firm immediately all books, papers, plans, information, letters and other data, and all copies thereof or therefrom, in any way relating to the business of the Firm. Without limiting the foregoing, the existence of, and any information concerning, any dispute between the Employee and the Firm shall be subject to the terms of this Paragraph (a), except that the Employee may disclose information concerning such dispute to the arbitrator or court that is considering such dispute, and to the Employee’s legal counsel, spouse or domestic partner, and tax and financial advisors (provided that such persons agree not to disclose any such information).</w:t>
      </w:r>
    </w:p>
    <w:p>
      <w:pPr>
        <w:spacing w:after="0" w:line="168" w:lineRule="exact"/>
        <w:rPr>
          <w:rFonts w:ascii="Arial" w:cs="Arial" w:eastAsia="Arial" w:hAnsi="Arial"/>
          <w:sz w:val="16"/>
          <w:szCs w:val="16"/>
          <w:color w:val="auto"/>
        </w:rPr>
      </w:pPr>
    </w:p>
    <w:p>
      <w:pPr>
        <w:ind w:right="80" w:firstLine="464"/>
        <w:spacing w:after="0" w:line="255" w:lineRule="auto"/>
        <w:tabs>
          <w:tab w:leader="none" w:pos="71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The Employee acknowledges and recognizes the highly competitive nature of the businesses of the Firm. The Employee further acknowledges that the Employee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Employee further acknowledges that such proprietary information and relationships are extremely valuable assets in which the Firm has invested and shall continue to invest substantial time, effort and expense. The Employee agrees that while employed by the Firm and thereafter until (i) (A) three months after the Employee’s date of Termination of Employment for any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80"/>
          </w:cols>
          <w:pgMar w:left="240" w:top="274" w:right="279" w:bottom="1440" w:gutter="0" w:footer="0" w:header="0"/>
        </w:sectPr>
      </w:pPr>
    </w:p>
    <w:bookmarkStart w:id="100" w:name="page101"/>
    <w:bookmarkEnd w:id="10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 other than a termination by the Firm without Cause or (B) one month after the date of the Employee’s Termination of Employment by the Firm without Cause (in either case, the date of such Termination of Employment, the “Date of Termination”) or (ii) the end of any longer period during which any similar covenants would be applicable to the Employee pursuant to any other agreement (other than an award agreement evidencing previously granted equity-based, fund interest, deferred cash or similar awards (collectively, the “Prior Awards”)) between the Employee and the Firm (such period, the “Non-compete Restriction Period”), the Employee shall not, directly or indirectly, on the Employee’s behalf or on behalf of any other person, firm, corporation, association or other entity, as an employee, director, advisor, partner, consultant or otherwise, provide services or perform activities for, or acquire or maintain any ownership interest in, a “Competitive Enterprise”. For purposes of the Agreement, including this Appendix B, “Competitive Enterprise” shall mean a business (or business unit) that (x) engages in any activity or (y) owns or controls a significant interest in any entity that engages in any activity, that in either case, competes anywhere with any activity that is similar to an activity in which the Firm is engaged up to and including the Employee’s Date of Termination. Notwithstanding anything in this Appendix B, the Employee shall not be considered to be in violation of the Restrictive Covenants solely by reason of owning, directly or indirectly, any stock or other securities of a Competitive Enterprise (or comparable interest, including a voting or profit participation interest, in any such Competitive Enterprise) if the Employee’s interest does not exceed 5% of the outstanding capital stock of such Competitive Enterprise (or comparable interest, including a voting or profit participation interest, in such Competitive Enterprise). The Employee acknowledges that the Firm is engaged in business throughout the world. Accordingly, and in view of the nature of the Employee’s position and responsibilities, the Employee agrees that the provisions of this Paragraph (b) shall be applicable to each jurisdiction, foreign country, state, possession or territory in which the Firm may be engaged in business while the Employee is providing services to the Firm.</w:t>
      </w:r>
    </w:p>
    <w:p>
      <w:pPr>
        <w:spacing w:after="0" w:line="181" w:lineRule="exact"/>
        <w:rPr>
          <w:sz w:val="20"/>
          <w:szCs w:val="20"/>
          <w:color w:val="auto"/>
        </w:rPr>
      </w:pPr>
    </w:p>
    <w:p>
      <w:pPr>
        <w:ind w:right="20" w:firstLine="464"/>
        <w:spacing w:after="0" w:line="287" w:lineRule="auto"/>
        <w:tabs>
          <w:tab w:leader="none" w:pos="701"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xml:space="preserve">. The Employee hereby agrees that during the Non-compete Restriction Period, the Employee shall not, in any manner, directly or indirectly, (i) Solicit a Client to transact business with a Competitive Enterprise or to reduce or refrain from doing any business with the Firm, to the extent the Employee is soliciting a Client to provide them with services the performance of which would violate Paragraph (b) above if such services were provided by the Employee, or (ii) interfere with or damage (or attempt to interfere with or damage) any relationship between the Firm and a Client. For purposes of the Agreement, including this Appendix B, the term “Solicit” means any direct or indirect communication of any kind whatsoever, regardless of by whom initiated, inviting, advising, persuading, encouraging or requesting any person or entity, in any manner, to take or refrain from taking any action, and the term “Client” means any client or prospective client of the Firm to whom the Employee provided services, or for whom the Employee transacted business, or whose identity became known to the Employee in connection with the Employee’s relationship with or employment by the Firm, whether or not the Firm has been engaged by such Client pursuant to a written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74" w:right="239" w:bottom="1440" w:gutter="0" w:footer="0" w:header="0"/>
        </w:sectPr>
      </w:pPr>
    </w:p>
    <w:bookmarkStart w:id="101" w:name="page102"/>
    <w:bookmarkEnd w:id="101"/>
    <w:p>
      <w:pPr>
        <w:ind w:left="-20" w:firstLine="464"/>
        <w:spacing w:after="0" w:line="291" w:lineRule="auto"/>
        <w:tabs>
          <w:tab w:leader="none" w:pos="69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Hire of Employees</w:t>
      </w:r>
      <w:r>
        <w:rPr>
          <w:rFonts w:ascii="Arial" w:cs="Arial" w:eastAsia="Arial" w:hAnsi="Arial"/>
          <w:sz w:val="16"/>
          <w:szCs w:val="16"/>
          <w:color w:val="auto"/>
        </w:rPr>
        <w:t>. The Employee hereby agrees that while employed by the Firm and thereafter until (i) six months after the Date of Termination for any reason or (ii) the end of any longer period during which any similar covenants would be applicable to the Employee pursuant to any other agreement (other than an award agreement evidencing any Prior Awards) between the Employee and the Firm (such period, the “No Hire Restriction Period”), the Employee shall not, directly or indirectly, for himself or on behalf of any third party at any time in any manner, Solicit, hire, or otherwise cause any employee who is at the associate level or above (including, without limitation, managing directors),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67" w:lineRule="exact"/>
        <w:rPr>
          <w:rFonts w:ascii="Arial" w:cs="Arial" w:eastAsia="Arial" w:hAnsi="Arial"/>
          <w:sz w:val="16"/>
          <w:szCs w:val="16"/>
          <w:color w:val="auto"/>
        </w:rPr>
      </w:pPr>
    </w:p>
    <w:p>
      <w:pPr>
        <w:ind w:left="-20" w:right="340" w:firstLine="464"/>
        <w:spacing w:after="0" w:line="273" w:lineRule="auto"/>
        <w:tabs>
          <w:tab w:leader="none" w:pos="681"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The Employee shall not at any time (whether prior to or following the Employee’s Termination of Employment), and shall instruct the Employee’s spouse or domestic partner, parents, and any of their lineal descendants (it being agreed that in any dispute between the parties regarding whether the Employee breached such obligation to instruct, the Firm shall bear the burden of demonstrating that the Employee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w:t>
      </w:r>
    </w:p>
    <w:p>
      <w:pPr>
        <w:spacing w:after="0" w:line="178" w:lineRule="exact"/>
        <w:rPr>
          <w:rFonts w:ascii="Arial" w:cs="Arial" w:eastAsia="Arial" w:hAnsi="Arial"/>
          <w:sz w:val="17"/>
          <w:szCs w:val="17"/>
          <w:color w:val="auto"/>
        </w:rPr>
      </w:pPr>
    </w:p>
    <w:p>
      <w:pPr>
        <w:ind w:left="-20" w:right="40" w:firstLine="464"/>
        <w:spacing w:after="0" w:line="255" w:lineRule="auto"/>
        <w:tabs>
          <w:tab w:leader="none" w:pos="66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Notice of Termination Required</w:t>
      </w:r>
      <w:r>
        <w:rPr>
          <w:rFonts w:ascii="Arial" w:cs="Arial" w:eastAsia="Arial" w:hAnsi="Arial"/>
          <w:sz w:val="18"/>
          <w:szCs w:val="18"/>
          <w:color w:val="auto"/>
        </w:rPr>
        <w:t>. The Employee agrees to provide a period of advance written notice to the Firm prior to the Employee’s Termination of Employment equal to (i) three months or (ii) any longer notice period required pursuant to any other agreement (other than an award agreement evidencing any Prior Awards) between the Employee and the Firm. The Employee hereby agrees that, if, during the applicable period after the Employee has provided notice of termination to the Firm or prior thereto, the Employee enters (or has entered into) a written agreement to provide services or perform activities for a Competitive Enterprise that would violate Paragraph (b) if performed during the Non-compete Restriction Period, such action shall be deemed a violation of this Paragraph (f).</w:t>
      </w:r>
    </w:p>
    <w:p>
      <w:pPr>
        <w:spacing w:after="0" w:line="193" w:lineRule="exact"/>
        <w:rPr>
          <w:rFonts w:ascii="Arial" w:cs="Arial" w:eastAsia="Arial" w:hAnsi="Arial"/>
          <w:sz w:val="18"/>
          <w:szCs w:val="18"/>
          <w:color w:val="auto"/>
        </w:rPr>
      </w:pPr>
    </w:p>
    <w:p>
      <w:pPr>
        <w:ind w:left="-20" w:right="80" w:firstLine="464"/>
        <w:spacing w:after="0" w:line="271" w:lineRule="auto"/>
        <w:tabs>
          <w:tab w:leader="none" w:pos="691"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Restrictive Covenants Generally</w:t>
      </w:r>
      <w:r>
        <w:rPr>
          <w:rFonts w:ascii="Arial" w:cs="Arial" w:eastAsia="Arial" w:hAnsi="Arial"/>
          <w:sz w:val="17"/>
          <w:szCs w:val="17"/>
          <w:color w:val="auto"/>
        </w:rPr>
        <w:t>. If any of the Restrictive Covenants is finally held to be invalid, illegal or unenforceable (whether in whole or in part), such Restrictive Covenant shall be deemed modified to the extent, but only to the extent, of such invalidity, illegality or unenforceability and the remaining such Restrictive Covenants shall not be affected thereby; provided, however, that if any of such Restrictive Covenants is finally held to be invalid, illegal or unenforceable because it exceeds the maximum scope determined to be acceptable to permit such provision to be enforceable, such Restrictive Covenant shall be deemed to be modified to the minimum extent necessary to modify such scope in order to make such provision enforceable hereunder. The Employee hereby agrees that prior to accepting employment with any other person or entity during his period of service with the Firm or during the Non-compete Restriction Period or the No Hire Restriction Period, the Employee shall provide such prospective employer with written notice of the provisions of this Appendix B, with a copy of such notice delivered no later than the date of the Employee’s commencement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60" w:top="274" w:right="239" w:bottom="1440" w:gutter="0" w:footer="0" w:header="0"/>
        </w:sectPr>
      </w:pPr>
    </w:p>
    <w:bookmarkStart w:id="102" w:name="page103"/>
    <w:bookmarkEnd w:id="102"/>
    <w:p>
      <w:pPr>
        <w:ind w:right="3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employment with such prospective employer, to the General Counsel of the Company. The Employee acknowledges and agrees that the terms of the Restrictive Covenants: (i) are reasonable in light of all of the circumstances, (ii) are sufficiently limited to protect the legitimate interests of the Firm,</w:t>
      </w:r>
    </w:p>
    <w:p>
      <w:pPr>
        <w:ind w:right="40" w:firstLine="8"/>
        <w:spacing w:after="0" w:line="290" w:lineRule="auto"/>
        <w:tabs>
          <w:tab w:leader="none" w:pos="315" w:val="left"/>
        </w:tabs>
        <w:numPr>
          <w:ilvl w:val="0"/>
          <w:numId w:val="68"/>
        </w:numPr>
        <w:rPr>
          <w:rFonts w:ascii="Arial" w:cs="Arial" w:eastAsia="Arial" w:hAnsi="Arial"/>
          <w:sz w:val="16"/>
          <w:szCs w:val="16"/>
          <w:color w:val="auto"/>
        </w:rPr>
      </w:pPr>
      <w:r>
        <w:rPr>
          <w:rFonts w:ascii="Arial" w:cs="Arial" w:eastAsia="Arial" w:hAnsi="Arial"/>
          <w:sz w:val="16"/>
          <w:szCs w:val="16"/>
          <w:color w:val="auto"/>
        </w:rPr>
        <w:t>impose no undue hardship on the Employee and (iv) are not injurious to the public. The Employee acknowledges and agrees that the Employee’s breach of the Restrictive Covenants will cause the Firm irreparable harm, which cannot be adequately compensated by money damages. The Employee also agrees that the Firm shall be entitled to injunctive relief for any actual or threatened violation of any of the Restrictive Covenants in addition to any other remedies it may have, including, without limitation, money damages and forfeiture of the Stock Units. The Employee further acknowledges that, except as provided in Paragraph (h), the Restrictive Covenants and notice period requirements set forth herein shall operate independently of, and not instead of, any other restrictive covenants or notice period requirements to which the Employee is subject pursuant to other plans and agreements involving the Firm.</w:t>
      </w:r>
    </w:p>
    <w:p>
      <w:pPr>
        <w:spacing w:after="0" w:line="164" w:lineRule="exact"/>
        <w:rPr>
          <w:rFonts w:ascii="Arial" w:cs="Arial" w:eastAsia="Arial" w:hAnsi="Arial"/>
          <w:sz w:val="16"/>
          <w:szCs w:val="16"/>
          <w:color w:val="auto"/>
        </w:rPr>
      </w:pPr>
    </w:p>
    <w:p>
      <w:pPr>
        <w:ind w:firstLine="464"/>
        <w:spacing w:after="0" w:line="257" w:lineRule="auto"/>
        <w:tabs>
          <w:tab w:leader="none" w:pos="711"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Other Restrictive Covenants</w:t>
      </w:r>
      <w:r>
        <w:rPr>
          <w:rFonts w:ascii="Arial" w:cs="Arial" w:eastAsia="Arial" w:hAnsi="Arial"/>
          <w:sz w:val="18"/>
          <w:szCs w:val="18"/>
          <w:color w:val="auto"/>
        </w:rPr>
        <w:t>. The Employee acknowledges that, in the event that the Employee is subject to an employment contract, the Restrictive Covenants set forth in this Appendix B constitute a supplement to such employment contract and will be entirely governed by the distinct and specific provisions of this Appendix B. The Employee acknowledges that the Restrictive Covenants set forth in this Appendix B shall supersede and are in full substitution for any and all prior restrictive covenants included in any award agreement evidencing any Prior Awards by which the Employee is bound, and this Paragraph (h) shall constitute a valid amendment to such award agreements.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274" w:right="2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10.56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constitutes part of a prospectus covering securities that have been registered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STOCK UNIT AGREEMENT</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AGREEMENT, dated as of February 20, 2014, between Lazard Ltd, a Bermuda exempted company (the “Company”), on behalf of its applicable Affiliate (as defined under the definitional rules of Section 1(a) below), and Kenneth M. Jacobs (the “Employee”).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herefrom, the parties hereto agree as follows:</w:t>
      </w:r>
    </w:p>
    <w:p>
      <w:pPr>
        <w:spacing w:after="0" w:line="352" w:lineRule="exact"/>
        <w:rPr>
          <w:sz w:val="20"/>
          <w:szCs w:val="20"/>
          <w:color w:val="auto"/>
        </w:rPr>
      </w:pPr>
    </w:p>
    <w:p>
      <w:pPr>
        <w:ind w:left="360" w:hanging="172"/>
        <w:spacing w:after="0"/>
        <w:tabs>
          <w:tab w:leader="none" w:pos="3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Grant and Vesting of Performance-Based Stock Units.</w:t>
      </w:r>
    </w:p>
    <w:p>
      <w:pPr>
        <w:spacing w:after="0" w:line="121" w:lineRule="exact"/>
        <w:rPr>
          <w:rFonts w:ascii="Arial" w:cs="Arial" w:eastAsia="Arial" w:hAnsi="Arial"/>
          <w:sz w:val="18"/>
          <w:szCs w:val="18"/>
          <w:b w:val="1"/>
          <w:bCs w:val="1"/>
          <w:color w:val="auto"/>
        </w:rPr>
      </w:pPr>
    </w:p>
    <w:p>
      <w:pPr>
        <w:ind w:right="100" w:firstLine="464"/>
        <w:spacing w:after="0" w:line="293" w:lineRule="auto"/>
        <w:tabs>
          <w:tab w:leader="none" w:pos="701" w:val="left"/>
        </w:tabs>
        <w:numPr>
          <w:ilvl w:val="1"/>
          <w:numId w:val="69"/>
        </w:numPr>
        <w:rPr>
          <w:rFonts w:ascii="Arial" w:cs="Arial" w:eastAsia="Arial" w:hAnsi="Arial"/>
          <w:sz w:val="16"/>
          <w:szCs w:val="16"/>
          <w:color w:val="auto"/>
        </w:rPr>
      </w:pPr>
      <w:r>
        <w:rPr>
          <w:rFonts w:ascii="Arial" w:cs="Arial" w:eastAsia="Arial" w:hAnsi="Arial"/>
          <w:sz w:val="16"/>
          <w:szCs w:val="16"/>
          <w:color w:val="auto"/>
        </w:rPr>
        <w:t>Subject to the provisions of this Agreement and to the provisions of the Company’s 2008 Incentive Compensation Plan (the “Plan”) (all capitalized terms used herein, to the extent not defined, shall have the meaning set forth in the Plan), the Company, on behalf of its applicable Affiliate, hereby grants to the Employee, as of the date set forth above (the “Grant Date”), the target number of performance-based Stock Units (“Stock Units”) specified in Appendix A, each with respect to one Share. Subject to the terms and conditions set forth in this Agreement, the Employee will actually earn (or be deemed to earn) a number of Stock Units that is between 0% and 200% of the target number of Stock Units subject to this Agreement, such number of earned Stock Units to be determined based on achievement of the performance goals set forth on Appendix A (the “Performance Conditions”).</w:t>
      </w:r>
    </w:p>
    <w:p>
      <w:pPr>
        <w:spacing w:after="0" w:line="164" w:lineRule="exact"/>
        <w:rPr>
          <w:rFonts w:ascii="Arial" w:cs="Arial" w:eastAsia="Arial" w:hAnsi="Arial"/>
          <w:sz w:val="16"/>
          <w:szCs w:val="16"/>
          <w:color w:val="auto"/>
        </w:rPr>
      </w:pPr>
    </w:p>
    <w:p>
      <w:pPr>
        <w:ind w:right="240" w:firstLine="464"/>
        <w:spacing w:after="0" w:line="277" w:lineRule="auto"/>
        <w:tabs>
          <w:tab w:leader="none" w:pos="711" w:val="left"/>
        </w:tabs>
        <w:numPr>
          <w:ilvl w:val="1"/>
          <w:numId w:val="69"/>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to the provisions of the Plan, the Stock Units shall vest and no longer be subject to any restriction if each of the following two conditions has been satisfied:</w:t>
      </w:r>
    </w:p>
    <w:p>
      <w:pPr>
        <w:spacing w:after="0" w:line="75" w:lineRule="exact"/>
        <w:rPr>
          <w:rFonts w:ascii="Arial" w:cs="Arial" w:eastAsia="Arial" w:hAnsi="Arial"/>
          <w:sz w:val="18"/>
          <w:szCs w:val="18"/>
          <w:color w:val="auto"/>
        </w:rPr>
      </w:pPr>
    </w:p>
    <w:p>
      <w:pPr>
        <w:ind w:left="1920" w:right="280" w:hanging="440"/>
        <w:spacing w:after="0" w:line="277" w:lineRule="auto"/>
        <w:tabs>
          <w:tab w:leader="none" w:pos="19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Employee has remained continuously employed by the Company or any of its Affiliates until March 1, 2017 (such date, the “Final Service Date”, and such condition, the “Service Condition”); and</w:t>
      </w:r>
    </w:p>
    <w:p>
      <w:pPr>
        <w:spacing w:after="0" w:line="75" w:lineRule="exact"/>
        <w:rPr>
          <w:rFonts w:ascii="Arial" w:cs="Arial" w:eastAsia="Arial" w:hAnsi="Arial"/>
          <w:sz w:val="18"/>
          <w:szCs w:val="18"/>
          <w:color w:val="auto"/>
        </w:rPr>
      </w:pPr>
    </w:p>
    <w:p>
      <w:pPr>
        <w:ind w:left="1920" w:right="140" w:hanging="440"/>
        <w:spacing w:after="0" w:line="271" w:lineRule="auto"/>
        <w:tabs>
          <w:tab w:leader="none" w:pos="1920" w:val="left"/>
        </w:tabs>
        <w:numPr>
          <w:ilvl w:val="2"/>
          <w:numId w:val="69"/>
        </w:numPr>
        <w:rPr>
          <w:rFonts w:ascii="Arial" w:cs="Arial" w:eastAsia="Arial" w:hAnsi="Arial"/>
          <w:sz w:val="17"/>
          <w:szCs w:val="17"/>
          <w:color w:val="auto"/>
        </w:rPr>
      </w:pPr>
      <w:r>
        <w:rPr>
          <w:rFonts w:ascii="Arial" w:cs="Arial" w:eastAsia="Arial" w:hAnsi="Arial"/>
          <w:sz w:val="17"/>
          <w:szCs w:val="17"/>
          <w:color w:val="auto"/>
        </w:rPr>
        <w:t xml:space="preserve">The Committee concludes that during the period beginning on January 1, 2014 and ending on December 31, 2016 (the “Performance Period”), the Company has achieved the Performance Conditions and specifies the level at which the Stock Units shall vest, based on the scoring, adjustment and weighting provisions set forth in Appendix 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in its sole discretion, may interpret the goals and scoring set forth in Appendix A as it deems necessary or appropriate (including, without limitation, to the extent necessary to address extraordinary events or circumstances). The ultimate score achieved based on Appendix A (which may range from 0.0 to 2.0) will be multiplied by the total target number of Stock Units in order to determine the number of Stock Units that may vest upon satisfaction of the Service Condition. Furthermore, the Committee shall determine, following the end of each fiscal year during</w:t>
      </w:r>
    </w:p>
    <w:p>
      <w:pPr>
        <w:sectPr>
          <w:pgSz w:w="11900" w:h="16838" w:orient="portrait"/>
          <w:cols w:equalWidth="0" w:num="1">
            <w:col w:w="11420"/>
          </w:cols>
          <w:pgMar w:left="240" w:top="121" w:right="239" w:bottom="1440" w:gutter="0" w:footer="0" w:header="0"/>
        </w:sectPr>
      </w:pPr>
    </w:p>
    <w:bookmarkStart w:id="104" w:name="page105"/>
    <w:bookmarkEnd w:id="104"/>
    <w:p>
      <w:pPr>
        <w:ind w:left="1920"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Performance Period and in accordance with the methodology described in the first sentence of this Section 1(b)(ii), the extent to which the Company has achieved the Performance Conditions with respect to such fiscal year and, in the event that the Performance Conditions in that year have been achieved at the target level (</w:t>
      </w:r>
      <w:r>
        <w:rPr>
          <w:rFonts w:ascii="Arial" w:cs="Arial" w:eastAsia="Arial" w:hAnsi="Arial"/>
          <w:sz w:val="17"/>
          <w:szCs w:val="17"/>
          <w:u w:val="single" w:color="auto"/>
          <w:color w:val="auto"/>
        </w:rPr>
        <w:t>i.e.</w:t>
      </w:r>
      <w:r>
        <w:rPr>
          <w:rFonts w:ascii="Arial" w:cs="Arial" w:eastAsia="Arial" w:hAnsi="Arial"/>
          <w:sz w:val="17"/>
          <w:szCs w:val="17"/>
          <w:color w:val="auto"/>
        </w:rPr>
        <w:t>, the 1.0x level) or above, then the Performance Conditions will be deemed satisfied with respect to twenty-five percent (25%) of the total target number of Stock Units (any such Stock Units that are earned in accordance with this sentence, the “Fiscal Year Stock Units”). Any Fiscal Year Stock Units will vest upon satisfaction (or deemed satisfaction) of the Service Condition in accordance with Section 1(b)(i) above or Section 1(d) or 1(f) below and will be settled at the time set forth in Section 1(d)(iii) below. In the event that the Committee makes any conclusion regarding achievement of the Performance Conditions for the full Performance Period (or, in the case of Section 1(d)(i) or 1(f)(i), for a portion thereof), any Fiscal Year Stock Units will be applied to reduce the number of Stock Units that would otherwise be earned in accordance with this Agreement.</w:t>
      </w:r>
    </w:p>
    <w:p>
      <w:pPr>
        <w:spacing w:after="0" w:line="178" w:lineRule="exact"/>
        <w:rPr>
          <w:sz w:val="20"/>
          <w:szCs w:val="20"/>
          <w:color w:val="auto"/>
        </w:rPr>
      </w:pPr>
    </w:p>
    <w:p>
      <w:pPr>
        <w:ind w:left="-20" w:right="20" w:firstLine="464"/>
        <w:spacing w:after="0" w:line="254" w:lineRule="auto"/>
        <w:tabs>
          <w:tab w:leader="none" w:pos="681"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Except as set forth in Section 1(f) below, in the event that the Employee incurs a Termination of Employment prior to the Final Service Date for any reason not set forth in Section 1(d), all unvested Stock Units (and any Remaining Shares (as defined in Section 1(d)(iii) below)) shall be forfeited by the Employee effective immediately upon such Termination of Employment. For purposes of this Section 1(c), the Employee will be deemed to have incurred a Termination of Employment on the date that the Employee provides notice of termination to the Company, and accordingly, all unvested Stock Units (and any Remaining Shares) shall be forfeited by the Employee immediately upon delivery of any such notice. In addition, all unvested Stock Units (excluding any Fiscal Year Stock Units or Dividend Equivalent Stock Units (as defined in Section 4 below)) shall be forfeited by the Employee to the extent that, following the last day of the Performance Period (or such earlier date as specified in Section 1(d) or 1(f)), the Performance Conditions with respect to such Stock Units have not been satisfied.</w:t>
      </w:r>
    </w:p>
    <w:p>
      <w:pPr>
        <w:spacing w:after="0" w:line="192" w:lineRule="exact"/>
        <w:rPr>
          <w:rFonts w:ascii="Arial" w:cs="Arial" w:eastAsia="Arial" w:hAnsi="Arial"/>
          <w:sz w:val="18"/>
          <w:szCs w:val="18"/>
          <w:color w:val="auto"/>
        </w:rPr>
      </w:pPr>
    </w:p>
    <w:p>
      <w:pPr>
        <w:ind w:left="-20" w:firstLine="464"/>
        <w:spacing w:after="0" w:line="270" w:lineRule="auto"/>
        <w:tabs>
          <w:tab w:leader="none" w:pos="691"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(i) Except as set forth in Section 1(f) below, in the event that the Employee incurs a Termination of Employment prior to the Final Service Date due to (A) the Employee’s Disability, (B) the Employee’s death or (C) a Termination of Employment by the Company other than for Cause, subject to Section 1(e) below, the Stock Units (and any Remaining Shares) held by the Employee on the Date of Termination shall no longer be subject to the Performance Conditions and the Service Condition, and any Stock Units shall be settled as set forth in Section 1(d)(iii) or Section 2 below but such Stock Units and Remaining Shares shall remain subject to forfeiture pursuant to Section 1(e) through the Final Service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 Termination of Employment due to the Employee’s death as described in clause (B) of this Section 1(d)(i) or in the case of the Employee’s death subsequent to a Termination of Employment described in this Section 1(d)(i), the Stock Units (and any Remaining Shares) will immediately vest upon the date of death and the Stock Units shall be settled through delivery of fully transferable Shares as soon as practicable following such date (or, if applicable, in the event the Employee’s death occurs more than halfway through a fiscal quarter, as soon as practicable following the date that the Committee determines the extent to which the Performance Conditions have been satisfied for the applicable measurement period). The Stock Units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74" w:right="239" w:bottom="1440" w:gutter="0" w:footer="0" w:header="0"/>
        </w:sectPr>
      </w:pPr>
    </w:p>
    <w:bookmarkStart w:id="105" w:name="page106"/>
    <w:bookmarkEnd w:id="105"/>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(excluding Fiscal Year Stock Units and Dividend Equivalent Stock Units) shall vest based on (1) the actual performance level during the period beginning on the first day of the Performance Period and ending on the last day of the most recent fiscal quarter preceding the Date of Termination (or, if the Date of Termination occurs more than halfway through a fiscal quarter, the last day of such current fiscal quarter), as determined by the Committee, and (2) deemed performance at the target level for the period beginning on the first day of the following fiscal quarter through the last day of the Performance Period.</w:t>
      </w:r>
    </w:p>
    <w:p>
      <w:pPr>
        <w:spacing w:after="0" w:line="60" w:lineRule="exact"/>
        <w:rPr>
          <w:sz w:val="20"/>
          <w:szCs w:val="20"/>
          <w:color w:val="auto"/>
        </w:rPr>
      </w:pPr>
    </w:p>
    <w:p>
      <w:pPr>
        <w:ind w:left="1920" w:hanging="440"/>
        <w:spacing w:after="0" w:line="288" w:lineRule="auto"/>
        <w:tabs>
          <w:tab w:leader="none" w:pos="19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Except as set forth in Section 1(f) below, in the event that the Employee incurs a Termination of Employment prior to the Final Service Date due to the Employee’s Retirement (as defined below), all Stock Units held by the Employee on the Date of Termination (and any Remaining Shares) shall no longer be subject to the Service Condition and, following satisfaction of the Performance Conditions and subject to Section 1(e), shall be settled as set forth in Section 1(d)(iii) below (unless already settled pursuant to such section prior to Termination of Employment) but shall remain subject to forfeiture pursuant to Section 1(e) through the Final Service Date (subject to any acceleration of vesting as otherwise set forth in this Agreement). Such Stock Units (excluding Fiscal Year Stock Units and Dividend Equivalent Stock Units) shall vest at the level determined by the Committee following the last day of the Performance Period, based on actual performance during the Performance Period. For purposes of this Agreement, the terms “Retirement” and “Retirement Eligibility Date” shall have the meanings set forth in Section 1(g) of this Agreement or any earlier date on or following September 12, 2014 if the Employee’s spouse dies or becomes disabled.</w:t>
      </w:r>
    </w:p>
    <w:p>
      <w:pPr>
        <w:spacing w:after="0" w:line="74" w:lineRule="exact"/>
        <w:rPr>
          <w:rFonts w:ascii="Arial" w:cs="Arial" w:eastAsia="Arial" w:hAnsi="Arial"/>
          <w:sz w:val="16"/>
          <w:szCs w:val="16"/>
          <w:color w:val="auto"/>
        </w:rPr>
      </w:pPr>
    </w:p>
    <w:p>
      <w:pPr>
        <w:ind w:left="1920" w:right="20" w:hanging="440"/>
        <w:spacing w:after="0" w:line="269" w:lineRule="auto"/>
        <w:tabs>
          <w:tab w:leader="none" w:pos="1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Subject to the final sentence of Section 2 below and except for any such earlier dates as provided below in the case of Fiscal Year Stock Units and Dividend Equivalent Stock Units, all Shares underlying the Stock Units for which the Performance Conditions have been satisfied (or are deemed to be satisfied in accordance with Section 1(d)(i) or Section 1(f)(i)) shall be delivered to the Employee (A) in the case of any Termination of Employment due to Disability, within 30 days following the later of (1) the date that the Employee is no longer required to perform any additional services in order to retain such Stock Units and (2) the date that the Committee determines the extent to which the Performance Conditions have been satisfied for the applicable measurement period, (B) in the case of a Termination of Employment by the Company other than for Cause, as soon as practicable following the later of (1) the date that the release described in Section 1(e) below has become effective and irrevocable and (2) the date that the Committee determines the extent to which the Performance Conditions have been satisfied for the applicable measurement period or (C) in the case of a Change of Control, within 30 days following the occurrence of such Change in Control (the date that Shares are delivered to the Employee is an “Initial Delivery Date”). In the case of the Fiscal Year Stock Units, the Initial Delivery Date shall occur</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106" w:name="page107"/>
    <w:bookmarkEnd w:id="106"/>
    <w:p>
      <w:pPr>
        <w:ind w:left="7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30 days following the date that the Committee determines the extent to which the Performance Conditions have been satisfied for the applicable fiscal year. In the case of the Dividend Equivalent Stock Units, the Initial Delivery Date shall occur within 30 days following the later of (x) September 12, 2014 and (y) the date that the applicable dividend is paid to the Company’s shareholders. Notwithstanding any provision herein to the contrary, in all cases, the Initial Delivery Date shall not be later than March 15 of the calendar year following the calendar year in which such Stock Units are no longer subject to a substantial risk of forfeiture within the meaning of Treasury Regulation Section 1.409A-1(d). Except in the case of the delivery of Shares upon (1) the Employee’s death, (2) a Change in Control in which any of the conditions set forth in clauses (A) and (B) of Section 1(f)(iii) are not satisfied or (3) the Employee’s Termination of Employment upon or immediately following a Change in Control under any of the circumstances described in Section 1(d)(i) or 1(d)(ii), the Employee agrees to make a timely election (or elections, as necessary) pursuant to Section 83(b) of the Code with respect to all Shares that are delivered to the Employee prior to January 1, 2017, whether pursuant to this Section 1(d)(iii), Section 1(g)(ii) or any other section of this Agreement. Immediately following the Initial Delivery Date with respect to any Stock Units, subject to approval of the Compliance Department of the Company or an Affiliate, the Employee will be permitted to dispose of the Applicable Percentage (as defined below) of the Shares (such Shares, the “Transferable Shares”) delivered to the Employee pursuant to this Section 1(d)(iii) immediately following the date that such Shares are delivered to the Employee. For purposes of this Agreement, the “Applicable Percentage” is the percentage of the Shares delivered to the Employee that the Company determines, in its sole discretion, is necessary to satisfy the Employee’s tax liability incurred with respect to such Shares on the date that such Shares are delivered to the Employee. All Shares delivered to the Employee on the Initial Delivery Date that are not Transferable Shares (such Shares, the “Remaining Shares”) will remain subject to the restrictions set forth in this Agreement (including Section 1(e)) until the date that such Remaining Shares otherwise would have been delivered to the Employee following the Final Service Date or such earlier date on which such Remaining Shares would have been delivered pursuant to this Agreement as a result of the Employee’s death or a Change in Control (such date, the “Final Delivery Date”). Accordingly, prior to the Final Delivery Date, neither the Employee nor any of the Employee’s creditors or beneficiaries will have the right to subject the Remaining Shares to any anticipation, alienation, sale, transfer, assignment, pledge, encumbrance, hedge, exchange, attachment or garnishment or any similar transaction. Furthermore, for the avoidance of doubt, the Remaining Shares shall continue to be subject to the forfeiture provisions set forth in this Agreement relating to violation of the restrictive covenants set forth in Appendix B, which are incorporated herein by reference (the “Restrictive Covenants”) until the Final Delivery Date.</w:t>
      </w:r>
    </w:p>
    <w:p>
      <w:pPr>
        <w:spacing w:after="0" w:line="3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20"/>
          </w:cols>
          <w:pgMar w:left="1440" w:top="274" w:right="239" w:bottom="1440" w:gutter="0" w:footer="0" w:header="0"/>
        </w:sectPr>
      </w:pPr>
    </w:p>
    <w:bookmarkStart w:id="107" w:name="page108"/>
    <w:bookmarkEnd w:id="107"/>
    <w:p>
      <w:pPr>
        <w:ind w:left="-20" w:right="20" w:firstLine="464"/>
        <w:spacing w:after="0" w:line="284" w:lineRule="auto"/>
        <w:tabs>
          <w:tab w:leader="none" w:pos="681" w:val="left"/>
        </w:tabs>
        <w:numPr>
          <w:ilvl w:val="0"/>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 of this Agreement to the contrary, in the event that the Employee incurs a Termination of Employment by the Company other than for Cause (regardless of whether the Retirement Eligibility Date precedes the date of such Termination of Employment) or due to a Retirement in accordance with Section 1(d)(ii), in each case, prior to a Change in Control, from and after the date of such Termination of Employment, in order for the Stock Units or the Remaining Shares, as applicable, to be treated as provided in Section 1(d), the Employee must sign a release of claims in favor of the Company and its Affiliates, which requirement shall be satisfied (i) upon a Termination of Employment other than for Cause, by the Employee’s signing the Waiver and General Release attached as Exhibit A (the “Release”) to Schedule I to the Agreement Relating to Retention and Noncompetition and Other Covenants by and among the Company, Lazard Group LLC and the Employee as amended (“Schedule I”) that is required to be signed as a condition to receipt of severance benefits, modified as necessary to include the Stock Units or the Remaining Shares, as applicable, as consideration for the Release (it being agreed that the Employee need not sign two releases) and (ii) upon a Retirement, by the signing of a release that contains the substantive provisions set forth in the Release, modified as necessary to reflect the Employee’s rights in connection with a Retirement, and which release shall be at least as favorable to the Employee as the release used for other retiring award holders. In either case, such Release must become effective and irrevocable on or before the 65th day following the Employee’s Termination of Employment. In the event the Employee does not sign such Release or revokes such Release before it becomes irrevocable, the Employee shall forfeit all rights to any unvested Stock Units or Remaining Shares, as applicable. In the event that the Employee incurs a Termination of Employment pursuant to Section 1(d)(i) (other than as a result of death) or 1(d)(ii), and the Employee violates any of the provisions of the Restrictive Covenants prior to the Final Delivery Date, all outstanding vested or unvested Stock Units (including Fiscal Year Stock Units and Dividend Equivalent Stock Units) and, if applicable, all Remaining Shares, shall be forfeited and canceled. Notwithstanding that certain Restricted Covenants in Appendix B apply for only a limited period following a Termination of Employment, in the event that the Employee incurs a Termination of Employment due to a Retirement, the Employee will forfeit any outstanding Stock Units (including Fiscal Year Stock Units and Dividend Equivalent Stock Units) and, if applicable, any Remaining Shares, if the Employee does not comply with all of the Restrictive Covenants in Appendix B until the earlier of the Final Service Date or, as applicable, Final Delivery Date. For the avoidance of doubt, in no event shall a violation of the Restrictive Covenants in Appendix B serve as a basis for forfeiture of Stock Units (including Fiscal Year Stock Units and Dividend Equivalent Stock Units) and, if applicable, any Remaining Shares, from and after a Change in Control.</w:t>
      </w:r>
    </w:p>
    <w:p>
      <w:pPr>
        <w:spacing w:after="0" w:line="397" w:lineRule="exact"/>
        <w:rPr>
          <w:rFonts w:ascii="Arial" w:cs="Arial" w:eastAsia="Arial" w:hAnsi="Arial"/>
          <w:sz w:val="16"/>
          <w:szCs w:val="16"/>
          <w:color w:val="auto"/>
        </w:rPr>
      </w:pPr>
    </w:p>
    <w:p>
      <w:pPr>
        <w:ind w:left="-20" w:firstLine="464"/>
        <w:spacing w:after="0" w:line="255" w:lineRule="auto"/>
        <w:tabs>
          <w:tab w:leader="none" w:pos="661"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Notwithstanding any provision of this Agreement to the contrary, in the event of a Change in Control that occurs prior to the end of the Performance Period (without regard to whether the Employee’s Retirement has occurred on or prior to the date of such Change in Control), the Performance Conditions shall no longer apply and, instead, shall be deemed to have been satisfied as of immediately prior to the Change in Control at the greater of (A) the target level and (B) the actual performance level achieved during the period beginning at the start of the Performance Period and ending on the date of such Change in Control, as determined by the Committee prior to the Change in Control with any necessary exercise of discretion determined by the Committee prior to the Change in Control.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108" w:name="page109"/>
    <w:bookmarkEnd w:id="108"/>
    <w:p>
      <w:pPr>
        <w:ind w:left="1900" w:hanging="440"/>
        <w:spacing w:after="0" w:line="288" w:lineRule="auto"/>
        <w:tabs>
          <w:tab w:leader="none" w:pos="1900" w:val="left"/>
        </w:tabs>
        <w:numPr>
          <w:ilvl w:val="1"/>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Except as otherwise provided in this Section 1(f)(ii) and 1(f)(iii) below, following a Change in Control, all Remaining Shares that were outstanding immediately prior to the Change in Control, and all Remaining Shares that were issued in connection with the Change in Control pursuant to Section 1(d)(iii) above, shall remain outstanding through the Final Delivery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Employee incurs a Termination of Employment upon or following a Change in Control but prior to the Final Service Date under any of the circumstances described in Section 1(d)(i) or 1(d)(ii) above, the date of such Termination of Employment shall be deemed to be the Final Delivery Date. Furthermore, in the event that the Employee incurs a Termination of Employment under any of the circumstances described in Section 1(d)(i) or 1(d)(ii) above prior to the Final Delivery Date and prior to a Change in Control, upon a Change in Control, the date of the Change in Control shall be deemed to be the Final Service Date for purposes of any Stock Units (and the Final Delivery Date for any Remaining Shares) then held by the Employee and any dividends held by an escrow agent with respect thereto, as set forth in Section 4 below.</w:t>
      </w:r>
    </w:p>
    <w:p>
      <w:pPr>
        <w:spacing w:after="0" w:line="74" w:lineRule="exact"/>
        <w:rPr>
          <w:rFonts w:ascii="Arial" w:cs="Arial" w:eastAsia="Arial" w:hAnsi="Arial"/>
          <w:sz w:val="16"/>
          <w:szCs w:val="16"/>
          <w:color w:val="auto"/>
        </w:rPr>
      </w:pPr>
    </w:p>
    <w:p>
      <w:pPr>
        <w:ind w:left="1900" w:right="60" w:hanging="440"/>
        <w:spacing w:after="0" w:line="270" w:lineRule="auto"/>
        <w:tabs>
          <w:tab w:leader="none" w:pos="19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Notwithstanding the foregoing, in the event of a Change in Control prior to the Final Service Date, unless (A) either (1) the Remaining Shares remain outstanding following such Change in Control or (2) provision is made in connection with the Change in Control for substitution of such Remaining Shares for new awards covering equity interests in a successor entity, with appropriate adjustments to the number of Remaining Shares, as determined by the Committee prior to the Change in Control pursuant to Section 3(b)(ii) of the Plan, and (B) the material terms and conditions of such Remaining Shares as in effect immediately prior to the Change in Control are preserved following the Change in Control (including, without limitation, with respect to the vesting schedules, the intrinsic value of the Remaining Shares and transferability of the Shares or other securities underlying the Remaining Shares prior to and following the Change in Control), the date of the Change in Control shall be deemed to be the Final Delivery Date for purposes of any Remaining Shares then outstanding.</w:t>
      </w:r>
    </w:p>
    <w:p>
      <w:pPr>
        <w:spacing w:after="0" w:line="181" w:lineRule="exact"/>
        <w:rPr>
          <w:rFonts w:ascii="Arial" w:cs="Arial" w:eastAsia="Arial" w:hAnsi="Arial"/>
          <w:sz w:val="17"/>
          <w:szCs w:val="17"/>
          <w:color w:val="auto"/>
        </w:rPr>
      </w:pPr>
    </w:p>
    <w:p>
      <w:pPr>
        <w:ind w:left="-20" w:right="20" w:firstLine="464"/>
        <w:spacing w:after="0" w:line="302" w:lineRule="auto"/>
        <w:tabs>
          <w:tab w:leader="none" w:pos="691" w:val="left"/>
        </w:tabs>
        <w:numPr>
          <w:ilvl w:val="0"/>
          <w:numId w:val="74"/>
        </w:numPr>
        <w:rPr>
          <w:rFonts w:ascii="Arial" w:cs="Arial" w:eastAsia="Arial" w:hAnsi="Arial"/>
          <w:sz w:val="16"/>
          <w:szCs w:val="16"/>
          <w:color w:val="auto"/>
        </w:rPr>
      </w:pPr>
      <w:r>
        <w:rPr>
          <w:rFonts w:ascii="Arial" w:cs="Arial" w:eastAsia="Arial" w:hAnsi="Arial"/>
          <w:sz w:val="16"/>
          <w:szCs w:val="16"/>
          <w:color w:val="auto"/>
        </w:rPr>
        <w:t>(i) For purposes of this Agreement and any other agreement between the Employee and the Company that governs the Employee’s Stock Units and Remaining Shares that was entered into prior to the date of this Agreement (a “Prior Stock Unit Agreement”), “Retirement” shall mean that the Employee voluntarily incurs a Termination of Employment on or after the date on which the Employee meets the following retirement eligibility requirement (such date, the “Retirement Eligibility Date”): the Employee has remained actively employed by the Company or its Affiliates through March 31, 2016.</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74" w:right="239" w:bottom="1440" w:gutter="0" w:footer="0" w:header="0"/>
        </w:sectPr>
      </w:pPr>
    </w:p>
    <w:bookmarkStart w:id="109" w:name="page110"/>
    <w:bookmarkEnd w:id="109"/>
    <w:p>
      <w:pPr>
        <w:ind w:left="720" w:hanging="440"/>
        <w:spacing w:after="0" w:line="255" w:lineRule="auto"/>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 of this Agreement or any Prior Stock Unit Agreement to the contrary, in the case of any Stock Units that were outstanding immediately prior to the date of this Agreement and that have a Final Service Date that is scheduled to occur after March 2, 2015, unless such Stock Units are forfeited prior to March 15, 2015, such Stock Units shall be settled through the issuance of Shares no later than March 15, 2015, and such Shares (other than any Shares that are deemed to be Transferable Shares) shall remain subject to forfeiture based on the Employee’s continued service through March 1, 2016 (subject to any acceleration of vesting that may occur prior to such date in accordance with this Agreement, the applicable Prior Stock Unit Agreement or Schedule I).</w:t>
      </w:r>
    </w:p>
    <w:p>
      <w:pPr>
        <w:spacing w:after="0" w:line="94" w:lineRule="exact"/>
        <w:rPr>
          <w:rFonts w:ascii="Arial" w:cs="Arial" w:eastAsia="Arial" w:hAnsi="Arial"/>
          <w:sz w:val="18"/>
          <w:szCs w:val="18"/>
          <w:color w:val="auto"/>
        </w:rPr>
      </w:pPr>
    </w:p>
    <w:p>
      <w:pPr>
        <w:ind w:left="720" w:right="20" w:hanging="440"/>
        <w:spacing w:after="0" w:line="285" w:lineRule="auto"/>
        <w:tabs>
          <w:tab w:leader="none" w:pos="7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Schedule I, this Agreement or any Prior Stock Unit Agreement to the contrary, solely for purposes of the Employee’s Stock Units (including Fiscal Year Stock Units and Dividend Equivalent Stock Units) and Remaining Shares granted pursuant to this Agreement or any Prior Stock Unit Agreement, from September 12, 2014 through the Retirement Eligibility Date, any determination by the Employee that Good Reason (as defined in Schedule I) exists (and any determination by the Employee of whether an event constituting Good Reason has been cured by the Company) will be deemed to be correct so long as such determination is made in good faith taking into account all relevant facts and the Employee complies with all procedures set forth in paragraph 4 of Schedule I regarding termination of employment for Good Reason;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Board of Directors determines in good faith taking into account all relevant facts that the Employee would not have been entitled to resign for Good Reason but for the terms of this Section 1(g)(iii) (</w:t>
      </w:r>
      <w:r>
        <w:rPr>
          <w:rFonts w:ascii="Arial" w:cs="Arial" w:eastAsia="Arial" w:hAnsi="Arial"/>
          <w:sz w:val="16"/>
          <w:szCs w:val="16"/>
          <w:u w:val="single" w:color="auto"/>
          <w:color w:val="auto"/>
        </w:rPr>
        <w:t>i.e.</w:t>
      </w:r>
      <w:r>
        <w:rPr>
          <w:rFonts w:ascii="Arial" w:cs="Arial" w:eastAsia="Arial" w:hAnsi="Arial"/>
          <w:sz w:val="16"/>
          <w:szCs w:val="16"/>
          <w:color w:val="auto"/>
        </w:rPr>
        <w:t>, the Board of Directors determines that, in the absence of this Section 1(g)(iii), the alleged Good Reason event would not constitute Good Reason under Schedule I or that the actions taken by the Company have adequately cured such event if it in fact constituted Good Reason), then the Employee will nevertheless be entitled to resign for Good Reason, but such Termination of Employment will be treated as a Retirement, rather than a Termination of Employment without Cause, for purposes of determining the treatment of any Stock Units (and any Remaining Shares) granted under this Agreement or any Prior Stock Unit Agreement and then held by the Employee in connection with such Termination of Employment (including, without limitation, for purposes of determining the level of vesting of any such Stock Units, the duration of the restrictive covenants applicable to such Stock Units and Remaining Shares and the disgorgement of tax benefits in the event of forfeiture of any Remaining Shares). Notwithstanding any provision of this Agreement to the contrary, for purposes of this Section 1(g), when the terms “Dividend Equivalent Stock Units”, “Final Service Date”, “Fiscal Year Stock Units”, “Remaining Shares”, “Stock Units” and “Transferable Shares” are used, they shall have the meaning attributable to such terms</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274" w:right="239" w:bottom="1440" w:gutter="0" w:footer="0" w:header="0"/>
        </w:sectPr>
      </w:pPr>
    </w:p>
    <w:bookmarkStart w:id="110" w:name="page111"/>
    <w:bookmarkEnd w:id="110"/>
    <w:p>
      <w:pPr>
        <w:ind w:left="1940"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this Agreement or the applicable Prior Stock Unit Agreement, as the context requires. For the avoidance of doubt, in no event shall the requirement to sign a release as set forth in Section 1(e) of this Agreement with respect to the Stock Units granted under this Agreement apply to the Stock Units and Remaining Shares granted under any Prior Agreements.</w:t>
      </w:r>
    </w:p>
    <w:p>
      <w:pPr>
        <w:spacing w:after="0" w:line="71" w:lineRule="exact"/>
        <w:rPr>
          <w:sz w:val="20"/>
          <w:szCs w:val="20"/>
          <w:color w:val="auto"/>
        </w:rPr>
      </w:pPr>
    </w:p>
    <w:p>
      <w:pPr>
        <w:ind w:left="1920" w:hanging="440"/>
        <w:spacing w:after="0" w:line="277" w:lineRule="auto"/>
        <w:tabs>
          <w:tab w:leader="none" w:pos="19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parties acknowledge and agree that this Agreement constitutes an amendment to the Prior Stock Unit Agreements to the extent set forth in this Section 1(g).</w:t>
      </w:r>
    </w:p>
    <w:p>
      <w:pPr>
        <w:spacing w:after="0" w:line="274" w:lineRule="exact"/>
        <w:rPr>
          <w:rFonts w:ascii="Arial" w:cs="Arial" w:eastAsia="Arial" w:hAnsi="Arial"/>
          <w:sz w:val="18"/>
          <w:szCs w:val="18"/>
          <w:color w:val="auto"/>
        </w:rPr>
      </w:pPr>
    </w:p>
    <w:p>
      <w:pPr>
        <w:ind w:left="360" w:hanging="172"/>
        <w:spacing w:after="0"/>
        <w:tabs>
          <w:tab w:leader="none" w:pos="3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Units, Restrictions on Remaining Shares.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soon as practicable (but in no event more than 30 days) after any Stock Unit has vested and is no longer subject to the applicable Service Condition and Performance Conditions, the Company shall, subject to Sections 1(d), 1(e) and 6, cause its applicable Affiliate to deliver to the Employee one or more unlegended, freely-transferable stock certificates or book-entry credits in respect of such Shares issued upon settlement of the vested Stock Units. Notwithstanding the foregoing, (a) the Company shall be entitled to hold the Shares or cash issuable upon settlement of Stock Units that have vested until the Company shall have received from the Employee a duly executed Form W-9 or W-8, as applicable, and (b) any certificate or book entry credit issued or entered in respect of the Remaining Shares shall be registered in the Employee’s name and shall bear an appropriate legend referring to the terms, conditions and restrictions applicable to the Remaining Shares, substantially in the following form:</w:t>
      </w:r>
    </w:p>
    <w:p>
      <w:pPr>
        <w:spacing w:after="0" w:line="70" w:lineRule="exact"/>
        <w:rPr>
          <w:sz w:val="20"/>
          <w:szCs w:val="20"/>
          <w:color w:val="auto"/>
        </w:rPr>
      </w:pPr>
    </w:p>
    <w:p>
      <w:pPr>
        <w:jc w:val="both"/>
        <w:ind w:left="460" w:right="640"/>
        <w:spacing w:after="0" w:line="264" w:lineRule="auto"/>
        <w:rPr>
          <w:sz w:val="20"/>
          <w:szCs w:val="20"/>
          <w:color w:val="auto"/>
        </w:rPr>
      </w:pPr>
      <w:r>
        <w:rPr>
          <w:rFonts w:ascii="Arial" w:cs="Arial" w:eastAsia="Arial" w:hAnsi="Arial"/>
          <w:sz w:val="18"/>
          <w:szCs w:val="18"/>
          <w:color w:val="auto"/>
        </w:rPr>
        <w:t>“The transferability of this certificate and the shares of stock represented hereby is subject to the terms and conditions (including forfeiture) of the Lazard Ltd 2008 Incentive Compensation Plan and an Award Agreement, as well as the terms and conditions of applicable law. Copies of such Plan and Agreement are on file at the offices of Lazard Ltd.”</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Company may require that the certificates or book entry credits evidencing title of the Remaining Shares be held in custody by the Company until the restrictions thereon shall have lapsed and that, as a condition of receiving the Remaining Shares, the Employee shall have delivered to the Company a stock power, endorsed in blank, relating to such Remaining Shares. If and when the Final Delivery Date occurs (or is deemed to occur) with respect to the Remaining Shares, the legend set forth shall be removed from the certificates or book entry credits evidencing such Shares. Notwithstanding any provision of this Agreement to the contrary, Shares will be delivered to the Employee in settlement of any Stock Units for which all conditions have been satisfied (or deemed satisfied) no later than March 15 of the year following the year in which such Stock Units are no longer subject to a substantial risk of forfeiture within the meaning of Treasury Regulation Section 1.409A-1(d).</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 Nontransferability of the Stock Units and Remaining Shares.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Until such time as the Stock Units are ultimately settled or the Remaining Shares are ultimately free from restriction, as applicable, as provided in Section 1(d), Section 1(f) or Section 2 above, the Stock Units and Remaining Shares shall not be transferable by the Employee by means of sale, assignment, exchange, encumbrance, pledge, hedge or otherwise.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111" w:name="page112"/>
    <w:bookmarkEnd w:id="111"/>
    <w:p>
      <w:pPr>
        <w:ind w:lef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 Dividend Equivalents, Rights as a Shareholder.</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the Company declares and pays (or sets a record date with respect to) ordinary quarterly cash dividends on the Common Stock (a) during the Performance Period, the target number of Stock Units less any Transferable Shares and Remaining Shares (such Stock Units, the “Target Stock Units”) shall be credited with additional Stock Units (determined by dividing the aggregate dividend amount that would have been paid with respect to the Target Stock Units if they had been actual Shares by the Fair Market Value of a Share on the dividend payment date) (such additional Stock Units, the “Dividend Equivalent Stock Units”), which Dividend Equivalent Stock Units (and any additional Dividend Equivalent Stock Units that are granted while the Dividend Equivalent Stock Units are outstanding) shall be subject to the Service Condition and all other terms of this Agreement but shall not be subject to the Performance Conditions (</w:t>
      </w:r>
      <w:r>
        <w:rPr>
          <w:rFonts w:ascii="Arial" w:cs="Arial" w:eastAsia="Arial" w:hAnsi="Arial"/>
          <w:sz w:val="17"/>
          <w:szCs w:val="17"/>
          <w:u w:val="single" w:color="auto"/>
          <w:color w:val="auto"/>
        </w:rPr>
        <w:t>i.e.</w:t>
      </w:r>
      <w:r>
        <w:rPr>
          <w:rFonts w:ascii="Arial" w:cs="Arial" w:eastAsia="Arial" w:hAnsi="Arial"/>
          <w:sz w:val="17"/>
          <w:szCs w:val="17"/>
          <w:color w:val="auto"/>
        </w:rPr>
        <w:t>, the Dividend Equivalent Stock Units shall be treated as Stock Units for which the Performance Conditions have already been satisfied), or (b) after the Performance Period but while any Stock Units remain outstanding, any then outstanding Stock Units shall be credited with additional Stock Units (determined by dividing the aggregate dividend amount that would have been paid with respect to the Stock Units if they had been actual Shares by the Fair Market Value of a Share on the dividend payment date), which additional Stock Units shall vest and be settled concurrently with the underlying Stock Units and be treated as Stock Units for all purposes of this Agreement. For the avoidance of doubt, the provisions of the immediately preceding sentence shall not apply to any extraordinary dividends or distributions, which are addressed in Section 3(b)(i) of the Plan. All Dividend Equivalent Stock Units shall be settled in accordance with Section 1(d)(iii) above.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Notwithstanding the foregoing, subject to Section 1(d) and Section 2 and any other applicable law or agreement, from and after the Initial Delivery Date, the Employee will have all rights and privileges of a shareholder with respect to the Shares delivered on such Initial Delivery Date, including the right to vote the Shares and to receive dividends and other distributions with respect thereto, provided that, any dividends that are paid on the Remaining Shares prior to the Final Delivery Date (whether payable in cash or Shares) will be held until the Final Delivery Date by an escrow agent that is designated by the Company, and in the event that the Remaining Shares are forfeited in accordance with Section 1(e), such dividends will also be forfeited. For the avoidance of doubt, the determination of applicable dividends, and the calculation of amounts equivalent thereto, provided for in this Section 4 shall be made consistent with the Company’s past practice with respect to similar Awards.</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5. Payment of Transfer Taxes, Fees and Other Expenses.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Company agrees, or will cause its applicable Affiliate, to pay any and all original issue taxes and stock transfer taxes that may be imposed on the issuance of Shares received by an Employee in connection with the Stock Units, together with any and all other fees and expenses necessarily incurred by the Company in connection therewith.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112" w:name="page113"/>
    <w:bookmarkEnd w:id="112"/>
    <w:p>
      <w:pPr>
        <w:ind w:left="360" w:hanging="172"/>
        <w:spacing w:after="0"/>
        <w:tabs>
          <w:tab w:leader="none" w:pos="3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 and Withholding; Disgorgement of Tax Benefits.</w:t>
      </w:r>
    </w:p>
    <w:p>
      <w:pPr>
        <w:spacing w:after="0" w:line="121" w:lineRule="exact"/>
        <w:rPr>
          <w:rFonts w:ascii="Arial" w:cs="Arial" w:eastAsia="Arial" w:hAnsi="Arial"/>
          <w:sz w:val="18"/>
          <w:szCs w:val="18"/>
          <w:b w:val="1"/>
          <w:bCs w:val="1"/>
          <w:color w:val="auto"/>
        </w:rPr>
      </w:pPr>
    </w:p>
    <w:p>
      <w:pPr>
        <w:ind w:firstLine="464"/>
        <w:spacing w:after="0" w:line="268" w:lineRule="auto"/>
        <w:tabs>
          <w:tab w:leader="none" w:pos="701" w:val="left"/>
        </w:tabs>
        <w:numPr>
          <w:ilvl w:val="1"/>
          <w:numId w:val="78"/>
        </w:numPr>
        <w:rPr>
          <w:rFonts w:ascii="Arial" w:cs="Arial" w:eastAsia="Arial" w:hAnsi="Arial"/>
          <w:sz w:val="17"/>
          <w:szCs w:val="17"/>
          <w:color w:val="auto"/>
        </w:rPr>
      </w:pPr>
      <w:r>
        <w:rPr>
          <w:rFonts w:ascii="Arial" w:cs="Arial" w:eastAsia="Arial" w:hAnsi="Arial"/>
          <w:sz w:val="17"/>
          <w:szCs w:val="17"/>
          <w:color w:val="auto"/>
        </w:rPr>
        <w:t>No later than the date as of which an amount first becomes includible in the gross income of the Employee for federal, state, local or foreign income tax purposes with respect to any Stock Units, the Employee shall pay to the Company or its applicable Affiliate, or make arrangements satisfactory to the Company or its applicable Affiliate regarding the payment of, any federal, state, local and foreign taxes that are required by applicable laws and regulations to be withheld with respect to such amount. Except as otherwise required by applicable law, the Company will report that the Employee will be taxed on the full value of the Shares underlying the Employee’s Stock Units on the date that such Shares are issued to the Employee in accordance with this Agreement. The obligations of the Company under this Agreement shall be conditioned on compliance by the Employee with this Section 6, and the Company or its applicable Affiliate shall, to the extent permitted by law, have the right to deduct any such taxes from any payment otherwise due to the Employee, including deducting such amount from the delivery of Shares or cash issued upon settlement of the Stock Units that gives rise to the withholding requirement. Notwithstanding the foregoing, the Company or an Affiliate may, in the Company’s sole discretion and subject to such other terms and conditions as the Company may determine, if the Employee is not subject to withholding as a matter of applicable law as of the date that the Shares are delivered to the Employee (including if the Employee is a member of the Company who reports income from the Company and its Affiliates on Schedule K-1 to the Company’s Federal income tax return) and pursuant to the prior written approval of the Company, permit the Employee to surrender some or all of the Transferable Shares to the Company or an Affiliate and have the Company or such Affiliate remit the relevant taxes on the Employee’s behalf to the appropriate taxing authorities. Prior to an Initial Delivery Date, the Company will notify the Employee of (i) how many Shares will be delivered to the Employee on such Initial Delivery Date and (ii) the portion, if any, of the Transferable Shares that the Company or an Affiliate will retain pursuant to the immediately preceding sentence.</w:t>
      </w:r>
    </w:p>
    <w:p>
      <w:pPr>
        <w:spacing w:after="0" w:line="180" w:lineRule="exact"/>
        <w:rPr>
          <w:rFonts w:ascii="Arial" w:cs="Arial" w:eastAsia="Arial" w:hAnsi="Arial"/>
          <w:sz w:val="17"/>
          <w:szCs w:val="17"/>
          <w:color w:val="auto"/>
        </w:rPr>
      </w:pPr>
    </w:p>
    <w:p>
      <w:pPr>
        <w:ind w:right="20" w:firstLine="464"/>
        <w:spacing w:after="0" w:line="273" w:lineRule="auto"/>
        <w:tabs>
          <w:tab w:leader="none" w:pos="711" w:val="left"/>
        </w:tabs>
        <w:numPr>
          <w:ilvl w:val="1"/>
          <w:numId w:val="78"/>
        </w:numPr>
        <w:rPr>
          <w:rFonts w:ascii="Arial" w:cs="Arial" w:eastAsia="Arial" w:hAnsi="Arial"/>
          <w:sz w:val="17"/>
          <w:szCs w:val="17"/>
          <w:color w:val="auto"/>
        </w:rPr>
      </w:pPr>
      <w:r>
        <w:rPr>
          <w:rFonts w:ascii="Arial" w:cs="Arial" w:eastAsia="Arial" w:hAnsi="Arial"/>
          <w:sz w:val="17"/>
          <w:szCs w:val="17"/>
          <w:color w:val="auto"/>
        </w:rPr>
        <w:t>In the event that the Employee incurs a Termination of Employment due to a Retirement and, after such Retirement, the Employee forfeits the Remaining Shares and the dividends held in escrow in accordance with Section 4 of this Agreement, the Employee shall disgorge to the Company any tax benefit the Employee realizes from the forfeiture of any such Remaining Shares or dividends, if, as and when actually realized by the Employee. The Employee agrees to use commercially reasonable efforts to claim any tax benefit from such forfeiture that the Company reasonably determines is available to the Employee on all relevant tax returns filed after having received notice from the Company. Notwithstanding the foregoing, this Section 6(b) shall not apply from and after a Change in Control or a Termination of Employment pursuant to Section 1(d)(i).</w:t>
      </w:r>
    </w:p>
    <w:p>
      <w:pPr>
        <w:spacing w:after="0" w:line="282" w:lineRule="exact"/>
        <w:rPr>
          <w:rFonts w:ascii="Arial" w:cs="Arial" w:eastAsia="Arial" w:hAnsi="Arial"/>
          <w:sz w:val="17"/>
          <w:szCs w:val="17"/>
          <w:color w:val="auto"/>
        </w:rPr>
      </w:pPr>
    </w:p>
    <w:p>
      <w:pPr>
        <w:ind w:left="360" w:hanging="172"/>
        <w:spacing w:after="0"/>
        <w:tabs>
          <w:tab w:leader="none" w:pos="3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Agreement.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 Nothing in this Agreement or the Plan shall confer upon the Employee any right to continue in the employ of the Company or any of its Affiliates or interfere in any way with the right of the Company or any such Affiliates to terminate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113" w:name="page114"/>
    <w:bookmarkEnd w:id="113"/>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employment at any time. Until Shares are actually delivered to the Employee upon settlement of the Stock Units, the Employee shall not have any rights as a shareholder with respect to the Stock Units, except as specifically provided herein.</w:t>
      </w:r>
    </w:p>
    <w:p>
      <w:pPr>
        <w:spacing w:after="0" w:line="275" w:lineRule="exact"/>
        <w:rPr>
          <w:sz w:val="20"/>
          <w:szCs w:val="20"/>
          <w:color w:val="auto"/>
        </w:rPr>
      </w:pPr>
    </w:p>
    <w:p>
      <w:pPr>
        <w:ind w:left="360" w:hanging="172"/>
        <w:spacing w:after="0"/>
        <w:tabs>
          <w:tab w:leader="none" w:pos="3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Laws Applicable to Construction; Consent to Jurisdiction.</w:t>
      </w:r>
    </w:p>
    <w:p>
      <w:pPr>
        <w:spacing w:after="0" w:line="121" w:lineRule="exact"/>
        <w:rPr>
          <w:rFonts w:ascii="Arial" w:cs="Arial" w:eastAsia="Arial" w:hAnsi="Arial"/>
          <w:sz w:val="18"/>
          <w:szCs w:val="18"/>
          <w:b w:val="1"/>
          <w:bCs w:val="1"/>
          <w:color w:val="auto"/>
        </w:rPr>
      </w:pPr>
    </w:p>
    <w:p>
      <w:pPr>
        <w:ind w:firstLine="464"/>
        <w:spacing w:after="0" w:line="302" w:lineRule="auto"/>
        <w:tabs>
          <w:tab w:leader="none" w:pos="701"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(United States of America), without regard to principles of conflict of laws that could cause the application of the law of any jurisdiction other than the State of New York. In addition to the terms and conditions set forth in this Agreement and the Restrictive Covenants, the Stock Units are subject to the terms and conditions of the Plan, which is hereby incorporated by reference. By accepting the Stock Units, the Employee agrees to and is bound by the Plan and the Restrictive Covenants.</w:t>
      </w:r>
    </w:p>
    <w:p>
      <w:pPr>
        <w:spacing w:after="0" w:line="154" w:lineRule="exact"/>
        <w:rPr>
          <w:rFonts w:ascii="Arial" w:cs="Arial" w:eastAsia="Arial" w:hAnsi="Arial"/>
          <w:sz w:val="16"/>
          <w:szCs w:val="16"/>
          <w:color w:val="auto"/>
        </w:rPr>
      </w:pPr>
    </w:p>
    <w:p>
      <w:pPr>
        <w:ind w:right="160" w:firstLine="464"/>
        <w:spacing w:after="0" w:line="259" w:lineRule="auto"/>
        <w:tabs>
          <w:tab w:leader="none" w:pos="711"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Subject to the provisions of Section 8(c), any controversy or claim between the Employee and the Company or its Affiliates arising out of or relating to or concerning the provisions of this Agreement or the Plan shall be finally settled by arbitration in New York City before, and in accordance with the rules then obtaining of, the Financial Industry Regulatory Authority (“FINRA”) or, if FINRA declines to arbitrate the matter, the American Arbitration Association (the “AAA”) in accordance with the commercial arbitration rules of the AAA.</w:t>
      </w:r>
    </w:p>
    <w:p>
      <w:pPr>
        <w:spacing w:after="0" w:line="186" w:lineRule="exact"/>
        <w:rPr>
          <w:rFonts w:ascii="Arial" w:cs="Arial" w:eastAsia="Arial" w:hAnsi="Arial"/>
          <w:sz w:val="18"/>
          <w:szCs w:val="18"/>
          <w:color w:val="auto"/>
        </w:rPr>
      </w:pPr>
    </w:p>
    <w:p>
      <w:pPr>
        <w:ind w:firstLine="464"/>
        <w:spacing w:after="0" w:line="290" w:lineRule="auto"/>
        <w:tabs>
          <w:tab w:leader="none" w:pos="701" w:val="left"/>
        </w:tabs>
        <w:numPr>
          <w:ilvl w:val="1"/>
          <w:numId w:val="79"/>
        </w:numPr>
        <w:rPr>
          <w:rFonts w:ascii="Arial" w:cs="Arial" w:eastAsia="Arial" w:hAnsi="Arial"/>
          <w:sz w:val="16"/>
          <w:szCs w:val="16"/>
          <w:color w:val="auto"/>
        </w:rPr>
      </w:pPr>
      <w:r>
        <w:rPr>
          <w:rFonts w:ascii="Arial" w:cs="Arial" w:eastAsia="Arial" w:hAnsi="Arial"/>
          <w:sz w:val="16"/>
          <w:szCs w:val="16"/>
          <w:color w:val="auto"/>
        </w:rPr>
        <w:t>Notwithstanding the provisions of Section 8(b), and in addition to its right to submit any dispute or controversy to arbitration, the Company or one of its Affiliates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Restrictive Covenants, or to enforce an arbitration award, and, for the purposes of this Section 8(c), the Employee (i) expressly consents to the application of Section 8(d) to any such action or proceeding, (ii) agrees that proof shall not be required that monetary damages for breach of the provisions of the Restrictive Covenants or this Agreement would be difficult to calculate and that remedies at law would be inadequate, and (iii) irrevocably appoints the General Counsel of the Company as the Employee’s agent for service of process in connection with any such action or proceeding, who shall promptly advise the Employee of any such service of process by notifying the Employee at the last address on file in the Company’s records.</w:t>
      </w:r>
    </w:p>
    <w:p>
      <w:pPr>
        <w:spacing w:after="0" w:line="166" w:lineRule="exact"/>
        <w:rPr>
          <w:rFonts w:ascii="Arial" w:cs="Arial" w:eastAsia="Arial" w:hAnsi="Arial"/>
          <w:sz w:val="16"/>
          <w:szCs w:val="16"/>
          <w:color w:val="auto"/>
        </w:rPr>
      </w:pPr>
    </w:p>
    <w:p>
      <w:pPr>
        <w:ind w:right="100" w:firstLine="464"/>
        <w:spacing w:after="0" w:line="271" w:lineRule="auto"/>
        <w:tabs>
          <w:tab w:leader="none" w:pos="711"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Employee and the Company hereby irrevocably submit to the exclusive jurisdiction of any state or federal court located in the City of New York over any suit, action, or proceeding arising out of, relating to or in connection with this Agreement or the Plan that is not otherwise required to be arbitrated or resolved in accordance with the provisions of Section 8(b). This includes any suit, action or proceeding to compel arbitration or to enforce an arbitration award. The Employee and the Company acknowledge that the forum designated by this Section 8(d) has a reasonable relation to this Agreement, and to the Employee’s relationship to the Company. Notwithstanding the foregoing, nothing herein shall preclude the Company or the Employee from bringing any action or proceeding in any other court for the purpose of enforcing the provisions of Sections 8(a), 8(b), or this Section 8(d). The agreement of the Employee and the Company as to forum is independent of the law that may be applied in the action, and the Employee and the Company agree to such forum even if the forum may under applicable law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14" w:name="page115"/>
    <w:bookmarkEnd w:id="11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choose to apply non-forum law. The Employee and the Company hereby waive, to the fullest extent permitted by applicable law, any objection which the Employee or the Company now or hereafter may have to personal jurisdiction or to the laying of venue of any such suit, action or proceeding in any court referred to in this Section 8(d). The Employee and the Company undertake not to commence any action arising out of, or relating to or in connection with this Agreement in any forum other than a forum described in this Section 8(d), or, to the extent applicable, Section 8(b). The Employee and the Company agree that, to the fullest extent permitted by applicable law, a final and non-appealable judgment in any such suit, action or proceeding in any such court shall be conclusive and binding upon the Employee and the Company.</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9. Conflicts and Interpretation.</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Committee has the power, among others, to (a) interpret the Plan, (b) prescribe, amend and rescind rules and regulations relating to the Plan, and (c) make all other determinations deemed necessary or advisable for the administration of the Plan.</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10. Amendment.</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Any modification, amendment or waiver to this Agreement that shall materially impair the rights of the Employee with respect to the Stock Units shall require an instrument in writing to be signed (either in paper format or electronically) by both parties hereto, except such a modification, amendment or waiver made to cause the Plan or the Stock Units to comply with applicable law, tax rules, stock exchange rules or accounting rules and which is made to similarly situated employees.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11. Section 409A of the Code.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It is intended that the Stock Units shall be exempt from Section 409A of the Code pursuant to the “short-term deferral” rule applicable to such section, as set forth in the regulations or other guidance published by the Internal Revenue Service thereunder.</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12. Electronic Delivery.</w:t>
      </w:r>
    </w:p>
    <w:p>
      <w:pPr>
        <w:spacing w:after="0" w:line="12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lieu of receiving documents in paper format, the Employee hereby agrees, to the fullest extent permitted by law, to accept electronic delivery of any documents that the Company or any Affiliate may be required to deliver (including, but not limited to, prospectuses, prospectus supplements, grant or Award notifications and agreements, account statements, annual and quarterly reports, and all other forms of communications) in connection with the Stock Units or any other prior or future Award (it being understood and agreed that the Company or its Affiliates may, in their sole discretion, elect to satisfy any delivery requirements electronically, in paper format, or a combination of both methods). Electronic delivery of a document to the Employee may be via a Company email system or by reference to a location on a Company intranet or secure internet site to which Employee has access.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15" w:name="page116"/>
    <w:bookmarkEnd w:id="115"/>
    <w:p>
      <w:pPr>
        <w:ind w:lef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 Compensation Recovery Policy.</w:t>
      </w:r>
    </w:p>
    <w:p>
      <w:pPr>
        <w:spacing w:after="0" w:line="12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Employee acknowledges and agrees that the Employee and the Stock Units are subject to the Company’s Compensation Recovery Policy Applicable to Named Executive Officers, as in effect as of the date hereof (a copy of which has been provided to the Employee).</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14. Headings.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17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[REMAINDER OF PAGE LEFT INTENTIONALLY BLANK]</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240" w:top="270" w:right="679" w:bottom="1440" w:gutter="0" w:footer="0" w:header="0"/>
        </w:sectPr>
      </w:pPr>
    </w:p>
    <w:bookmarkStart w:id="116" w:name="page117"/>
    <w:bookmarkEnd w:id="116"/>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as of the date first above written, the Company has caused this Agreement to be executed on behalf of its applicable Affiliate by a duly authorized officer and the Employee has hereunto set the Employee’s hand.</w:t>
      </w:r>
    </w:p>
    <w:p>
      <w:pPr>
        <w:spacing w:after="0" w:line="17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LAZARD LTD,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152400</wp:posOffset>
            </wp:positionV>
            <wp:extent cx="2718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3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417195</wp:posOffset>
            </wp:positionV>
            <wp:extent cx="2718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274" w:right="39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Criteria and Calculation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4" w:right="1440" w:bottom="1440" w:gutter="0" w:footer="0" w:header="0"/>
        </w:sectPr>
      </w:pPr>
    </w:p>
    <w:bookmarkStart w:id="118" w:name="page119"/>
    <w:bookmarkEnd w:id="118"/>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Restrictive Covenants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Employee acknowledges that the grant of the performance-based Stock Units pursuant to the Performance-Based Stock Unit Agreement (such Stock Units, the “Stock Units” and such Performance-Based Stock Unit Agreement, the “Agreement”) confers a substantial benefit upon the Employee, and agrees to the following covenants (the “Restrictive Covenants”), which are designed, among other things, to protect the interests of the Lazard Group LLC, a Delaware limited liability company (the “Company”), and its Affiliates (collectively, the “Firm”) in its confidential and proprietary information, trade secrets, customer and employee relationships, orderly transition of responsibilities, and other legitimate business interests. All capitalized terms used herein, to the extent not defined, shall have the meaning set forth in the Lazard Ltd 2008 Incentive Compensation Plan. The Employee acknowledges that the Stock Units will be forfeited upon a violation by the Employee of the Restrictive Covenants, and that, pursuant to the Agreement, the Firm may seek injunctive relief in order to enforce the Restrictive Covenants:</w:t>
      </w:r>
    </w:p>
    <w:p>
      <w:pPr>
        <w:spacing w:after="0" w:line="192" w:lineRule="exact"/>
        <w:rPr>
          <w:sz w:val="20"/>
          <w:szCs w:val="20"/>
          <w:color w:val="auto"/>
        </w:rPr>
      </w:pPr>
    </w:p>
    <w:p>
      <w:pPr>
        <w:ind w:right="20" w:firstLine="464"/>
        <w:spacing w:after="0" w:line="287" w:lineRule="auto"/>
        <w:tabs>
          <w:tab w:leader="none" w:pos="701"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The Employee shall not at any time (whether prior to or following the Employee’s Termination of Employment) disclose or use for the Employee’s own benefit or purposes or the benefit or purposes of any other person, corporation or other business organization or entity, other than the Firm, any trade secrets, information, data, or other confidential or proprietary information relating to the customers, developments, programs, plans or business and affairs of the Firm;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information that is not unique to the Firm or that is generally known to the industry or the public other than as a result of the Employee’s breach of this Restrictive Covenant or as required pursuant to an order of a court, governmental agency or other authorized tribunal (provided that the Employee shall provide the Firm prior written notice of any such required disclosure). The Employee agrees that upon the Employee’s Termination of Employment, the Employee or, in the event of the Employee’s death, the Employee’s heirs or estate at the request of the Firm, shall return to the Firm immediately all books, papers, plans, information, letters and other data, and all copies thereof or therefrom, in any way relating to the business of the Firm. Without limiting the foregoing, the existence of, and any information concerning, any dispute between the Employee and the Firm shall be subject to the terms of this Paragraph (a), except that the Employee may disclose information concerning such dispute to the arbitrator or court that is considering such dispute, and to the Employee’s legal counsel, spouse or domestic partner, and tax and financial advisors (provided that such persons agree not to disclose any such information).</w:t>
      </w:r>
    </w:p>
    <w:p>
      <w:pPr>
        <w:spacing w:after="0" w:line="168" w:lineRule="exact"/>
        <w:rPr>
          <w:rFonts w:ascii="Arial" w:cs="Arial" w:eastAsia="Arial" w:hAnsi="Arial"/>
          <w:sz w:val="16"/>
          <w:szCs w:val="16"/>
          <w:color w:val="auto"/>
        </w:rPr>
      </w:pPr>
    </w:p>
    <w:p>
      <w:pPr>
        <w:ind w:right="80" w:firstLine="464"/>
        <w:spacing w:after="0" w:line="255" w:lineRule="auto"/>
        <w:tabs>
          <w:tab w:leader="none" w:pos="71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The Employee acknowledges and recognizes the highly competitive nature of the businesses of the Firm. The Employee further acknowledges that the Employee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Employee further acknowledges that such proprietary information and relationships are extremely valuable assets in which the Firm has invested and shall continue to invest substantial time, effort and expense. The Employee agrees that while employed by the Firm and thereafter until (i) (A) three months after the Employee’s date of Termination of Employment for any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80"/>
          </w:cols>
          <w:pgMar w:left="240" w:top="274" w:right="279" w:bottom="1440" w:gutter="0" w:footer="0" w:header="0"/>
        </w:sectPr>
      </w:pPr>
    </w:p>
    <w:bookmarkStart w:id="119" w:name="page120"/>
    <w:bookmarkEnd w:id="11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 other than a termination by the Firm without Cause or (B) one month after the date of the Employee’s Termination of Employment by the Firm without Cause (in either case, the date of such Termination of Employment, the “Date of Termination”) or (ii) the end of any longer period during which any similar covenants would be applicable to the Employee pursuant to any other agreement (other than an award agreement evidencing previously granted equity-based, fund interest, deferred cash or similar awards (collectively, the “Prior Awards”)) between the Employee and the Firm (such period, the “Non-compete Restriction Period”), the Employee shall not, directly or indirectly, on the Employee’s behalf or on behalf of any other person, firm, corporation, association or other entity, as an employee, director, advisor, partner, consultant or otherwise, provide services or perform activities for, or acquire or maintain any ownership interest in, a “Competitive Enterprise”. For purposes of the Agreement, including this Appendix B, “Competitive Enterprise” shall mean a business (or business unit) that (x) engages in any activity or (y) owns or controls a significant interest in any entity that engages in any activity, that in either case, competes anywhere with any activity that is similar to an activity in which the Firm is engaged up to and including the Employee’s Date of Termination. Notwithstanding anything in this Appendix B, the Employee shall not be considered to be in violation of the Restrictive Covenants solely by reason of owning, directly or indirectly, any stock or other securities of a Competitive Enterprise (or comparable interest, including a voting or profit participation interest, in any such Competitive Enterprise) if the Employee’s interest does not exceed 5% of the outstanding capital stock of such Competitive Enterprise (or comparable interest, including a voting or profit participation interest, in such Competitive Enterprise). The Employee acknowledges that the Firm is engaged in business throughout the world. Accordingly, and in view of the nature of the Employee’s position and responsibilities, the Employee agrees that the provisions of this Paragraph (b) shall be applicable to each jurisdiction, foreign country, state, possession or territory in which the Firm may be engaged in business while the Employee is providing services to the Firm.</w:t>
      </w:r>
    </w:p>
    <w:p>
      <w:pPr>
        <w:spacing w:after="0" w:line="181" w:lineRule="exact"/>
        <w:rPr>
          <w:sz w:val="20"/>
          <w:szCs w:val="20"/>
          <w:color w:val="auto"/>
        </w:rPr>
      </w:pPr>
    </w:p>
    <w:p>
      <w:pPr>
        <w:ind w:right="20" w:firstLine="464"/>
        <w:spacing w:after="0" w:line="287" w:lineRule="auto"/>
        <w:tabs>
          <w:tab w:leader="none" w:pos="701"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xml:space="preserve">. The Employee hereby agrees that during the Non-compete Restriction Period, the Employee shall not, in any manner, directly or indirectly, (i) Solicit a Client to transact business with a Competitive Enterprise or to reduce or refrain from doing any business with the Firm, to the extent the Employee is soliciting a Client to provide them with services the performance of which would violate Paragraph (b) above if such services were provided by the Employee, or (ii) interfere with or damage (or attempt to interfere with or damage) any relationship between the Firm and a Client. For purposes of the Agreement, including this Appendix B, the term “Solicit” means any direct or indirect communication of any kind whatsoever, regardless of by whom initiated, inviting, advising, persuading, encouraging or requesting any person or entity, in any manner, to take or refrain from taking any action, and the term “Client” means any client or prospective client of the Firm to whom the Employee provided services, or for whom the Employee transacted business, or whose identity became known to the Employee in connection with the Employee’s relationship with or employment by the Firm, whether or not the Firm has been engaged by such Client pursuant to a written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74" w:right="239" w:bottom="1440" w:gutter="0" w:footer="0" w:header="0"/>
        </w:sectPr>
      </w:pPr>
    </w:p>
    <w:bookmarkStart w:id="120" w:name="page121"/>
    <w:bookmarkEnd w:id="120"/>
    <w:p>
      <w:pPr>
        <w:ind w:left="-20" w:firstLine="464"/>
        <w:spacing w:after="0" w:line="291" w:lineRule="auto"/>
        <w:tabs>
          <w:tab w:leader="none" w:pos="691"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Hire of Employees</w:t>
      </w:r>
      <w:r>
        <w:rPr>
          <w:rFonts w:ascii="Arial" w:cs="Arial" w:eastAsia="Arial" w:hAnsi="Arial"/>
          <w:sz w:val="16"/>
          <w:szCs w:val="16"/>
          <w:color w:val="auto"/>
        </w:rPr>
        <w:t>. The Employee hereby agrees that while employed by the Firm and thereafter until (i) six months after the Date of Termination for any reason or (ii) the end of any longer period during which any similar covenants would be applicable to the Employee pursuant to any other agreement (other than an award agreement evidencing any Prior Awards) between the Employee and the Firm (such period, the “No Hire Restriction Period”), the Employee shall not, directly or indirectly, for himself or on behalf of any third party at any time in any manner, Solicit, hire, or otherwise cause any employee who is at the associate level or above (including, without limitation, managing directors),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67" w:lineRule="exact"/>
        <w:rPr>
          <w:rFonts w:ascii="Arial" w:cs="Arial" w:eastAsia="Arial" w:hAnsi="Arial"/>
          <w:sz w:val="16"/>
          <w:szCs w:val="16"/>
          <w:color w:val="auto"/>
        </w:rPr>
      </w:pPr>
    </w:p>
    <w:p>
      <w:pPr>
        <w:ind w:left="-20" w:right="340" w:firstLine="464"/>
        <w:spacing w:after="0" w:line="273" w:lineRule="auto"/>
        <w:tabs>
          <w:tab w:leader="none" w:pos="681"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The Employee shall not at any time (whether prior to or following the Employee’s Termination of Employment), and shall instruct the Employee’s spouse or domestic partner, parents, and any of their lineal descendants (it being agreed that in any dispute between the parties regarding whether the Employee breached such obligation to instruct, the Firm shall bear the burden of demonstrating that the Employee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w:t>
      </w:r>
    </w:p>
    <w:p>
      <w:pPr>
        <w:spacing w:after="0" w:line="178" w:lineRule="exact"/>
        <w:rPr>
          <w:rFonts w:ascii="Arial" w:cs="Arial" w:eastAsia="Arial" w:hAnsi="Arial"/>
          <w:sz w:val="17"/>
          <w:szCs w:val="17"/>
          <w:color w:val="auto"/>
        </w:rPr>
      </w:pPr>
    </w:p>
    <w:p>
      <w:pPr>
        <w:ind w:left="-20" w:right="40" w:firstLine="464"/>
        <w:spacing w:after="0" w:line="255" w:lineRule="auto"/>
        <w:tabs>
          <w:tab w:leader="none" w:pos="66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Notice of Termination Required</w:t>
      </w:r>
      <w:r>
        <w:rPr>
          <w:rFonts w:ascii="Arial" w:cs="Arial" w:eastAsia="Arial" w:hAnsi="Arial"/>
          <w:sz w:val="18"/>
          <w:szCs w:val="18"/>
          <w:color w:val="auto"/>
        </w:rPr>
        <w:t>. The Employee agrees to provide a period of advance written notice to the Firm prior to the Employee’s Termination of Employment equal to (i) three months or (ii) any longer notice period required pursuant to any other agreement (other than an award agreement evidencing any Prior Awards) between the Employee and the Firm. The Employee hereby agrees that, if, during the applicable period after the Employee has provided notice of termination to the Firm or prior thereto, the Employee enters (or has entered into) a written agreement to provide services or perform activities for a Competitive Enterprise that would violate Paragraph (b) if performed during the Non-compete Restriction Period, such action shall be deemed a violation of this Paragraph (f).</w:t>
      </w:r>
    </w:p>
    <w:p>
      <w:pPr>
        <w:spacing w:after="0" w:line="193" w:lineRule="exact"/>
        <w:rPr>
          <w:rFonts w:ascii="Arial" w:cs="Arial" w:eastAsia="Arial" w:hAnsi="Arial"/>
          <w:sz w:val="18"/>
          <w:szCs w:val="18"/>
          <w:color w:val="auto"/>
        </w:rPr>
      </w:pPr>
    </w:p>
    <w:p>
      <w:pPr>
        <w:ind w:left="-20" w:right="80" w:firstLine="464"/>
        <w:spacing w:after="0" w:line="271" w:lineRule="auto"/>
        <w:tabs>
          <w:tab w:leader="none" w:pos="691"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Restrictive Covenants Generally</w:t>
      </w:r>
      <w:r>
        <w:rPr>
          <w:rFonts w:ascii="Arial" w:cs="Arial" w:eastAsia="Arial" w:hAnsi="Arial"/>
          <w:sz w:val="17"/>
          <w:szCs w:val="17"/>
          <w:color w:val="auto"/>
        </w:rPr>
        <w:t>. If any of the Restrictive Covenants is finally held to be invalid, illegal or unenforceable (whether in whole or in part), such Restrictive Covenant shall be deemed modified to the extent, but only to the extent, of such invalidity, illegality or unenforceability and the remaining such Restrictive Covenants shall not be affected thereby; provided, however, that if any of such Restrictive Covenants is finally held to be invalid, illegal or unenforceable because it exceeds the maximum scope determined to be acceptable to permit such provision to be enforceable, such Restrictive Covenant shall be deemed to be modified to the minimum extent necessary to modify such scope in order to make such provision enforceable hereunder. The Employee hereby agrees that prior to accepting employment with any other person or entity during his period of service with the Firm or during the Non-compete Restriction Period or the No Hire Restriction Period, the Employee shall provide such prospective employer with written notice of the provisions of this Appendix B, with a copy of such notice delivered no later than the date of the Employee’s commencement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60" w:top="274" w:right="239" w:bottom="1440" w:gutter="0" w:footer="0" w:header="0"/>
        </w:sectPr>
      </w:pPr>
    </w:p>
    <w:bookmarkStart w:id="121" w:name="page122"/>
    <w:bookmarkEnd w:id="121"/>
    <w:p>
      <w:pPr>
        <w:ind w:right="3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employment with such prospective employer, to the General Counsel of the Company. The Employee acknowledges and agrees that the terms of the Restrictive Covenants: (i) are reasonable in light of all of the circumstances, (ii) are sufficiently limited to protect the legitimate interests of the Firm,</w:t>
      </w:r>
    </w:p>
    <w:p>
      <w:pPr>
        <w:ind w:right="40" w:firstLine="8"/>
        <w:spacing w:after="0" w:line="290" w:lineRule="auto"/>
        <w:tabs>
          <w:tab w:leader="none" w:pos="315" w:val="left"/>
        </w:tabs>
        <w:numPr>
          <w:ilvl w:val="0"/>
          <w:numId w:val="83"/>
        </w:numPr>
        <w:rPr>
          <w:rFonts w:ascii="Arial" w:cs="Arial" w:eastAsia="Arial" w:hAnsi="Arial"/>
          <w:sz w:val="16"/>
          <w:szCs w:val="16"/>
          <w:color w:val="auto"/>
        </w:rPr>
      </w:pPr>
      <w:r>
        <w:rPr>
          <w:rFonts w:ascii="Arial" w:cs="Arial" w:eastAsia="Arial" w:hAnsi="Arial"/>
          <w:sz w:val="16"/>
          <w:szCs w:val="16"/>
          <w:color w:val="auto"/>
        </w:rPr>
        <w:t>impose no undue hardship on the Employee and (iv) are not injurious to the public. The Employee acknowledges and agrees that the Employee’s breach of the Restrictive Covenants will cause the Firm irreparable harm, which cannot be adequately compensated by money damages. The Employee also agrees that the Firm shall be entitled to injunctive relief for any actual or threatened violation of any of the Restrictive Covenants in addition to any other remedies it may have, including, without limitation, money damages and forfeiture of the Stock Units. The Employee further acknowledges that, except as provided in Paragraph (h), the Restrictive Covenants and notice period requirements set forth herein shall operate independently of, and not instead of, any other restrictive covenants or notice period requirements to which the Employee is subject pursuant to other plans and agreements involving the Firm.</w:t>
      </w:r>
    </w:p>
    <w:p>
      <w:pPr>
        <w:spacing w:after="0" w:line="164" w:lineRule="exact"/>
        <w:rPr>
          <w:rFonts w:ascii="Arial" w:cs="Arial" w:eastAsia="Arial" w:hAnsi="Arial"/>
          <w:sz w:val="16"/>
          <w:szCs w:val="16"/>
          <w:color w:val="auto"/>
        </w:rPr>
      </w:pPr>
    </w:p>
    <w:p>
      <w:pPr>
        <w:ind w:firstLine="464"/>
        <w:spacing w:after="0" w:line="257" w:lineRule="auto"/>
        <w:tabs>
          <w:tab w:leader="none" w:pos="711"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Other Restrictive Covenants</w:t>
      </w:r>
      <w:r>
        <w:rPr>
          <w:rFonts w:ascii="Arial" w:cs="Arial" w:eastAsia="Arial" w:hAnsi="Arial"/>
          <w:sz w:val="18"/>
          <w:szCs w:val="18"/>
          <w:color w:val="auto"/>
        </w:rPr>
        <w:t>. The Employee acknowledges that, in the event that the Employee is subject to an employment contract, the Restrictive Covenants set forth in this Appendix B constitute a supplement to such employment contract and will be entirely governed by the distinct and specific provisions of this Appendix B. The Employee acknowledges that the Restrictive Covenants set forth in this Appendix B shall supersede and are in full substitution for any and all prior restrictive covenants included in any award agreement evidencing any Prior Awards by which the Employee is bound, and this Paragraph (h) shall constitute a valid amendment to such award agreements.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274" w:right="259" w:bottom="1440" w:gutter="0" w:footer="0" w:header="0"/>
        </w:sectPr>
      </w:pPr>
    </w:p>
    <w:bookmarkStart w:id="122" w:name="page123"/>
    <w:bookmarkEnd w:id="122"/>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6"/>
            <w:vMerge w:val="restart"/>
          </w:tcPr>
          <w:p>
            <w:pPr>
              <w:jc w:val="right"/>
              <w:ind w:right="6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6"/>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40" w:type="dxa"/>
            <w:vAlign w:val="bottom"/>
            <w:gridSpan w:val="4"/>
          </w:tcPr>
          <w:p>
            <w:pPr>
              <w:ind w:left="200"/>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107,180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216,807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6"/>
              </w:rPr>
              <w:t>123,885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235,499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243,650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(182,234)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22,020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103,668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w w:val="86"/>
              </w:rPr>
              <w:t>106,470</w:t>
            </w:r>
          </w:p>
        </w:tc>
        <w:tc>
          <w:tcPr>
            <w:tcW w:w="1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110,919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117,119</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127,398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129,200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320,475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6"/>
              </w:rPr>
              <w:t>230,355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346,418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360,769</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(54,836)</w:t>
            </w: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15,953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79,381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81,565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90,126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24,287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92"/>
              <w:spacing w:after="0"/>
              <w:rPr>
                <w:sz w:val="20"/>
                <w:szCs w:val="20"/>
                <w:color w:val="auto"/>
              </w:rPr>
            </w:pPr>
            <w:r>
              <w:rPr>
                <w:rFonts w:ascii="Arial" w:cs="Arial" w:eastAsia="Arial" w:hAnsi="Arial"/>
                <w:sz w:val="18"/>
                <w:szCs w:val="18"/>
                <w:color w:val="auto"/>
              </w:rPr>
              <w:t>24,905</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20,793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19,410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19,508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103,668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6"/>
              </w:rPr>
              <w:t>106,470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110,919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117,119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127,398</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32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3.09(d)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rPr>
              <w:t>2.16(e)</w:t>
            </w:r>
          </w:p>
        </w:tc>
        <w:tc>
          <w:tcPr>
            <w:tcW w:w="12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3.08(f)</w:t>
            </w:r>
          </w:p>
        </w:tc>
        <w:tc>
          <w:tcPr>
            <w:tcW w:w="1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Deficiency in the coverage of operating income (loss)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before fixed charges to total fixed charges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182,234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80" w:hanging="452"/>
        <w:spacing w:after="0" w:line="305" w:lineRule="auto"/>
        <w:tabs>
          <w:tab w:leader="none" w:pos="4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charges of (i) $64,703 associated with the cost saving initiatives announced by the Company in October 2012, (ii) $54,087 pertaining to the refinancing of the 2015 Notes and the issuance of the 2020 Notes and</w:t>
      </w:r>
    </w:p>
    <w:p>
      <w:pPr>
        <w:ind w:left="460" w:right="3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charges, the ratio of earnings to fixed charges would have been 4.35.</w:t>
      </w:r>
    </w:p>
    <w:p>
      <w:pPr>
        <w:spacing w:after="0" w:line="56" w:lineRule="exact"/>
        <w:rPr>
          <w:rFonts w:ascii="Arial" w:cs="Arial" w:eastAsia="Arial" w:hAnsi="Arial"/>
          <w:sz w:val="15"/>
          <w:szCs w:val="15"/>
          <w:color w:val="auto"/>
        </w:rPr>
      </w:pPr>
    </w:p>
    <w:p>
      <w:pPr>
        <w:ind w:left="460" w:right="80" w:hanging="452"/>
        <w:spacing w:after="0" w:line="323" w:lineRule="auto"/>
        <w:tabs>
          <w:tab w:leader="none" w:pos="4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charges, the ratio of earnings to fixed charges would have been 3.36.</w:t>
      </w:r>
    </w:p>
    <w:p>
      <w:pPr>
        <w:spacing w:after="0" w:line="16" w:lineRule="exact"/>
        <w:rPr>
          <w:rFonts w:ascii="Arial" w:cs="Arial" w:eastAsia="Arial" w:hAnsi="Arial"/>
          <w:sz w:val="15"/>
          <w:szCs w:val="15"/>
          <w:color w:val="auto"/>
        </w:rPr>
      </w:pPr>
    </w:p>
    <w:p>
      <w:pPr>
        <w:jc w:val="both"/>
        <w:ind w:left="460" w:right="220" w:hanging="452"/>
        <w:spacing w:after="0" w:line="306"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relating to the aforementioned items. Excluding the impact of such charges, the ratio of earnings to fixed charges would have been 3.96.</w:t>
      </w:r>
    </w:p>
    <w:p>
      <w:pPr>
        <w:sectPr>
          <w:pgSz w:w="11900" w:h="16838" w:orient="portrait"/>
          <w:cols w:equalWidth="0" w:num="1">
            <w:col w:w="11420"/>
          </w:cols>
          <w:pgMar w:left="240" w:top="125" w:right="239" w:bottom="1440" w:gutter="0" w:footer="0" w:header="0"/>
        </w:sectPr>
      </w:pPr>
    </w:p>
    <w:bookmarkStart w:id="123" w:name="page124"/>
    <w:bookmarkEnd w:id="123"/>
    <w:p>
      <w:pPr>
        <w:ind w:left="452" w:hanging="452"/>
        <w:spacing w:after="0" w:line="298" w:lineRule="auto"/>
        <w:tabs>
          <w:tab w:leader="none" w:pos="452" w:val="left"/>
        </w:tabs>
        <w:numPr>
          <w:ilvl w:val="0"/>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Operating loss for the year ended December 31, 2009 is presented after giving effect to (i) a restructuring charge of $62,550, (ii) the acceleration of amortization expense of $86,514 relating to share-based incentive awards previously granted to our former Chairman and Chief Executive Officer and (iii) the acceleration of amortization expense of $60,512 relating to the accelerated vesting of the unamortized portion of previously awarded deferred cash incentive awards. Excluding the impact of such charges, the ratio of earnings to fixed charges would have been 1.21.</w:t>
      </w:r>
    </w:p>
    <w:p>
      <w:pPr>
        <w:sectPr>
          <w:pgSz w:w="11900" w:h="16838" w:orient="portrait"/>
          <w:cols w:equalWidth="0" w:num="1">
            <w:col w:w="11312"/>
          </w:cols>
          <w:pgMar w:left="248" w:top="280"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2014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6, 2014</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2014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8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6, 2014</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May 6, 2014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March 31, 2014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May 6, 2014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March 31, 2014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1."/>
      <w:numFmt w:val="decimal"/>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1."/>
      <w:numFmt w:val="decimal"/>
      <w:start w:val="2"/>
    </w:lvl>
  </w:abstractNum>
  <w:abstractNum w:abstractNumId="7">
    <w:nsid w:val="38437FDB"/>
    <w:multiLevelType w:val="hybridMultilevel"/>
    <w:lvl w:ilvl="0">
      <w:lvlJc w:val="left"/>
      <w:lvlText w:val="%1."/>
      <w:numFmt w:val="decimal"/>
      <w:start w:val="3"/>
    </w:lvl>
  </w:abstractNum>
  <w:abstractNum w:abstractNumId="8">
    <w:nsid w:val="7644A45C"/>
    <w:multiLevelType w:val="hybridMultilevel"/>
    <w:lvl w:ilvl="0">
      <w:lvlJc w:val="left"/>
      <w:lvlText w:val="%1."/>
      <w:numFmt w:val="decimal"/>
      <w:start w:val="4"/>
    </w:lvl>
  </w:abstractNum>
  <w:abstractNum w:abstractNumId="9">
    <w:nsid w:val="32FFF902"/>
    <w:multiLevelType w:val="hybridMultilevel"/>
    <w:lvl w:ilvl="0">
      <w:lvlJc w:val="left"/>
      <w:lvlText w:val="(%1)"/>
      <w:numFmt w:val="lowerLetter"/>
      <w:start w:val="1"/>
    </w:lvl>
  </w:abstractNum>
  <w:abstractNum w:abstractNumId="10">
    <w:nsid w:val="684A481A"/>
    <w:multiLevelType w:val="hybridMultilevel"/>
    <w:lvl w:ilvl="0">
      <w:lvlJc w:val="left"/>
      <w:lvlText w:val="%1."/>
      <w:numFmt w:val="decimal"/>
      <w:start w:val="5"/>
    </w:lvl>
  </w:abstractNum>
  <w:abstractNum w:abstractNumId="11">
    <w:nsid w:val="579478FE"/>
    <w:multiLevelType w:val="hybridMultilevel"/>
    <w:lvl w:ilvl="0">
      <w:lvlJc w:val="left"/>
      <w:lvlText w:val="(%1)"/>
      <w:numFmt w:val="lowerLetter"/>
      <w:start w:val="1"/>
    </w:lvl>
  </w:abstractNum>
  <w:abstractNum w:abstractNumId="12">
    <w:nsid w:val="749ABB43"/>
    <w:multiLevelType w:val="hybridMultilevel"/>
    <w:lvl w:ilvl="0">
      <w:lvlJc w:val="left"/>
      <w:lvlText w:val="(%1)"/>
      <w:numFmt w:val="lowerLetter"/>
      <w:start w:val="1"/>
    </w:lvl>
  </w:abstractNum>
  <w:abstractNum w:abstractNumId="13">
    <w:nsid w:val="3DC240FB"/>
    <w:multiLevelType w:val="hybridMultilevel"/>
    <w:lvl w:ilvl="0">
      <w:lvlJc w:val="left"/>
      <w:lvlText w:val="(%1)"/>
      <w:numFmt w:val="lowerLetter"/>
      <w:start w:val="1"/>
    </w:lvl>
  </w:abstractNum>
  <w:abstractNum w:abstractNumId="14">
    <w:nsid w:val="1BA026FA"/>
    <w:multiLevelType w:val="hybridMultilevel"/>
    <w:lvl w:ilvl="0">
      <w:lvlJc w:val="left"/>
      <w:lvlText w:val="(%1)"/>
      <w:numFmt w:val="lowerLetter"/>
      <w:start w:val="4"/>
    </w:lvl>
  </w:abstractNum>
  <w:abstractNum w:abstractNumId="15">
    <w:nsid w:val="79A1DEAA"/>
    <w:multiLevelType w:val="hybridMultilevel"/>
    <w:lvl w:ilvl="0">
      <w:lvlJc w:val="left"/>
      <w:lvlText w:val="%1."/>
      <w:numFmt w:val="decimal"/>
      <w:start w:val="6"/>
    </w:lvl>
  </w:abstractNum>
  <w:abstractNum w:abstractNumId="16">
    <w:nsid w:val="75C6C33A"/>
    <w:multiLevelType w:val="hybridMultilevel"/>
    <w:lvl w:ilvl="0">
      <w:lvlJc w:val="left"/>
      <w:lvlText w:val="(%1)"/>
      <w:numFmt w:val="lowerLetter"/>
      <w:start w:val="1"/>
    </w:lvl>
  </w:abstractNum>
  <w:abstractNum w:abstractNumId="17">
    <w:nsid w:val="12E685FB"/>
    <w:multiLevelType w:val="hybridMultilevel"/>
    <w:lvl w:ilvl="0">
      <w:lvlJc w:val="left"/>
      <w:lvlText w:val="%1."/>
      <w:numFmt w:val="decimal"/>
      <w:start w:val="7"/>
    </w:lvl>
  </w:abstractNum>
  <w:abstractNum w:abstractNumId="18">
    <w:nsid w:val="70C6A529"/>
    <w:multiLevelType w:val="hybridMultilevel"/>
    <w:lvl w:ilvl="0">
      <w:lvlJc w:val="left"/>
      <w:lvlText w:val="%1."/>
      <w:numFmt w:val="decimal"/>
      <w:start w:val="8"/>
    </w:lvl>
  </w:abstractNum>
  <w:abstractNum w:abstractNumId="19">
    <w:nsid w:val="520EEDD1"/>
    <w:multiLevelType w:val="hybridMultilevel"/>
    <w:lvl w:ilvl="0">
      <w:lvlJc w:val="left"/>
      <w:lvlText w:val="%1"/>
      <w:numFmt w:val="decimal"/>
      <w:start w:val="1"/>
    </w:lvl>
    <w:lvl w:ilvl="1">
      <w:lvlJc w:val="left"/>
      <w:lvlText w:val="(%2)"/>
      <w:numFmt w:val="lowerLetter"/>
      <w:start w:val="1"/>
    </w:lvl>
  </w:abstractNum>
  <w:abstractNum w:abstractNumId="20">
    <w:nsid w:val="374A3FE6"/>
    <w:multiLevelType w:val="hybridMultilevel"/>
    <w:lvl w:ilvl="0">
      <w:lvlJc w:val="left"/>
      <w:lvlText w:val="%1."/>
      <w:numFmt w:val="decimal"/>
      <w:start w:val="9"/>
    </w:lvl>
    <w:lvl w:ilvl="1">
      <w:lvlJc w:val="left"/>
      <w:lvlText w:val="%2"/>
      <w:numFmt w:val="lowerLetter"/>
      <w:start w:val="1"/>
    </w:lvl>
  </w:abstractNum>
  <w:abstractNum w:abstractNumId="21">
    <w:nsid w:val="4F4EF005"/>
    <w:multiLevelType w:val="hybridMultilevel"/>
    <w:lvl w:ilvl="0">
      <w:lvlJc w:val="left"/>
      <w:lvlText w:val="%1."/>
      <w:numFmt w:val="decimal"/>
      <w:start w:val="10"/>
    </w:lvl>
  </w:abstractNum>
  <w:abstractNum w:abstractNumId="22">
    <w:nsid w:val="23F9C13C"/>
    <w:multiLevelType w:val="hybridMultilevel"/>
    <w:lvl w:ilvl="0">
      <w:lvlJc w:val="left"/>
      <w:lvlText w:val="%1."/>
      <w:numFmt w:val="decimal"/>
      <w:start w:val="11"/>
    </w:lvl>
  </w:abstractNum>
  <w:abstractNum w:abstractNumId="23">
    <w:nsid w:val="649BB77C"/>
    <w:multiLevelType w:val="hybridMultilevel"/>
    <w:lvl w:ilvl="0">
      <w:lvlJc w:val="left"/>
      <w:lvlText w:val="(%1)"/>
      <w:numFmt w:val="lowerLetter"/>
      <w:start w:val="1"/>
    </w:lvl>
  </w:abstractNum>
  <w:abstractNum w:abstractNumId="24">
    <w:nsid w:val="275AC794"/>
    <w:multiLevelType w:val="hybridMultilevel"/>
    <w:lvl w:ilvl="0">
      <w:lvlJc w:val="left"/>
      <w:lvlText w:val="%1."/>
      <w:numFmt w:val="decimal"/>
      <w:start w:val="12"/>
    </w:lvl>
  </w:abstractNum>
  <w:abstractNum w:abstractNumId="25">
    <w:nsid w:val="39386575"/>
    <w:multiLevelType w:val="hybridMultilevel"/>
    <w:lvl w:ilvl="0">
      <w:lvlJc w:val="left"/>
      <w:lvlText w:val="(%1)"/>
      <w:numFmt w:val="lowerLetter"/>
      <w:start w:val="1"/>
    </w:lvl>
  </w:abstractNum>
  <w:abstractNum w:abstractNumId="26">
    <w:nsid w:val="1CF10FD8"/>
    <w:multiLevelType w:val="hybridMultilevel"/>
    <w:lvl w:ilvl="0">
      <w:lvlJc w:val="left"/>
      <w:lvlText w:val="(%1)"/>
      <w:numFmt w:val="lowerLetter"/>
      <w:start w:val="1"/>
    </w:lvl>
  </w:abstractNum>
  <w:abstractNum w:abstractNumId="27">
    <w:nsid w:val="180115BE"/>
    <w:multiLevelType w:val="hybridMultilevel"/>
    <w:lvl w:ilvl="0">
      <w:lvlJc w:val="left"/>
      <w:lvlText w:val="%1."/>
      <w:numFmt w:val="decimal"/>
      <w:start w:val="13"/>
    </w:lvl>
  </w:abstractNum>
  <w:abstractNum w:abstractNumId="28">
    <w:nsid w:val="235BA861"/>
    <w:multiLevelType w:val="hybridMultilevel"/>
    <w:lvl w:ilvl="0">
      <w:lvlJc w:val="left"/>
      <w:lvlText w:val="%1."/>
      <w:numFmt w:val="decimal"/>
      <w:start w:val="14"/>
    </w:lvl>
  </w:abstractNum>
  <w:abstractNum w:abstractNumId="29">
    <w:nsid w:val="47398C89"/>
    <w:multiLevelType w:val="hybridMultilevel"/>
    <w:lvl w:ilvl="0">
      <w:lvlJc w:val="left"/>
      <w:lvlText w:val="%1."/>
      <w:numFmt w:val="decimal"/>
      <w:start w:val="15"/>
    </w:lvl>
  </w:abstractNum>
  <w:abstractNum w:abstractNumId="30">
    <w:nsid w:val="354FE9F9"/>
    <w:multiLevelType w:val="hybridMultilevel"/>
    <w:lvl w:ilvl="0">
      <w:lvlJc w:val="left"/>
      <w:lvlText w:val="%1."/>
      <w:numFmt w:val="decimal"/>
      <w:start w:val="16"/>
    </w:lvl>
  </w:abstractNum>
  <w:abstractNum w:abstractNumId="31">
    <w:nsid w:val="15B5AF5C"/>
    <w:multiLevelType w:val="hybridMultilevel"/>
    <w:lvl w:ilvl="0">
      <w:lvlJc w:val="left"/>
      <w:lvlText w:val="%1."/>
      <w:numFmt w:val="decimal"/>
      <w:start w:val="17"/>
    </w:lvl>
  </w:abstractNum>
  <w:abstractNum w:abstractNumId="32">
    <w:nsid w:val="741226BB"/>
    <w:multiLevelType w:val="hybridMultilevel"/>
    <w:lvl w:ilvl="0">
      <w:lvlJc w:val="left"/>
      <w:lvlText w:val="%1."/>
      <w:numFmt w:val="decimal"/>
      <w:start w:val="18"/>
    </w:lvl>
  </w:abstractNum>
  <w:abstractNum w:abstractNumId="33">
    <w:nsid w:val="D34B6A8"/>
    <w:multiLevelType w:val="hybridMultilevel"/>
    <w:lvl w:ilvl="0">
      <w:lvlJc w:val="left"/>
      <w:lvlText w:val="%1."/>
      <w:numFmt w:val="decimal"/>
      <w:start w:val="19"/>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1)"/>
      <w:numFmt w:val="lowerLetter"/>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1)"/>
      <w:numFmt w:val="lowerRoman"/>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1)"/>
      <w:numFmt w:val="lowerLetter"/>
      <w:start w:val="1"/>
    </w:lvl>
  </w:abstractNum>
  <w:abstractNum w:abstractNumId="44">
    <w:nsid w:val="1DBABF00"/>
    <w:multiLevelType w:val="hybridMultilevel"/>
    <w:lvl w:ilvl="0">
      <w:lvlJc w:val="left"/>
      <w:lvlText w:val="(%1)"/>
      <w:numFmt w:val="lowerLetter"/>
      <w:start w:val="1"/>
    </w:lvl>
  </w:abstractNum>
  <w:abstractNum w:abstractNumId="45">
    <w:nsid w:val="4AD084E9"/>
    <w:multiLevelType w:val="hybridMultilevel"/>
    <w:lvl w:ilvl="0">
      <w:lvlJc w:val="left"/>
      <w:lvlText w:val="(%1)"/>
      <w:numFmt w:val="lowerLetter"/>
      <w:start w:val="1"/>
    </w:lvl>
  </w:abstractNum>
  <w:abstractNum w:abstractNumId="46">
    <w:nsid w:val="1F48EAA1"/>
    <w:multiLevelType w:val="hybridMultilevel"/>
    <w:lvl w:ilvl="0">
      <w:lvlJc w:val="left"/>
      <w:lvlText w:val="(%1)"/>
      <w:numFmt w:val="lowerLetter"/>
      <w:start w:val="1"/>
    </w:lvl>
  </w:abstractNum>
  <w:abstractNum w:abstractNumId="47">
    <w:nsid w:val="1381823A"/>
    <w:multiLevelType w:val="hybridMultilevel"/>
    <w:lvl w:ilvl="0">
      <w:lvlJc w:val="left"/>
      <w:lvlText w:val="(%1)"/>
      <w:numFmt w:val="lowerLetter"/>
      <w:start w:val="2"/>
    </w:lvl>
  </w:abstractNum>
  <w:abstractNum w:abstractNumId="48">
    <w:nsid w:val="5DB70AE5"/>
    <w:multiLevelType w:val="hybridMultilevel"/>
    <w:lvl w:ilvl="0">
      <w:lvlJc w:val="left"/>
      <w:lvlText w:val="(%1)"/>
      <w:numFmt w:val="lowerLetter"/>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1)"/>
      <w:numFmt w:val="lowerLetter"/>
      <w:start w:val="1"/>
    </w:lvl>
  </w:abstractNum>
  <w:abstractNum w:abstractNumId="53">
    <w:nsid w:val="98A3148"/>
    <w:multiLevelType w:val="hybridMultilevel"/>
    <w:lvl w:ilvl="0">
      <w:lvlJc w:val="left"/>
      <w:lvlText w:val="(%1)"/>
      <w:numFmt w:val="lowerLetter"/>
      <w:start w:val="2"/>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1)"/>
      <w:numFmt w:val="decimal"/>
      <w:start w:val="1"/>
    </w:lvl>
  </w:abstractNum>
  <w:abstractNum w:abstractNumId="56">
    <w:nsid w:val="42C296BD"/>
    <w:multiLevelType w:val="hybridMultilevel"/>
    <w:lvl w:ilvl="0">
      <w:lvlJc w:val="left"/>
      <w:lvlText w:val="(%1)"/>
      <w:numFmt w:val="decimal"/>
      <w:start w:val="2"/>
    </w:lvl>
  </w:abstractNum>
  <w:abstractNum w:abstractNumId="57">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
    <w:nsid w:val="1EBA5D23"/>
    <w:multiLevelType w:val="hybridMultilevel"/>
    <w:lvl w:ilvl="0">
      <w:lvlJc w:val="left"/>
      <w:lvlText w:val="(%1)"/>
      <w:numFmt w:val="lowerLetter"/>
      <w:start w:val="3"/>
    </w:lvl>
  </w:abstractNum>
  <w:abstractNum w:abstractNumId="59">
    <w:nsid w:val="661E3F1E"/>
    <w:multiLevelType w:val="hybridMultilevel"/>
    <w:lvl w:ilvl="0">
      <w:lvlJc w:val="left"/>
      <w:lvlText w:val="(%1)"/>
      <w:numFmt w:val="lowerRoman"/>
      <w:start w:val="2"/>
    </w:lvl>
  </w:abstractNum>
  <w:abstractNum w:abstractNumId="60">
    <w:nsid w:val="5DC79EA8"/>
    <w:multiLevelType w:val="hybridMultilevel"/>
    <w:lvl w:ilvl="0">
      <w:lvlJc w:val="left"/>
      <w:lvlText w:val="(%1)"/>
      <w:numFmt w:val="lowerLetter"/>
      <w:start w:val="5"/>
    </w:lvl>
  </w:abstractNum>
  <w:abstractNum w:abstractNumId="61">
    <w:nsid w:val="540A471C"/>
    <w:multiLevelType w:val="hybridMultilevel"/>
    <w:lvl w:ilvl="0">
      <w:lvlJc w:val="left"/>
      <w:lvlText w:val="(%1)"/>
      <w:numFmt w:val="lowerLetter"/>
      <w:start w:val="6"/>
    </w:lvl>
    <w:lvl w:ilvl="1">
      <w:lvlJc w:val="left"/>
      <w:lvlText w:val="(%2)"/>
      <w:numFmt w:val="lowerRoman"/>
      <w:start w:val="2"/>
    </w:lvl>
  </w:abstractNum>
  <w:abstractNum w:abstractNumId="62">
    <w:nsid w:val="7BD3EE7B"/>
    <w:multiLevelType w:val="hybridMultilevel"/>
    <w:lvl w:ilvl="0">
      <w:lvlJc w:val="left"/>
      <w:lvlText w:val="%1."/>
      <w:numFmt w:val="decimal"/>
      <w:start w:val="6"/>
    </w:lvl>
    <w:lvl w:ilvl="1">
      <w:lvlJc w:val="left"/>
      <w:lvlText w:val="(%2)"/>
      <w:numFmt w:val="lowerLetter"/>
      <w:start w:val="1"/>
    </w:lvl>
  </w:abstractNum>
  <w:abstractNum w:abstractNumId="63">
    <w:nsid w:val="51D9C564"/>
    <w:multiLevelType w:val="hybridMultilevel"/>
    <w:lvl w:ilvl="0">
      <w:lvlJc w:val="left"/>
      <w:lvlText w:val="%1."/>
      <w:numFmt w:val="decimal"/>
      <w:start w:val="8"/>
    </w:lvl>
    <w:lvl w:ilvl="1">
      <w:lvlJc w:val="left"/>
      <w:lvlText w:val="(%2)"/>
      <w:numFmt w:val="lowerLetter"/>
      <w:start w:val="1"/>
    </w:lvl>
  </w:abstractNum>
  <w:abstractNum w:abstractNumId="64">
    <w:nsid w:val="613EFDC5"/>
    <w:multiLevelType w:val="hybridMultilevel"/>
    <w:lvl w:ilvl="0">
      <w:lvlJc w:val="left"/>
      <w:lvlText w:val="(%1)"/>
      <w:numFmt w:val="lowerLetter"/>
      <w:start w:val="1"/>
    </w:lvl>
  </w:abstractNum>
  <w:abstractNum w:abstractNumId="65">
    <w:nsid w:val="BF72B14"/>
    <w:multiLevelType w:val="hybridMultilevel"/>
    <w:lvl w:ilvl="0">
      <w:lvlJc w:val="left"/>
      <w:lvlText w:val="(%1)"/>
      <w:numFmt w:val="lowerLetter"/>
      <w:start w:val="3"/>
    </w:lvl>
  </w:abstractNum>
  <w:abstractNum w:abstractNumId="66">
    <w:nsid w:val="11447B73"/>
    <w:multiLevelType w:val="hybridMultilevel"/>
    <w:lvl w:ilvl="0">
      <w:lvlJc w:val="left"/>
      <w:lvlText w:val="(%1)"/>
      <w:numFmt w:val="lowerLetter"/>
      <w:start w:val="4"/>
    </w:lvl>
  </w:abstractNum>
  <w:abstractNum w:abstractNumId="67">
    <w:nsid w:val="42963E5A"/>
    <w:multiLevelType w:val="hybridMultilevel"/>
    <w:lvl w:ilvl="0">
      <w:lvlJc w:val="left"/>
      <w:lvlText w:val="(%1)"/>
      <w:numFmt w:val="lowerLetter"/>
      <w:start w:val="61"/>
    </w:lvl>
    <w:lvl w:ilvl="1">
      <w:lvlJc w:val="left"/>
      <w:lvlText w:val="(%2)"/>
      <w:numFmt w:val="lowerLetter"/>
      <w:start w:val="8"/>
    </w:lvl>
  </w:abstractNum>
  <w:abstractNum w:abstractNumId="68">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9">
    <w:nsid w:val="8F2B15E"/>
    <w:multiLevelType w:val="hybridMultilevel"/>
    <w:lvl w:ilvl="0">
      <w:lvlJc w:val="left"/>
      <w:lvlText w:val="(%1)"/>
      <w:numFmt w:val="lowerLetter"/>
      <w:start w:val="3"/>
    </w:lvl>
  </w:abstractNum>
  <w:abstractNum w:abstractNumId="70">
    <w:nsid w:val="1A32234B"/>
    <w:multiLevelType w:val="hybridMultilevel"/>
    <w:lvl w:ilvl="0">
      <w:lvlJc w:val="left"/>
      <w:lvlText w:val="(%1)"/>
      <w:numFmt w:val="lowerRoman"/>
      <w:start w:val="2"/>
    </w:lvl>
  </w:abstractNum>
  <w:abstractNum w:abstractNumId="71">
    <w:nsid w:val="3B0FD379"/>
    <w:multiLevelType w:val="hybridMultilevel"/>
    <w:lvl w:ilvl="0">
      <w:lvlJc w:val="left"/>
      <w:lvlText w:val="(%1)"/>
      <w:numFmt w:val="lowerLetter"/>
      <w:start w:val="5"/>
    </w:lvl>
  </w:abstractNum>
  <w:abstractNum w:abstractNumId="72">
    <w:nsid w:val="68EB2F63"/>
    <w:multiLevelType w:val="hybridMultilevel"/>
    <w:lvl w:ilvl="0">
      <w:lvlJc w:val="left"/>
      <w:lvlText w:val="%1"/>
      <w:numFmt w:val="lowerLetter"/>
      <w:start w:val="1"/>
    </w:lvl>
    <w:lvl w:ilvl="1">
      <w:lvlJc w:val="left"/>
      <w:lvlText w:val="(%2)"/>
      <w:numFmt w:val="lowerRoman"/>
      <w:start w:val="2"/>
    </w:lvl>
  </w:abstractNum>
  <w:abstractNum w:abstractNumId="73">
    <w:nsid w:val="4962813B"/>
    <w:multiLevelType w:val="hybridMultilevel"/>
    <w:lvl w:ilvl="0">
      <w:lvlJc w:val="left"/>
      <w:lvlText w:val="(%1)"/>
      <w:numFmt w:val="lowerLetter"/>
      <w:start w:val="7"/>
    </w:lvl>
    <w:lvl w:ilvl="1">
      <w:lvlJc w:val="left"/>
      <w:lvlText w:val="%2"/>
      <w:numFmt w:val="lowerRoman"/>
      <w:start w:val="1"/>
    </w:lvl>
  </w:abstractNum>
  <w:abstractNum w:abstractNumId="74">
    <w:nsid w:val="60B6DF70"/>
    <w:multiLevelType w:val="hybridMultilevel"/>
    <w:lvl w:ilvl="0">
      <w:lvlJc w:val="left"/>
      <w:lvlText w:val="(%1)"/>
      <w:numFmt w:val="lowerRoman"/>
      <w:start w:val="2"/>
    </w:lvl>
  </w:abstractNum>
  <w:abstractNum w:abstractNumId="75">
    <w:nsid w:val="6A5EE64"/>
    <w:multiLevelType w:val="hybridMultilevel"/>
    <w:lvl w:ilvl="0">
      <w:lvlJc w:val="left"/>
      <w:lvlText w:val="%1"/>
      <w:numFmt w:val="decimal"/>
      <w:start w:val="1"/>
    </w:lvl>
    <w:lvl w:ilvl="1">
      <w:lvlJc w:val="left"/>
      <w:lvlText w:val="(%2)"/>
      <w:numFmt w:val="lowerRoman"/>
      <w:start w:val="4"/>
    </w:lvl>
  </w:abstractNum>
  <w:abstractNum w:abstractNumId="76">
    <w:nsid w:val="14330624"/>
    <w:multiLevelType w:val="hybridMultilevel"/>
    <w:lvl w:ilvl="0">
      <w:lvlJc w:val="left"/>
      <w:lvlText w:val="%1."/>
      <w:numFmt w:val="decimal"/>
      <w:start w:val="2"/>
    </w:lvl>
    <w:lvl w:ilvl="1">
      <w:lvlJc w:val="left"/>
      <w:lvlText w:val="%2"/>
      <w:numFmt w:val="lowerRoman"/>
      <w:start w:val="1"/>
    </w:lvl>
  </w:abstractNum>
  <w:abstractNum w:abstractNumId="77">
    <w:nsid w:val="7FFFCA11"/>
    <w:multiLevelType w:val="hybridMultilevel"/>
    <w:lvl w:ilvl="0">
      <w:lvlJc w:val="left"/>
      <w:lvlText w:val="%1."/>
      <w:numFmt w:val="decimal"/>
      <w:start w:val="6"/>
    </w:lvl>
    <w:lvl w:ilvl="1">
      <w:lvlJc w:val="left"/>
      <w:lvlText w:val="(%2)"/>
      <w:numFmt w:val="lowerLetter"/>
      <w:start w:val="1"/>
    </w:lvl>
  </w:abstractNum>
  <w:abstractNum w:abstractNumId="78">
    <w:nsid w:val="1A27709E"/>
    <w:multiLevelType w:val="hybridMultilevel"/>
    <w:lvl w:ilvl="0">
      <w:lvlJc w:val="left"/>
      <w:lvlText w:val="%1."/>
      <w:numFmt w:val="decimal"/>
      <w:start w:val="8"/>
    </w:lvl>
    <w:lvl w:ilvl="1">
      <w:lvlJc w:val="left"/>
      <w:lvlText w:val="(%2)"/>
      <w:numFmt w:val="lowerLetter"/>
      <w:start w:val="1"/>
    </w:lvl>
  </w:abstractNum>
  <w:abstractNum w:abstractNumId="79">
    <w:nsid w:val="71EA1109"/>
    <w:multiLevelType w:val="hybridMultilevel"/>
    <w:lvl w:ilvl="0">
      <w:lvlJc w:val="left"/>
      <w:lvlText w:val="(%1)"/>
      <w:numFmt w:val="lowerLetter"/>
      <w:start w:val="1"/>
    </w:lvl>
  </w:abstractNum>
  <w:abstractNum w:abstractNumId="80">
    <w:nsid w:val="100F59DC"/>
    <w:multiLevelType w:val="hybridMultilevel"/>
    <w:lvl w:ilvl="0">
      <w:lvlJc w:val="left"/>
      <w:lvlText w:val="(%1)"/>
      <w:numFmt w:val="lowerLetter"/>
      <w:start w:val="3"/>
    </w:lvl>
  </w:abstractNum>
  <w:abstractNum w:abstractNumId="81">
    <w:nsid w:val="7FB7E0AA"/>
    <w:multiLevelType w:val="hybridMultilevel"/>
    <w:lvl w:ilvl="0">
      <w:lvlJc w:val="left"/>
      <w:lvlText w:val="(%1)"/>
      <w:numFmt w:val="lowerLetter"/>
      <w:start w:val="4"/>
    </w:lvl>
  </w:abstractNum>
  <w:abstractNum w:abstractNumId="82">
    <w:nsid w:val="6EB5BD4"/>
    <w:multiLevelType w:val="hybridMultilevel"/>
    <w:lvl w:ilvl="0">
      <w:lvlJc w:val="left"/>
      <w:lvlText w:val="(%1)"/>
      <w:numFmt w:val="lowerLetter"/>
      <w:start w:val="61"/>
    </w:lvl>
    <w:lvl w:ilvl="1">
      <w:lvlJc w:val="left"/>
      <w:lvlText w:val="(%2)"/>
      <w:numFmt w:val="lowerLetter"/>
      <w:start w:val="8"/>
    </w:lvl>
  </w:abstractNum>
  <w:abstractNum w:abstractNumId="83">
    <w:nsid w:val="6F6DD9AC"/>
    <w:multiLevelType w:val="hybridMultilevel"/>
    <w:lvl w:ilvl="0">
      <w:lvlJc w:val="left"/>
      <w:lvlText w:val="(%1)"/>
      <w:numFmt w:val="lowerLetter"/>
      <w:start w:val="1"/>
    </w:lvl>
    <w:lvl w:ilvl="1">
      <w:lvlJc w:val="left"/>
      <w:lvlText w:val="•"/>
      <w:numFmt w:val="bullet"/>
      <w:start w:val="1"/>
    </w:lvl>
  </w:abstractNum>
  <w:abstractNum w:abstractNumId="84">
    <w:nsid w:val="94211F2"/>
    <w:multiLevelType w:val="hybridMultilevel"/>
    <w:lvl w:ilvl="0">
      <w:lvlJc w:val="left"/>
      <w:lvlText w:val="(%1)"/>
      <w:numFmt w:val="lowerLetter"/>
      <w:start w:val="7"/>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2019-12-07T08:25:18Z</dcterms:created>
  <dcterms:modified xsi:type="dcterms:W3CDTF">2019-12-07T08:25:18Z</dcterms:modified>
</cp:coreProperties>
</file>