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22"/>
        </w:trPr>
        <w:tc>
          <w:tcPr>
            <w:tcW w:w="2380" w:type="dxa"/>
            <w:vAlign w:val="bottom"/>
          </w:tcPr>
          <w:p>
            <w:pPr>
              <w:jc w:val="right"/>
              <w:ind w:right="56"/>
              <w:spacing w:after="0"/>
              <w:rPr>
                <w:sz w:val="20"/>
                <w:szCs w:val="20"/>
                <w:color w:val="auto"/>
              </w:rPr>
            </w:pPr>
            <w:r>
              <w:rPr>
                <w:rFonts w:ascii="Arial" w:cs="Arial" w:eastAsia="Arial" w:hAnsi="Arial"/>
                <w:sz w:val="18"/>
                <w:szCs w:val="18"/>
                <w:b w:val="1"/>
                <w:bCs w:val="1"/>
                <w:color w:val="auto"/>
              </w:rPr>
              <w:t>001-32492</w:t>
            </w: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6"/>
        </w:trPr>
        <w:tc>
          <w:tcPr>
            <w:tcW w:w="292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93"/>
              </w:rPr>
              <w:t>(Commission File Number)</w:t>
            </w:r>
          </w:p>
        </w:tc>
        <w:tc>
          <w:tcPr>
            <w:tcW w:w="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-334645</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LAZARD LTD</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40"/>
          </w:cols>
          <w:pgMar w:left="240" w:top="571" w:right="319" w:bottom="1440" w:gutter="0" w:footer="0" w:header="0"/>
        </w:sectPr>
      </w:pPr>
    </w:p>
    <w:p>
      <w:pPr>
        <w:spacing w:after="0" w:line="2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98-0437848</w:t>
      </w:r>
    </w:p>
    <w:p>
      <w:pPr>
        <w:spacing w:after="0" w:line="50" w:lineRule="exact"/>
        <w:rPr>
          <w:sz w:val="24"/>
          <w:szCs w:val="24"/>
          <w:color w:val="auto"/>
        </w:rPr>
      </w:pPr>
    </w:p>
    <w:p>
      <w:pPr>
        <w:sectPr>
          <w:pgSz w:w="11900" w:h="16838" w:orient="portrait"/>
          <w:cols w:equalWidth="0" w:num="2">
            <w:col w:w="7480" w:space="720"/>
            <w:col w:w="3140"/>
          </w:cols>
          <w:pgMar w:left="240" w:top="571" w:right="319" w:bottom="1440" w:gutter="0" w:footer="0" w:header="0"/>
          <w:type w:val="continuous"/>
        </w:sectPr>
      </w:pPr>
    </w:p>
    <w:p>
      <w:pPr>
        <w:jc w:val="center"/>
        <w:ind w:right="110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49" w:lineRule="exact"/>
        <w:rPr>
          <w:sz w:val="24"/>
          <w:szCs w:val="24"/>
          <w:color w:val="auto"/>
        </w:rPr>
      </w:pPr>
    </w:p>
    <w:p>
      <w:pPr>
        <w:sectPr>
          <w:pgSz w:w="11900" w:h="16838" w:orient="portrait"/>
          <w:cols w:equalWidth="0" w:num="2">
            <w:col w:w="6820" w:space="720"/>
            <w:col w:w="3800"/>
          </w:cols>
          <w:pgMar w:left="240" w:top="571" w:right="31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 Church Street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Hamilton HM11, Bermuda</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340"/>
          </w:cols>
          <w:pgMar w:left="240" w:top="571" w:right="319" w:bottom="1440" w:gutter="0" w:footer="0" w:header="0"/>
          <w:type w:val="continuous"/>
        </w:sectPr>
      </w:pPr>
    </w:p>
    <w:p>
      <w:pPr>
        <w:spacing w:after="0" w:line="1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(441) 295-1422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20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8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40"/>
          </w:cols>
          <w:pgMar w:left="240" w:top="571" w:right="319" w:bottom="1440" w:gutter="0" w:footer="0" w:header="0"/>
          <w:type w:val="continuous"/>
        </w:sectPr>
      </w:pPr>
    </w:p>
    <w:p>
      <w:pPr>
        <w:spacing w:after="0" w:line="171" w:lineRule="exact"/>
        <w:rPr>
          <w:sz w:val="24"/>
          <w:szCs w:val="24"/>
          <w:color w:val="auto"/>
        </w:rPr>
      </w:pPr>
    </w:p>
    <w:p>
      <w:pPr>
        <w:ind w:left="580"/>
        <w:spacing w:after="0" w:line="369"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4">
            <w:col w:w="2040" w:space="80"/>
            <w:col w:w="2420" w:space="720"/>
            <w:col w:w="1760" w:space="80"/>
            <w:col w:w="4240"/>
          </w:cols>
          <w:pgMar w:left="240" w:top="571" w:right="319" w:bottom="1440" w:gutter="0" w:footer="0" w:header="0"/>
          <w:type w:val="continuous"/>
        </w:sectPr>
      </w:pPr>
    </w:p>
    <w:p>
      <w:pPr>
        <w:ind w:firstLine="518"/>
        <w:spacing w:after="0" w:line="214" w:lineRule="exact"/>
        <w:rPr>
          <w:sz w:val="20"/>
          <w:szCs w:val="20"/>
          <w:color w:val="auto"/>
        </w:rPr>
      </w:pPr>
      <w:r>
        <w:rPr>
          <w:rFonts w:ascii="Arial" w:cs="Arial" w:eastAsia="Arial" w:hAnsi="Arial"/>
          <w:sz w:val="16"/>
          <w:szCs w:val="16"/>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spacing w:after="0" w:line="184" w:lineRule="exact"/>
        <w:tabs>
          <w:tab w:leader="none" w:pos="7860" w:val="left"/>
          <w:tab w:leader="none" w:pos="84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57" w:lineRule="exact"/>
        <w:rPr>
          <w:sz w:val="24"/>
          <w:szCs w:val="24"/>
          <w:color w:val="auto"/>
        </w:rPr>
      </w:pPr>
    </w:p>
    <w:p>
      <w:pPr>
        <w:ind w:left="520"/>
        <w:spacing w:after="0"/>
        <w:rPr>
          <w:sz w:val="20"/>
          <w:szCs w:val="20"/>
          <w:color w:val="auto"/>
        </w:rPr>
      </w:pPr>
      <w:r>
        <w:rPr>
          <w:rFonts w:ascii="Arial" w:cs="Arial" w:eastAsia="Arial" w:hAnsi="Arial"/>
          <w:sz w:val="15"/>
          <w:szCs w:val="15"/>
          <w:color w:val="auto"/>
        </w:rPr>
        <w:t>As of July 21, 2017, there were 129,766,091 shares of the Registrant’s Class A common stock outstanding (including 8,157,267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827405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71"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June 30, 2017 of all of the common membership interests in Lazard Group and its controlling interest in Lazard Group.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480" w:type="dxa"/>
            <w:vAlign w:val="bottom"/>
            <w:gridSpan w:val="9"/>
            <w:vMerge w:val="restart"/>
          </w:tcPr>
          <w:p>
            <w:pPr>
              <w:spacing w:after="0"/>
              <w:rPr>
                <w:sz w:val="14"/>
                <w:szCs w:val="1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480" w:type="dxa"/>
            <w:vAlign w:val="bottom"/>
            <w:gridSpan w:val="9"/>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Item 4. Controls and Procedures</w:t>
              </w:r>
            </w:hyperlink>
          </w:p>
        </w:tc>
        <w:tc>
          <w:tcPr>
            <w:tcW w:w="7960" w:type="dxa"/>
            <w:vAlign w:val="bottom"/>
            <w:gridSpan w:val="6"/>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Item 1. Legal Proceedings</w:t>
              </w:r>
            </w:hyperlink>
          </w:p>
        </w:tc>
        <w:tc>
          <w:tcPr>
            <w:tcW w:w="8400" w:type="dxa"/>
            <w:vAlign w:val="bottom"/>
            <w:gridSpan w:val="7"/>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Item 1A. Risk Factors</w:t>
              </w:r>
            </w:hyperlink>
          </w:p>
        </w:tc>
        <w:tc>
          <w:tcPr>
            <w:tcW w:w="8680" w:type="dxa"/>
            <w:vAlign w:val="bottom"/>
            <w:gridSpan w:val="10"/>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Item 2. Unregistered Sales of Equity Securities and Use of Proceeds</w:t>
              </w:r>
            </w:hyperlink>
          </w:p>
        </w:tc>
        <w:tc>
          <w:tcPr>
            <w:tcW w:w="5380" w:type="dxa"/>
            <w:vAlign w:val="bottom"/>
            <w:gridSpan w:val="3"/>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3. Defaults Upon Senior Securities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7420" w:type="dxa"/>
            <w:vAlign w:val="bottom"/>
            <w:gridSpan w:val="5"/>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Item 5. Other Information</w:t>
              </w:r>
            </w:hyperlink>
          </w:p>
        </w:tc>
        <w:tc>
          <w:tcPr>
            <w:tcW w:w="8420" w:type="dxa"/>
            <w:vAlign w:val="bottom"/>
            <w:gridSpan w:val="8"/>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6. Exhibits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14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Signatures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740" w:type="dxa"/>
            <w:vAlign w:val="bottom"/>
            <w:gridSpan w:val="6"/>
          </w:tcPr>
          <w:p>
            <w:pPr>
              <w:ind w:left="12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940" w:type="dxa"/>
            <w:vAlign w:val="bottom"/>
            <w:gridSpan w:val="7"/>
          </w:tcPr>
          <w:p>
            <w:pPr>
              <w:ind w:left="300"/>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r>
      <w:tr>
        <w:trPr>
          <w:trHeight w:val="291"/>
        </w:trPr>
        <w:tc>
          <w:tcPr>
            <w:tcW w:w="60" w:type="dxa"/>
            <w:vAlign w:val="bottom"/>
          </w:tcPr>
          <w:p>
            <w:pPr>
              <w:spacing w:after="0"/>
              <w:rPr>
                <w:sz w:val="24"/>
                <w:szCs w:val="24"/>
                <w:color w:val="auto"/>
              </w:rPr>
            </w:pPr>
          </w:p>
        </w:tc>
        <w:tc>
          <w:tcPr>
            <w:tcW w:w="75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as of June 30, 2017 and December 31, 2016</w:t>
              </w:r>
            </w:hyperlink>
          </w:p>
        </w:tc>
        <w:tc>
          <w:tcPr>
            <w:tcW w:w="3220" w:type="dxa"/>
            <w:vAlign w:val="bottom"/>
            <w:gridSpan w:val="5"/>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2</w:t>
            </w:r>
          </w:p>
        </w:tc>
      </w:tr>
      <w:tr>
        <w:trPr>
          <w:trHeight w:val="318"/>
        </w:trPr>
        <w:tc>
          <w:tcPr>
            <w:tcW w:w="60" w:type="dxa"/>
            <w:vAlign w:val="bottom"/>
          </w:tcPr>
          <w:p>
            <w:pPr>
              <w:spacing w:after="0"/>
              <w:rPr>
                <w:sz w:val="24"/>
                <w:szCs w:val="24"/>
                <w:color w:val="auto"/>
              </w:rPr>
            </w:pPr>
          </w:p>
        </w:tc>
        <w:tc>
          <w:tcPr>
            <w:tcW w:w="89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month and six month periods ended June 30, 2017 and 2016</w:t>
              </w:r>
            </w:hyperlink>
          </w:p>
        </w:tc>
        <w:tc>
          <w:tcPr>
            <w:tcW w:w="1760" w:type="dxa"/>
            <w:vAlign w:val="bottom"/>
            <w:gridSpan w:val="3"/>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318"/>
        </w:trPr>
        <w:tc>
          <w:tcPr>
            <w:tcW w:w="60" w:type="dxa"/>
            <w:vAlign w:val="bottom"/>
          </w:tcPr>
          <w:p>
            <w:pPr>
              <w:spacing w:after="0"/>
              <w:rPr>
                <w:sz w:val="24"/>
                <w:szCs w:val="24"/>
                <w:color w:val="auto"/>
              </w:rPr>
            </w:pPr>
          </w:p>
        </w:tc>
        <w:tc>
          <w:tcPr>
            <w:tcW w:w="9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 and six month periods ended June 30, 2017 and 2016</w:t>
              </w:r>
            </w:hyperlink>
          </w:p>
        </w:tc>
        <w:tc>
          <w:tcPr>
            <w:tcW w:w="84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5</w:t>
            </w:r>
          </w:p>
        </w:tc>
      </w:tr>
      <w:tr>
        <w:trPr>
          <w:trHeight w:val="318"/>
        </w:trPr>
        <w:tc>
          <w:tcPr>
            <w:tcW w:w="60" w:type="dxa"/>
            <w:vAlign w:val="bottom"/>
          </w:tcPr>
          <w:p>
            <w:pPr>
              <w:spacing w:after="0"/>
              <w:rPr>
                <w:sz w:val="24"/>
                <w:szCs w:val="24"/>
                <w:color w:val="auto"/>
              </w:rPr>
            </w:pPr>
          </w:p>
        </w:tc>
        <w:tc>
          <w:tcPr>
            <w:tcW w:w="78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six month periods ended June 30, 2017 and 2016</w:t>
              </w:r>
            </w:hyperlink>
          </w:p>
        </w:tc>
        <w:tc>
          <w:tcPr>
            <w:tcW w:w="2920" w:type="dxa"/>
            <w:vAlign w:val="bottom"/>
            <w:gridSpan w:val="4"/>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Changes in Stockholders’ Equity for the six month periods ended June 30, 2017 and 2016</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7</w:t>
            </w:r>
          </w:p>
        </w:tc>
      </w:tr>
      <w:tr>
        <w:trPr>
          <w:trHeight w:val="318"/>
        </w:trPr>
        <w:tc>
          <w:tcPr>
            <w:tcW w:w="60" w:type="dxa"/>
            <w:vAlign w:val="bottom"/>
          </w:tcPr>
          <w:p>
            <w:pPr>
              <w:spacing w:after="0"/>
              <w:rPr>
                <w:sz w:val="24"/>
                <w:szCs w:val="24"/>
                <w:color w:val="auto"/>
              </w:rPr>
            </w:pPr>
          </w:p>
        </w:tc>
        <w:tc>
          <w:tcPr>
            <w:tcW w:w="9340" w:type="dxa"/>
            <w:vAlign w:val="bottom"/>
            <w:tcBorders>
              <w:top w:val="single" w:sz="8" w:color="0000EE"/>
            </w:tcBorders>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1400" w:type="dxa"/>
            <w:vAlign w:val="bottom"/>
            <w:gridSpan w:val="2"/>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0"/>
        </w:trPr>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 AND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955,639</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1,158,785</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756,507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419,668</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29,030</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$25,094 and $16,386 at</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June 30, 2017 and December 31, 2016, respectively):</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Fees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527,470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564,291</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8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73,991</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654,739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638,282</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421,727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459,422</w:t>
            </w:r>
          </w:p>
        </w:tc>
        <w:tc>
          <w:tcPr>
            <w:tcW w:w="120" w:type="dxa"/>
            <w:vAlign w:val="bottom"/>
            <w:shd w:val="clear" w:color="auto" w:fill="CFF0FC"/>
          </w:tcPr>
          <w:p>
            <w:pPr>
              <w:spacing w:after="0"/>
              <w:rPr>
                <w:sz w:val="19"/>
                <w:szCs w:val="19"/>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Property (net of accumulated amortization and depreciation of $307,080 and $286,001</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at June 30, 2017 and December 31, 2016, respectively)</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200,301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209,021</w:t>
            </w:r>
          </w:p>
        </w:tc>
        <w:tc>
          <w:tcPr>
            <w:tcW w:w="120" w:type="dxa"/>
            <w:vAlign w:val="bottom"/>
          </w:tcPr>
          <w:p>
            <w:pPr>
              <w:spacing w:after="0"/>
              <w:rPr>
                <w:sz w:val="20"/>
                <w:szCs w:val="20"/>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 (net of accumulated amortization of $61,771 and</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$60,080 at June 30, 2017 and December 31, 2016, respectively)</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389,216</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382,024</w:t>
            </w: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1,113,528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1,075,777</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184,499</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4,769,762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4,556,508</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 AND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Liabilities: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3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829,993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472,283</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378,279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541,588</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1,189,489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1,188,600</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Tax receivable agreement obligation</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512,834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513,610</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9,168</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10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547,488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537,446</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3,467,049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3,262,695</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A - no shares issued and outstanding</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500"/>
              <w:spacing w:after="0"/>
              <w:rPr>
                <w:sz w:val="20"/>
                <w:szCs w:val="20"/>
                <w:color w:val="auto"/>
              </w:rPr>
            </w:pPr>
            <w:r>
              <w:rPr>
                <w:rFonts w:ascii="Arial" w:cs="Arial" w:eastAsia="Arial" w:hAnsi="Arial"/>
                <w:sz w:val="18"/>
                <w:szCs w:val="18"/>
                <w:color w:val="auto"/>
              </w:rPr>
              <w:t>Series B - no shares issued and outstanding</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860" w:type="dxa"/>
            <w:vAlign w:val="bottom"/>
          </w:tcPr>
          <w:p>
            <w:pPr>
              <w:ind w:left="500"/>
              <w:spacing w:after="0"/>
              <w:rPr>
                <w:sz w:val="20"/>
                <w:szCs w:val="20"/>
                <w:color w:val="auto"/>
              </w:rPr>
            </w:pPr>
            <w:r>
              <w:rPr>
                <w:rFonts w:ascii="Arial" w:cs="Arial" w:eastAsia="Arial" w:hAnsi="Arial"/>
                <w:sz w:val="18"/>
                <w:szCs w:val="18"/>
                <w:color w:val="auto"/>
              </w:rPr>
              <w:t>Class A, par value $.01 per share (500,000,000 shares authorized;</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tcPr>
          <w:p>
            <w:pPr>
              <w:ind w:left="640"/>
              <w:spacing w:after="0"/>
              <w:rPr>
                <w:sz w:val="20"/>
                <w:szCs w:val="20"/>
                <w:color w:val="auto"/>
              </w:rPr>
            </w:pPr>
            <w:r>
              <w:rPr>
                <w:rFonts w:ascii="Arial" w:cs="Arial" w:eastAsia="Arial" w:hAnsi="Arial"/>
                <w:sz w:val="18"/>
                <w:szCs w:val="18"/>
                <w:color w:val="auto"/>
              </w:rPr>
              <w:t>129,766,091 shares issued at June 30, 2017 and December 31, 2016,</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860" w:type="dxa"/>
            <w:vAlign w:val="bottom"/>
          </w:tcPr>
          <w:p>
            <w:pPr>
              <w:ind w:left="640"/>
              <w:spacing w:after="0"/>
              <w:rPr>
                <w:sz w:val="20"/>
                <w:szCs w:val="20"/>
                <w:color w:val="auto"/>
              </w:rPr>
            </w:pPr>
            <w:r>
              <w:rPr>
                <w:rFonts w:ascii="Arial" w:cs="Arial" w:eastAsia="Arial" w:hAnsi="Arial"/>
                <w:sz w:val="18"/>
                <w:szCs w:val="18"/>
                <w:color w:val="auto"/>
              </w:rPr>
              <w:t>including shares held by subsidiaries as indicated below)</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0"/>
                <w:szCs w:val="20"/>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paid-in-capital</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673,242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688,231</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1,166,026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1,134,186</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(277,785)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(314,222)</w:t>
            </w:r>
          </w:p>
        </w:tc>
      </w:tr>
      <w:tr>
        <w:trPr>
          <w:trHeight w:val="223"/>
        </w:trPr>
        <w:tc>
          <w:tcPr>
            <w:tcW w:w="6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1,562,781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1,509,493</w:t>
            </w:r>
          </w:p>
        </w:tc>
        <w:tc>
          <w:tcPr>
            <w:tcW w:w="120" w:type="dxa"/>
            <w:vAlign w:val="bottom"/>
          </w:tcPr>
          <w:p>
            <w:pPr>
              <w:spacing w:after="0"/>
              <w:rPr>
                <w:sz w:val="19"/>
                <w:szCs w:val="19"/>
                <w:color w:val="auto"/>
              </w:rPr>
            </w:pPr>
          </w:p>
        </w:tc>
      </w:tr>
      <w:tr>
        <w:trPr>
          <w:trHeight w:val="215"/>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held by subsidiaries, at cost (8,160,804 and 7,628,786</w:t>
            </w: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at June 30, 2017 and December 31, 2016, respectively)</w:t>
            </w:r>
          </w:p>
        </w:tc>
        <w:tc>
          <w:tcPr>
            <w:tcW w:w="10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(319,755)</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(273,506)</w:t>
            </w:r>
          </w:p>
        </w:tc>
      </w:tr>
      <w:tr>
        <w:trPr>
          <w:trHeight w:val="223"/>
        </w:trPr>
        <w:tc>
          <w:tcPr>
            <w:tcW w:w="6860" w:type="dxa"/>
            <w:vAlign w:val="bottom"/>
          </w:tcPr>
          <w:p>
            <w:pPr>
              <w:ind w:left="500"/>
              <w:spacing w:after="0"/>
              <w:rPr>
                <w:sz w:val="20"/>
                <w:szCs w:val="20"/>
                <w:color w:val="auto"/>
              </w:rPr>
            </w:pPr>
            <w:r>
              <w:rPr>
                <w:rFonts w:ascii="Arial" w:cs="Arial" w:eastAsia="Arial" w:hAnsi="Arial"/>
                <w:sz w:val="18"/>
                <w:szCs w:val="18"/>
                <w:color w:val="auto"/>
              </w:rPr>
              <w:t>Total Lazard Ltd Stockholders’ Equity</w:t>
            </w:r>
          </w:p>
        </w:tc>
        <w:tc>
          <w:tcPr>
            <w:tcW w:w="10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1,243,026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1,235,987</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10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57,826</w:t>
            </w:r>
          </w:p>
        </w:tc>
        <w:tc>
          <w:tcPr>
            <w:tcW w:w="120" w:type="dxa"/>
            <w:vAlign w:val="bottom"/>
            <w:shd w:val="clear" w:color="auto" w:fill="CFF0FC"/>
          </w:tcPr>
          <w:p>
            <w:pPr>
              <w:spacing w:after="0"/>
              <w:rPr>
                <w:sz w:val="19"/>
                <w:szCs w:val="19"/>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0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1,302,713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1,293,813</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0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4,769,762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4,556,508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540" w:type="dxa"/>
            <w:vAlign w:val="bottom"/>
            <w:gridSpan w:val="5"/>
          </w:tcPr>
          <w:p>
            <w:pPr>
              <w:ind w:lef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7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410,275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286,609</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745,191</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551,752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293,879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241,397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566,803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24,183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17,468</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52,109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729,946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546,642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1,367,366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1,056,758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11,962</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26,722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717,180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534,680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1,340,644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1,032,898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414,612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308,310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776,413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58,312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23,877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43,779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32,032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11,245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34,251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10,328</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21,608</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544,679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421,444</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1,017,946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113,236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322,698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31,872</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91,367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120,901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81,364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00" w:type="dxa"/>
            <w:vAlign w:val="bottom"/>
          </w:tcPr>
          <w:p>
            <w:pPr>
              <w:spacing w:after="0"/>
              <w:rPr>
                <w:sz w:val="20"/>
                <w:szCs w:val="20"/>
                <w:color w:val="auto"/>
              </w:rPr>
            </w:pPr>
            <w:r>
              <w:rPr>
                <w:rFonts w:ascii="Arial" w:cs="Arial" w:eastAsia="Arial" w:hAnsi="Arial"/>
                <w:sz w:val="18"/>
                <w:szCs w:val="18"/>
                <w:b w:val="1"/>
                <w:bCs w:val="1"/>
                <w:color w:val="auto"/>
              </w:rPr>
              <w:t>LESS - NET INCOME ATTRIBUTABLE TO</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5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2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5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120,378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80,357</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227,931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ATTRIBUTABLE TO LAZARD LTD CLASS A</w:t>
            </w: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280"/>
              <w:spacing w:after="0"/>
              <w:rPr>
                <w:sz w:val="20"/>
                <w:szCs w:val="20"/>
                <w:color w:val="auto"/>
              </w:rPr>
            </w:pPr>
            <w:r>
              <w:rPr>
                <w:rFonts w:ascii="Arial" w:cs="Arial" w:eastAsia="Arial" w:hAnsi="Arial"/>
                <w:sz w:val="18"/>
                <w:szCs w:val="18"/>
                <w:b w:val="1"/>
                <w:bCs w:val="1"/>
                <w:color w:val="auto"/>
              </w:rPr>
              <w:t>COMMON STOCKHOLDERS: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WEIGHTED AVERAGE SHARES OF COMMON STOCK</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OUTSTANDING:</w:t>
            </w: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122,368,150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125,461,948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122,591,656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125,751,195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132,139,616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132,341,522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132,414,496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132,616,403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b w:val="1"/>
                <w:bCs w:val="1"/>
                <w:color w:val="auto"/>
              </w:rPr>
              <w:t>NET INCOME PER SHARE OF COMMON STOCK:</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7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ind w:left="500"/>
              <w:spacing w:after="0"/>
              <w:rPr>
                <w:sz w:val="20"/>
                <w:szCs w:val="20"/>
                <w:color w:val="auto"/>
              </w:rPr>
            </w:pPr>
            <w:r>
              <w:rPr>
                <w:rFonts w:ascii="Arial" w:cs="Arial" w:eastAsia="Arial" w:hAnsi="Arial"/>
                <w:sz w:val="18"/>
                <w:szCs w:val="18"/>
                <w:color w:val="auto"/>
              </w:rPr>
              <w:t>Diluted</w:t>
            </w: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FF0FC"/>
            </w:tcBorders>
            <w:vMerge w:val="continue"/>
          </w:tcPr>
          <w:p>
            <w:pPr>
              <w:spacing w:after="0"/>
              <w:rPr>
                <w:sz w:val="21"/>
                <w:szCs w:val="21"/>
                <w:color w:val="auto"/>
              </w:rPr>
            </w:pPr>
          </w:p>
        </w:tc>
        <w:tc>
          <w:tcPr>
            <w:tcW w:w="5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400" w:type="dxa"/>
            <w:vAlign w:val="bottom"/>
            <w:shd w:val="clear" w:color="auto" w:fill="CFF0FC"/>
          </w:tcPr>
          <w:p>
            <w:pPr>
              <w:ind w:left="260"/>
              <w:spacing w:after="0" w:line="192" w:lineRule="exact"/>
              <w:rPr>
                <w:sz w:val="20"/>
                <w:szCs w:val="20"/>
                <w:color w:val="auto"/>
              </w:rPr>
            </w:pPr>
            <w:r>
              <w:rPr>
                <w:rFonts w:ascii="Arial" w:cs="Arial" w:eastAsia="Arial" w:hAnsi="Arial"/>
                <w:sz w:val="18"/>
                <w:szCs w:val="18"/>
                <w:b w:val="1"/>
                <w:bCs w:val="1"/>
                <w:color w:val="auto"/>
              </w:rPr>
              <w:t>DIVIDENDS DECLARED PER SHARE OF</w:t>
            </w:r>
          </w:p>
        </w:tc>
        <w:tc>
          <w:tcPr>
            <w:tcW w:w="5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COMMON STOCK</w:t>
            </w:r>
          </w:p>
        </w:tc>
        <w:tc>
          <w:tcPr>
            <w:tcW w:w="7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120,901</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81,364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231,331</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152,087</w:t>
            </w:r>
          </w:p>
        </w:tc>
        <w:tc>
          <w:tcPr>
            <w:tcW w:w="100" w:type="dxa"/>
            <w:vAlign w:val="bottom"/>
            <w:shd w:val="clear" w:color="auto" w:fill="CFF0FC"/>
          </w:tcPr>
          <w:p>
            <w:pPr>
              <w:spacing w:after="0"/>
              <w:rPr>
                <w:sz w:val="19"/>
                <w:szCs w:val="19"/>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5500" w:type="dxa"/>
            <w:vAlign w:val="bottom"/>
            <w:shd w:val="clear" w:color="auto" w:fill="CFF0FC"/>
          </w:tcPr>
          <w:p>
            <w:pPr>
              <w:jc w:val="center"/>
              <w:ind w:right="610"/>
              <w:spacing w:after="0"/>
              <w:rPr>
                <w:sz w:val="20"/>
                <w:szCs w:val="20"/>
                <w:color w:val="auto"/>
              </w:rPr>
            </w:pPr>
            <w:r>
              <w:rPr>
                <w:rFonts w:ascii="Arial" w:cs="Arial" w:eastAsia="Arial" w:hAnsi="Arial"/>
                <w:sz w:val="18"/>
                <w:szCs w:val="18"/>
                <w:color w:val="auto"/>
                <w:w w:val="91"/>
              </w:rPr>
              <w:t>Currency translation adjustments (including a tax benefit of</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$1,723 for the three months ended June 30, 2016 and</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$2,869 for the six months ended June 30, 2016)</w:t>
            </w: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26,167</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(16,104)</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43,099</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(4,365)</w:t>
            </w: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500" w:type="dxa"/>
            <w:vAlign w:val="bottom"/>
            <w:shd w:val="clear" w:color="auto" w:fill="CFF0FC"/>
          </w:tcPr>
          <w:p>
            <w:pPr>
              <w:jc w:val="center"/>
              <w:ind w:right="650"/>
              <w:spacing w:after="0"/>
              <w:rPr>
                <w:sz w:val="20"/>
                <w:szCs w:val="20"/>
                <w:color w:val="auto"/>
              </w:rPr>
            </w:pPr>
            <w:r>
              <w:rPr>
                <w:rFonts w:ascii="Arial" w:cs="Arial" w:eastAsia="Arial" w:hAnsi="Arial"/>
                <w:sz w:val="18"/>
                <w:szCs w:val="18"/>
                <w:color w:val="auto"/>
                <w:w w:val="91"/>
              </w:rPr>
              <w:t>Actuarial loss (net of tax benefit of $2,215 and $228</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 the three months ended June 30, 2017 and 2016,</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 and $2,476 and $298 for the six months</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ended June 30, 2017 and 2016, respectively)</w:t>
            </w: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(8,609)</w:t>
            </w:r>
          </w:p>
        </w:tc>
        <w:tc>
          <w:tcPr>
            <w:tcW w:w="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(9,104)</w:t>
            </w: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(616)</w:t>
            </w:r>
          </w:p>
        </w:tc>
      </w:tr>
      <w:tr>
        <w:trPr>
          <w:trHeight w:val="215"/>
        </w:trPr>
        <w:tc>
          <w:tcPr>
            <w:tcW w:w="5500" w:type="dxa"/>
            <w:vAlign w:val="bottom"/>
          </w:tcPr>
          <w:p>
            <w:pPr>
              <w:jc w:val="center"/>
              <w:ind w:right="650"/>
              <w:spacing w:after="0"/>
              <w:rPr>
                <w:sz w:val="20"/>
                <w:szCs w:val="20"/>
                <w:color w:val="auto"/>
              </w:rPr>
            </w:pPr>
            <w:r>
              <w:rPr>
                <w:rFonts w:ascii="Arial" w:cs="Arial" w:eastAsia="Arial" w:hAnsi="Arial"/>
                <w:sz w:val="18"/>
                <w:szCs w:val="18"/>
                <w:color w:val="auto"/>
                <w:w w:val="91"/>
              </w:rPr>
              <w:t>Adjustment for items reclassified to earnings (net of</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tax expense of $196 and $403 for the three months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ended June 30, 2017 and 2016, respectively, and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$472 and $796 for the six months ended June 30,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0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2017 and 2016, respectively)</w:t>
            </w:r>
          </w:p>
        </w:tc>
        <w:tc>
          <w:tcPr>
            <w:tcW w:w="5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2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FF0FC"/>
            </w:tcBorders>
          </w:tcPr>
          <w:p>
            <w:pPr>
              <w:spacing w:after="0"/>
              <w:rPr>
                <w:sz w:val="20"/>
                <w:szCs w:val="20"/>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(15,458)</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36,437</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10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139,815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65,906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267,768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149,413</w:t>
            </w:r>
          </w:p>
        </w:tc>
        <w:tc>
          <w:tcPr>
            <w:tcW w:w="100" w:type="dxa"/>
            <w:vAlign w:val="bottom"/>
          </w:tcPr>
          <w:p>
            <w:pPr>
              <w:spacing w:after="0"/>
              <w:rPr>
                <w:sz w:val="19"/>
                <w:szCs w:val="19"/>
                <w:color w:val="auto"/>
              </w:rPr>
            </w:pPr>
          </w:p>
        </w:tc>
      </w:tr>
      <w:tr>
        <w:trPr>
          <w:trHeight w:val="211"/>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5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2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4,907</w:t>
            </w:r>
          </w:p>
        </w:tc>
        <w:tc>
          <w:tcPr>
            <w:tcW w:w="100" w:type="dxa"/>
            <w:vAlign w:val="bottom"/>
            <w:shd w:val="clear" w:color="auto" w:fill="CFF0FC"/>
          </w:tcPr>
          <w:p>
            <w:pPr>
              <w:spacing w:after="0"/>
              <w:rPr>
                <w:sz w:val="20"/>
                <w:szCs w:val="20"/>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LAZARD LTD</w:t>
            </w:r>
          </w:p>
        </w:tc>
        <w:tc>
          <w:tcPr>
            <w:tcW w:w="8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139,292</w:t>
            </w:r>
          </w:p>
        </w:tc>
        <w:tc>
          <w:tcPr>
            <w:tcW w:w="240" w:type="dxa"/>
            <w:vAlign w:val="bottom"/>
          </w:tcPr>
          <w:p>
            <w:pPr>
              <w:spacing w:after="0"/>
              <w:rPr>
                <w:sz w:val="20"/>
                <w:szCs w:val="20"/>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64,899</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264,368</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144,506</w:t>
            </w:r>
          </w:p>
        </w:tc>
        <w:tc>
          <w:tcPr>
            <w:tcW w:w="10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Net income</w:t>
            </w: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231,331</w:t>
            </w:r>
          </w:p>
        </w:tc>
        <w:tc>
          <w:tcPr>
            <w:tcW w:w="160" w:type="dxa"/>
            <w:vAlign w:val="bottom"/>
          </w:tcPr>
          <w:p>
            <w:pPr>
              <w:spacing w:after="0"/>
              <w:rPr>
                <w:sz w:val="18"/>
                <w:szCs w:val="18"/>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152,087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expenses and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209,127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199,217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Amortization and other acquisition-related costs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 provision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(Increase) decrease in operating assets: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Deposits with banks and short-term investments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(286,538)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(271,010)</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(4,592)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Receivables-net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Investments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30,454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(88,178)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(52,586)</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Increase (decrease) in operating liabilities: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Deposits and other payables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305,645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Accrued compensation and benefits and other liabilities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(181,227)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(312,862)</w:t>
            </w:r>
          </w:p>
        </w:tc>
        <w:tc>
          <w:tcPr>
            <w:tcW w:w="0" w:type="dxa"/>
            <w:vAlign w:val="bottom"/>
          </w:tcPr>
          <w:p>
            <w:pPr>
              <w:spacing w:after="0"/>
              <w:rPr>
                <w:sz w:val="1"/>
                <w:szCs w:val="1"/>
                <w:color w:val="auto"/>
              </w:rPr>
            </w:pPr>
          </w:p>
        </w:tc>
      </w:tr>
      <w:tr>
        <w:trPr>
          <w:trHeight w:val="213"/>
        </w:trPr>
        <w:tc>
          <w:tcPr>
            <w:tcW w:w="66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1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278,387</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18,271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Additions to property</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(9,408)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(11,118)</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Disposals of property</w:t>
            </w:r>
          </w:p>
        </w:tc>
        <w:tc>
          <w:tcPr>
            <w:tcW w:w="1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used in investing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(9,215)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(10,959)</w:t>
            </w:r>
          </w:p>
        </w:tc>
        <w:tc>
          <w:tcPr>
            <w:tcW w:w="0" w:type="dxa"/>
            <w:vAlign w:val="bottom"/>
          </w:tcPr>
          <w:p>
            <w:pPr>
              <w:spacing w:after="0"/>
              <w:rPr>
                <w:sz w:val="1"/>
                <w:szCs w:val="1"/>
                <w:color w:val="auto"/>
              </w:rPr>
            </w:pPr>
          </w:p>
        </w:tc>
      </w:tr>
      <w:tr>
        <w:trPr>
          <w:trHeight w:val="207"/>
        </w:trPr>
        <w:tc>
          <w:tcPr>
            <w:tcW w:w="66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Contributions from noncontrolling interests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Excess tax benefits from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for:</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Capital lease obligations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(7,320)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Distributions to noncontrolling interests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(1,743)</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Payments under tax receivable agreement</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(10,086)</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 of Class A common stock</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(184,892)</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(194,729)</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Class A common stock dividends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(242,427)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(242,085)</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Settlement of vested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(66,085)</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(54,164)</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(8,970)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(2,327)</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used in financing activities</w:t>
            </w:r>
          </w:p>
        </w:tc>
        <w:tc>
          <w:tcPr>
            <w:tcW w:w="1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(512,213)</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(494,497)</w:t>
            </w:r>
          </w:p>
        </w:tc>
        <w:tc>
          <w:tcPr>
            <w:tcW w:w="0" w:type="dxa"/>
            <w:vAlign w:val="bottom"/>
          </w:tcPr>
          <w:p>
            <w:pPr>
              <w:spacing w:after="0"/>
              <w:rPr>
                <w:sz w:val="1"/>
                <w:szCs w:val="1"/>
                <w:color w:val="auto"/>
              </w:rPr>
            </w:pPr>
          </w:p>
        </w:tc>
      </w:tr>
      <w:tr>
        <w:trPr>
          <w:trHeight w:val="207"/>
        </w:trPr>
        <w:tc>
          <w:tcPr>
            <w:tcW w:w="66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EFFECT OF EXCHANGE RATE CHANGES ON CASH</w:t>
            </w:r>
          </w:p>
        </w:tc>
        <w:tc>
          <w:tcPr>
            <w:tcW w:w="122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39,895</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DECREASE IN CASH AND CASH EQUIVALENTS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(203,146)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(485,629)</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CASH AND CASH EQUIVALENTS—January 1</w:t>
            </w:r>
          </w:p>
        </w:tc>
        <w:tc>
          <w:tcPr>
            <w:tcW w:w="1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1,158,785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1,132,083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EQUIVALENTS—June 30</w:t>
            </w: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955,639</w:t>
            </w:r>
          </w:p>
        </w:tc>
        <w:tc>
          <w:tcPr>
            <w:tcW w:w="1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646,454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512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17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Class A</w:t>
            </w: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Total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130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Series A</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Additional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Comprehensive</w:t>
            </w: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Common Stock</w:t>
            </w: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Lazard Ltd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49"/>
        </w:trPr>
        <w:tc>
          <w:tcPr>
            <w:tcW w:w="130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1300" w:type="dxa"/>
            <w:vAlign w:val="bottom"/>
          </w:tcPr>
          <w:p>
            <w:pPr>
              <w:spacing w:after="0"/>
              <w:rPr>
                <w:sz w:val="14"/>
                <w:szCs w:val="14"/>
                <w:color w:val="auto"/>
              </w:rPr>
            </w:pPr>
          </w:p>
        </w:tc>
        <w:tc>
          <w:tcPr>
            <w:tcW w:w="58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ind w:left="3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Paid-In-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Retained</w:t>
            </w:r>
          </w:p>
        </w:tc>
        <w:tc>
          <w:tcPr>
            <w:tcW w:w="4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Income (Loss),</w:t>
            </w: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Held By Subsidiaries</w:t>
            </w: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Stockholders’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Stockholders’</w:t>
            </w:r>
          </w:p>
        </w:tc>
      </w:tr>
      <w:tr>
        <w:trPr>
          <w:trHeight w:val="156"/>
        </w:trPr>
        <w:tc>
          <w:tcPr>
            <w:tcW w:w="1300" w:type="dxa"/>
            <w:vAlign w:val="bottom"/>
          </w:tcPr>
          <w:p>
            <w:pPr>
              <w:spacing w:after="0"/>
              <w:rPr>
                <w:sz w:val="13"/>
                <w:szCs w:val="13"/>
                <w:color w:val="auto"/>
              </w:rPr>
            </w:pPr>
          </w:p>
        </w:tc>
        <w:tc>
          <w:tcPr>
            <w:tcW w:w="58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9"/>
              </w:rPr>
              <w:t>Capital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86"/>
              </w:rPr>
              <w:t>Earnings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8"/>
              </w:rPr>
              <w:t>Net of Tax</w:t>
            </w:r>
          </w:p>
        </w:tc>
        <w:tc>
          <w:tcPr>
            <w:tcW w:w="92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90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1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w:t>
            </w:r>
          </w:p>
        </w:tc>
        <w:tc>
          <w:tcPr>
            <w:tcW w:w="4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16"/>
        </w:trPr>
        <w:tc>
          <w:tcPr>
            <w:tcW w:w="1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January 1, 2016</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7,921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89"/>
              </w:rPr>
              <w:t>$ 1,298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600,034</w:t>
            </w:r>
          </w:p>
        </w:tc>
        <w:tc>
          <w:tcPr>
            <w:tcW w:w="10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1,123,728</w:t>
            </w:r>
          </w:p>
        </w:tc>
        <w:tc>
          <w:tcPr>
            <w:tcW w:w="1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(234,356)</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4,253,381</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w w:val="90"/>
              </w:rPr>
              <w:t>$ (177,249)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1,313,455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53,851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1,367,306</w:t>
            </w:r>
          </w:p>
        </w:tc>
        <w:tc>
          <w:tcPr>
            <w:tcW w:w="80" w:type="dxa"/>
            <w:vAlign w:val="bottom"/>
            <w:shd w:val="clear" w:color="auto" w:fill="CFF0FC"/>
          </w:tcPr>
          <w:p>
            <w:pPr>
              <w:spacing w:after="0"/>
              <w:rPr>
                <w:sz w:val="18"/>
                <w:szCs w:val="18"/>
                <w:color w:val="auto"/>
              </w:rPr>
            </w:pPr>
          </w:p>
        </w:tc>
      </w:tr>
      <w:tr>
        <w:trPr>
          <w:trHeight w:val="206"/>
        </w:trPr>
        <w:tc>
          <w:tcPr>
            <w:tcW w:w="1300" w:type="dxa"/>
            <w:vAlign w:val="bottom"/>
          </w:tcPr>
          <w:p>
            <w:pPr>
              <w:spacing w:after="0"/>
              <w:rPr>
                <w:sz w:val="20"/>
                <w:szCs w:val="20"/>
                <w:color w:val="auto"/>
              </w:rPr>
            </w:pPr>
            <w:r>
              <w:rPr>
                <w:rFonts w:ascii="Arial" w:cs="Arial" w:eastAsia="Arial" w:hAnsi="Arial"/>
                <w:sz w:val="16"/>
                <w:szCs w:val="16"/>
                <w:color w:val="auto"/>
              </w:rPr>
              <w:t>Comprehensive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00" w:type="dxa"/>
            <w:vAlign w:val="bottom"/>
          </w:tcPr>
          <w:p>
            <w:pPr>
              <w:spacing w:after="0"/>
              <w:rPr>
                <w:sz w:val="20"/>
                <w:szCs w:val="20"/>
                <w:color w:val="auto"/>
              </w:rPr>
            </w:pPr>
            <w:r>
              <w:rPr>
                <w:rFonts w:ascii="Arial" w:cs="Arial" w:eastAsia="Arial" w:hAnsi="Arial"/>
                <w:sz w:val="16"/>
                <w:szCs w:val="16"/>
                <w:color w:val="auto"/>
              </w:rPr>
              <w:t>income (loss):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3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147,180</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147,180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152,087</w:t>
            </w:r>
          </w:p>
        </w:tc>
        <w:tc>
          <w:tcPr>
            <w:tcW w:w="80" w:type="dxa"/>
            <w:vAlign w:val="bottom"/>
            <w:shd w:val="clear" w:color="auto" w:fill="CFF0FC"/>
          </w:tcPr>
          <w:p>
            <w:pPr>
              <w:spacing w:after="0"/>
              <w:rPr>
                <w:sz w:val="19"/>
                <w:szCs w:val="19"/>
                <w:color w:val="auto"/>
              </w:rPr>
            </w:pPr>
          </w:p>
        </w:tc>
      </w:tr>
      <w:tr>
        <w:trPr>
          <w:trHeight w:val="206"/>
        </w:trPr>
        <w:tc>
          <w:tcPr>
            <w:tcW w:w="1300" w:type="dxa"/>
            <w:vAlign w:val="bottom"/>
          </w:tcPr>
          <w:p>
            <w:pPr>
              <w:ind w:left="140"/>
              <w:spacing w:after="0"/>
              <w:rPr>
                <w:sz w:val="20"/>
                <w:szCs w:val="20"/>
                <w:color w:val="auto"/>
              </w:rPr>
            </w:pPr>
            <w:r>
              <w:rPr>
                <w:rFonts w:ascii="Arial" w:cs="Arial" w:eastAsia="Arial" w:hAnsi="Arial"/>
                <w:sz w:val="16"/>
                <w:szCs w:val="16"/>
                <w:color w:val="auto"/>
              </w:rPr>
              <w:t>Other</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00" w:type="dxa"/>
            <w:vAlign w:val="bottom"/>
          </w:tcPr>
          <w:p>
            <w:pPr>
              <w:ind w:left="140"/>
              <w:spacing w:after="0"/>
              <w:rPr>
                <w:sz w:val="20"/>
                <w:szCs w:val="20"/>
                <w:color w:val="auto"/>
              </w:rPr>
            </w:pPr>
            <w:r>
              <w:rPr>
                <w:rFonts w:ascii="Arial" w:cs="Arial" w:eastAsia="Arial" w:hAnsi="Arial"/>
                <w:sz w:val="16"/>
                <w:szCs w:val="16"/>
                <w:color w:val="auto"/>
              </w:rPr>
              <w:t>comprehensive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00" w:type="dxa"/>
            <w:vAlign w:val="bottom"/>
          </w:tcPr>
          <w:p>
            <w:pPr>
              <w:ind w:left="140"/>
              <w:spacing w:after="0"/>
              <w:rPr>
                <w:sz w:val="20"/>
                <w:szCs w:val="20"/>
                <w:color w:val="auto"/>
              </w:rPr>
            </w:pPr>
            <w:r>
              <w:rPr>
                <w:rFonts w:ascii="Arial" w:cs="Arial" w:eastAsia="Arial" w:hAnsi="Arial"/>
                <w:sz w:val="16"/>
                <w:szCs w:val="16"/>
                <w:color w:val="auto"/>
              </w:rPr>
              <w:t>loss - net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00" w:type="dxa"/>
            <w:vAlign w:val="bottom"/>
          </w:tcPr>
          <w:p>
            <w:pPr>
              <w:ind w:left="260"/>
              <w:spacing w:after="0"/>
              <w:rPr>
                <w:sz w:val="20"/>
                <w:szCs w:val="20"/>
                <w:color w:val="auto"/>
              </w:rPr>
            </w:pPr>
            <w:r>
              <w:rPr>
                <w:rFonts w:ascii="Arial" w:cs="Arial" w:eastAsia="Arial" w:hAnsi="Arial"/>
                <w:sz w:val="16"/>
                <w:szCs w:val="16"/>
                <w:color w:val="auto"/>
              </w:rPr>
              <w:t>of tax</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(2,674)</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(2,674)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(2,674)</w:t>
            </w:r>
          </w:p>
        </w:tc>
      </w:tr>
      <w:tr>
        <w:trPr>
          <w:trHeight w:val="209"/>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share-based</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2"/>
        </w:trPr>
        <w:tc>
          <w:tcPr>
            <w:tcW w:w="1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155,325</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155,325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155,325</w:t>
            </w:r>
          </w:p>
        </w:tc>
        <w:tc>
          <w:tcPr>
            <w:tcW w:w="80" w:type="dxa"/>
            <w:vAlign w:val="bottom"/>
            <w:shd w:val="clear" w:color="auto" w:fill="CFF0FC"/>
          </w:tcPr>
          <w:p>
            <w:pPr>
              <w:spacing w:after="0"/>
              <w:rPr>
                <w:sz w:val="18"/>
                <w:szCs w:val="18"/>
                <w:color w:val="auto"/>
              </w:rPr>
            </w:pPr>
          </w:p>
        </w:tc>
      </w:tr>
      <w:tr>
        <w:trPr>
          <w:trHeight w:val="206"/>
        </w:trPr>
        <w:tc>
          <w:tcPr>
            <w:tcW w:w="1300" w:type="dxa"/>
            <w:vAlign w:val="bottom"/>
          </w:tcPr>
          <w:p>
            <w:pPr>
              <w:spacing w:after="0"/>
              <w:rPr>
                <w:sz w:val="20"/>
                <w:szCs w:val="20"/>
                <w:color w:val="auto"/>
              </w:rPr>
            </w:pPr>
            <w:r>
              <w:rPr>
                <w:rFonts w:ascii="Arial" w:cs="Arial" w:eastAsia="Arial" w:hAnsi="Arial"/>
                <w:sz w:val="16"/>
                <w:szCs w:val="16"/>
                <w:color w:val="auto"/>
              </w:rPr>
              <w:t>Dividend-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00" w:type="dxa"/>
            <w:vAlign w:val="bottom"/>
          </w:tcPr>
          <w:p>
            <w:pPr>
              <w:spacing w:after="0"/>
              <w:rPr>
                <w:sz w:val="20"/>
                <w:szCs w:val="20"/>
                <w:color w:val="auto"/>
              </w:rPr>
            </w:pPr>
            <w:r>
              <w:rPr>
                <w:rFonts w:ascii="Arial" w:cs="Arial" w:eastAsia="Arial" w:hAnsi="Arial"/>
                <w:sz w:val="16"/>
                <w:szCs w:val="16"/>
                <w:color w:val="auto"/>
              </w:rPr>
              <w:t>equivalents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28,364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(30,691)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(2,327)</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(2,327)</w:t>
            </w:r>
          </w:p>
        </w:tc>
      </w:tr>
      <w:tr>
        <w:trPr>
          <w:trHeight w:val="209"/>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Class A common</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2"/>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stock dividends</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(242,085)</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(242,085)</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(242,085)</w:t>
            </w:r>
          </w:p>
        </w:tc>
      </w:tr>
      <w:tr>
        <w:trPr>
          <w:trHeight w:val="206"/>
        </w:trPr>
        <w:tc>
          <w:tcPr>
            <w:tcW w:w="1300" w:type="dxa"/>
            <w:vAlign w:val="bottom"/>
          </w:tcPr>
          <w:p>
            <w:pPr>
              <w:spacing w:after="0"/>
              <w:rPr>
                <w:sz w:val="20"/>
                <w:szCs w:val="20"/>
                <w:color w:val="auto"/>
              </w:rPr>
            </w:pPr>
            <w:r>
              <w:rPr>
                <w:rFonts w:ascii="Arial" w:cs="Arial" w:eastAsia="Arial" w:hAnsi="Arial"/>
                <w:sz w:val="16"/>
                <w:szCs w:val="16"/>
                <w:color w:val="auto"/>
                <w:w w:val="98"/>
              </w:rPr>
              <w:t>Purchase of Class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00" w:type="dxa"/>
            <w:vAlign w:val="bottom"/>
          </w:tcPr>
          <w:p>
            <w:pPr>
              <w:spacing w:after="0"/>
              <w:rPr>
                <w:sz w:val="20"/>
                <w:szCs w:val="20"/>
                <w:color w:val="auto"/>
              </w:rPr>
            </w:pPr>
            <w:r>
              <w:rPr>
                <w:rFonts w:ascii="Arial" w:cs="Arial" w:eastAsia="Arial" w:hAnsi="Arial"/>
                <w:sz w:val="16"/>
                <w:szCs w:val="16"/>
                <w:color w:val="auto"/>
              </w:rPr>
              <w:t>A common stock</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5,646,092</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(194,729)</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(194,729)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(194,729)</w:t>
            </w:r>
          </w:p>
        </w:tc>
      </w:tr>
      <w:tr>
        <w:trPr>
          <w:trHeight w:val="209"/>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Delivery of Class</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A common stock</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in</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share-based</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and related tax</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benefit</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2"/>
        </w:trPr>
        <w:tc>
          <w:tcPr>
            <w:tcW w:w="1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$7,090</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3"/>
              </w:rPr>
              <w:t>(203,406)</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(3,889,417)</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156,332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(47,074)</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(47,074)</w:t>
            </w:r>
          </w:p>
        </w:tc>
      </w:tr>
      <w:tr>
        <w:trPr>
          <w:trHeight w:val="206"/>
        </w:trPr>
        <w:tc>
          <w:tcPr>
            <w:tcW w:w="1300" w:type="dxa"/>
            <w:vAlign w:val="bottom"/>
          </w:tcPr>
          <w:p>
            <w:pPr>
              <w:spacing w:after="0"/>
              <w:rPr>
                <w:sz w:val="20"/>
                <w:szCs w:val="20"/>
                <w:color w:val="auto"/>
              </w:rPr>
            </w:pPr>
            <w:r>
              <w:rPr>
                <w:rFonts w:ascii="Arial" w:cs="Arial" w:eastAsia="Arial" w:hAnsi="Arial"/>
                <w:sz w:val="16"/>
                <w:szCs w:val="16"/>
                <w:color w:val="auto"/>
              </w:rPr>
              <w:t>Business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00" w:type="dxa"/>
            <w:vAlign w:val="bottom"/>
          </w:tcPr>
          <w:p>
            <w:pPr>
              <w:spacing w:after="0"/>
              <w:rPr>
                <w:sz w:val="20"/>
                <w:szCs w:val="20"/>
                <w:color w:val="auto"/>
              </w:rPr>
            </w:pPr>
            <w:r>
              <w:rPr>
                <w:rFonts w:ascii="Arial" w:cs="Arial" w:eastAsia="Arial" w:hAnsi="Arial"/>
                <w:sz w:val="16"/>
                <w:szCs w:val="16"/>
                <w:color w:val="auto"/>
              </w:rPr>
              <w:t>acquisitions and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00" w:type="dxa"/>
            <w:vAlign w:val="bottom"/>
          </w:tcPr>
          <w:p>
            <w:pPr>
              <w:spacing w:after="0"/>
              <w:rPr>
                <w:sz w:val="20"/>
                <w:szCs w:val="20"/>
                <w:color w:val="auto"/>
              </w:rPr>
            </w:pPr>
            <w:r>
              <w:rPr>
                <w:rFonts w:ascii="Arial" w:cs="Arial" w:eastAsia="Arial" w:hAnsi="Arial"/>
                <w:sz w:val="16"/>
                <w:szCs w:val="16"/>
                <w:color w:val="auto"/>
              </w:rPr>
              <w:t>related equity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0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Delivery of</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1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8"/>
              </w:rPr>
              <w:t>common stock</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and related</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 benefit of</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2"/>
        </w:trPr>
        <w:tc>
          <w:tcPr>
            <w:tcW w:w="1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$11,126</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(19,167)</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(799,437)</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11,126</w:t>
            </w:r>
          </w:p>
        </w:tc>
        <w:tc>
          <w:tcPr>
            <w:tcW w:w="80" w:type="dxa"/>
            <w:vAlign w:val="bottom"/>
            <w:shd w:val="clear" w:color="auto" w:fill="CFF0FC"/>
          </w:tcPr>
          <w:p>
            <w:pPr>
              <w:spacing w:after="0"/>
              <w:rPr>
                <w:sz w:val="18"/>
                <w:szCs w:val="18"/>
                <w:color w:val="auto"/>
              </w:rPr>
            </w:pPr>
          </w:p>
        </w:tc>
      </w:tr>
      <w:tr>
        <w:trPr>
          <w:trHeight w:val="206"/>
        </w:trPr>
        <w:tc>
          <w:tcPr>
            <w:tcW w:w="1300" w:type="dxa"/>
            <w:vAlign w:val="bottom"/>
          </w:tcPr>
          <w:p>
            <w:pPr>
              <w:spacing w:after="0"/>
              <w:rPr>
                <w:sz w:val="20"/>
                <w:szCs w:val="20"/>
                <w:color w:val="auto"/>
              </w:rPr>
            </w:pPr>
            <w:r>
              <w:rPr>
                <w:rFonts w:ascii="Arial" w:cs="Arial" w:eastAsia="Arial" w:hAnsi="Arial"/>
                <w:sz w:val="16"/>
                <w:szCs w:val="16"/>
                <w:color w:val="auto"/>
              </w:rPr>
              <w:t>Distributions to</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00" w:type="dxa"/>
            <w:vAlign w:val="bottom"/>
          </w:tcPr>
          <w:p>
            <w:pPr>
              <w:spacing w:after="0"/>
              <w:rPr>
                <w:sz w:val="20"/>
                <w:szCs w:val="20"/>
                <w:color w:val="auto"/>
              </w:rPr>
            </w:pPr>
            <w:r>
              <w:rPr>
                <w:rFonts w:ascii="Arial" w:cs="Arial" w:eastAsia="Arial" w:hAnsi="Arial"/>
                <w:sz w:val="16"/>
                <w:szCs w:val="16"/>
                <w:color w:val="auto"/>
              </w:rPr>
              <w:t>noncontrolling</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00" w:type="dxa"/>
            <w:vAlign w:val="bottom"/>
          </w:tcPr>
          <w:p>
            <w:pPr>
              <w:spacing w:after="0"/>
              <w:rPr>
                <w:sz w:val="20"/>
                <w:szCs w:val="20"/>
                <w:color w:val="auto"/>
              </w:rPr>
            </w:pPr>
            <w:r>
              <w:rPr>
                <w:rFonts w:ascii="Arial" w:cs="Arial" w:eastAsia="Arial" w:hAnsi="Arial"/>
                <w:sz w:val="16"/>
                <w:szCs w:val="16"/>
                <w:color w:val="auto"/>
              </w:rPr>
              <w:t>interests,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00" w:type="dxa"/>
            <w:vAlign w:val="bottom"/>
          </w:tcPr>
          <w:p>
            <w:pPr>
              <w:ind w:left="120"/>
              <w:spacing w:after="0"/>
              <w:rPr>
                <w:sz w:val="20"/>
                <w:szCs w:val="20"/>
                <w:color w:val="auto"/>
              </w:rPr>
            </w:pPr>
            <w:r>
              <w:rPr>
                <w:rFonts w:ascii="Arial" w:cs="Arial" w:eastAsia="Arial" w:hAnsi="Arial"/>
                <w:sz w:val="16"/>
                <w:szCs w:val="16"/>
                <w:color w:val="auto"/>
              </w:rPr>
              <w:t>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(615)</w:t>
            </w:r>
          </w:p>
        </w:tc>
      </w:tr>
      <w:tr>
        <w:trPr>
          <w:trHeight w:val="219"/>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8,004</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8,004</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8,004</w:t>
            </w:r>
          </w:p>
        </w:tc>
        <w:tc>
          <w:tcPr>
            <w:tcW w:w="80" w:type="dxa"/>
            <w:vAlign w:val="bottom"/>
            <w:shd w:val="clear" w:color="auto" w:fill="CFF0FC"/>
          </w:tcPr>
          <w:p>
            <w:pPr>
              <w:spacing w:after="0"/>
              <w:rPr>
                <w:sz w:val="19"/>
                <w:szCs w:val="19"/>
                <w:color w:val="auto"/>
              </w:rPr>
            </w:pPr>
          </w:p>
        </w:tc>
      </w:tr>
      <w:tr>
        <w:trPr>
          <w:trHeight w:val="196"/>
        </w:trPr>
        <w:tc>
          <w:tcPr>
            <w:tcW w:w="1300" w:type="dxa"/>
            <w:vAlign w:val="bottom"/>
          </w:tcPr>
          <w:p>
            <w:pPr>
              <w:spacing w:after="0"/>
              <w:rPr>
                <w:sz w:val="20"/>
                <w:szCs w:val="20"/>
                <w:color w:val="auto"/>
              </w:rPr>
            </w:pPr>
            <w:r>
              <w:rPr>
                <w:rFonts w:ascii="Arial" w:cs="Arial" w:eastAsia="Arial" w:hAnsi="Arial"/>
                <w:sz w:val="16"/>
                <w:szCs w:val="16"/>
                <w:b w:val="1"/>
                <w:bCs w:val="1"/>
                <w:color w:val="auto"/>
              </w:rPr>
              <w:t>Balance -</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1300" w:type="dxa"/>
            <w:vAlign w:val="bottom"/>
          </w:tcPr>
          <w:p>
            <w:pPr>
              <w:spacing w:after="0"/>
              <w:rPr>
                <w:sz w:val="20"/>
                <w:szCs w:val="20"/>
                <w:color w:val="auto"/>
              </w:rPr>
            </w:pPr>
            <w:r>
              <w:rPr>
                <w:rFonts w:ascii="Arial" w:cs="Arial" w:eastAsia="Arial" w:hAnsi="Arial"/>
                <w:sz w:val="16"/>
                <w:szCs w:val="16"/>
                <w:b w:val="1"/>
                <w:bCs w:val="1"/>
                <w:color w:val="auto"/>
              </w:rPr>
              <w:t>June 30, 2016</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7,921</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89"/>
              </w:rPr>
              <w:t>$ 1,298</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569,154</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998,132</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(237,030)</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5,210,619</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0"/>
              </w:rPr>
              <w:t>$ (185,353)</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w w:val="92"/>
              </w:rPr>
              <w:t>1,146,201</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58,143</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w w:val="92"/>
              </w:rPr>
              <w:t>1,204,344</w:t>
            </w:r>
          </w:p>
        </w:tc>
        <w:tc>
          <w:tcPr>
            <w:tcW w:w="8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w w:val="88"/>
              </w:rPr>
              <w:t>Accumulated</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59"/>
              <w:spacing w:after="0" w:line="149" w:lineRule="exact"/>
              <w:rPr>
                <w:sz w:val="20"/>
                <w:szCs w:val="20"/>
                <w:color w:val="auto"/>
              </w:rPr>
            </w:pPr>
            <w:r>
              <w:rPr>
                <w:rFonts w:ascii="Arial" w:cs="Arial" w:eastAsia="Arial" w:hAnsi="Arial"/>
                <w:sz w:val="14"/>
                <w:szCs w:val="14"/>
                <w:b w:val="1"/>
                <w:bCs w:val="1"/>
                <w:color w:val="auto"/>
                <w:w w:val="90"/>
              </w:rPr>
              <w:t>Other</w:t>
            </w:r>
          </w:p>
        </w:tc>
        <w:tc>
          <w:tcPr>
            <w:tcW w:w="1780" w:type="dxa"/>
            <w:vAlign w:val="bottom"/>
            <w:gridSpan w:val="4"/>
          </w:tcPr>
          <w:p>
            <w:pPr>
              <w:jc w:val="center"/>
              <w:ind w:right="59"/>
              <w:spacing w:after="0" w:line="149"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jc w:val="center"/>
              <w:ind w:right="99"/>
              <w:spacing w:after="0"/>
              <w:rPr>
                <w:sz w:val="20"/>
                <w:szCs w:val="20"/>
                <w:color w:val="auto"/>
              </w:rPr>
            </w:pPr>
            <w:r>
              <w:rPr>
                <w:rFonts w:ascii="Arial" w:cs="Arial" w:eastAsia="Arial" w:hAnsi="Arial"/>
                <w:sz w:val="14"/>
                <w:szCs w:val="14"/>
                <w:b w:val="1"/>
                <w:bCs w:val="1"/>
                <w:color w:val="auto"/>
                <w:w w:val="85"/>
              </w:rPr>
              <w:t>Comprehensive</w:t>
            </w:r>
          </w:p>
        </w:tc>
        <w:tc>
          <w:tcPr>
            <w:tcW w:w="1780" w:type="dxa"/>
            <w:vAlign w:val="bottom"/>
            <w:gridSpan w:val="4"/>
          </w:tcPr>
          <w:p>
            <w:pPr>
              <w:jc w:val="center"/>
              <w:ind w:right="59"/>
              <w:spacing w:after="0"/>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Lazard Ltd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Total</w:t>
            </w:r>
          </w:p>
        </w:tc>
      </w:tr>
      <w:tr>
        <w:trPr>
          <w:trHeight w:val="161"/>
        </w:trPr>
        <w:tc>
          <w:tcPr>
            <w:tcW w:w="2020" w:type="dxa"/>
            <w:vAlign w:val="bottom"/>
          </w:tcPr>
          <w:p>
            <w:pPr>
              <w:spacing w:after="0"/>
              <w:rPr>
                <w:sz w:val="14"/>
                <w:szCs w:val="14"/>
                <w:color w:val="auto"/>
              </w:rPr>
            </w:pPr>
          </w:p>
        </w:tc>
        <w:tc>
          <w:tcPr>
            <w:tcW w:w="176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Paid-In-</w:t>
            </w:r>
          </w:p>
        </w:tc>
        <w:tc>
          <w:tcPr>
            <w:tcW w:w="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14"/>
                <w:szCs w:val="14"/>
                <w:color w:val="auto"/>
              </w:rPr>
            </w:pPr>
          </w:p>
        </w:tc>
        <w:tc>
          <w:tcPr>
            <w:tcW w:w="108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w w:val="86"/>
              </w:rPr>
              <w:t>Income (Loss),</w:t>
            </w:r>
          </w:p>
        </w:tc>
        <w:tc>
          <w:tcPr>
            <w:tcW w:w="1780" w:type="dxa"/>
            <w:vAlign w:val="bottom"/>
            <w:gridSpan w:val="4"/>
          </w:tcPr>
          <w:p>
            <w:pPr>
              <w:jc w:val="center"/>
              <w:ind w:right="59"/>
              <w:spacing w:after="0"/>
              <w:rPr>
                <w:sz w:val="20"/>
                <w:szCs w:val="20"/>
                <w:color w:val="auto"/>
              </w:rPr>
            </w:pPr>
            <w:r>
              <w:rPr>
                <w:rFonts w:ascii="Arial" w:cs="Arial" w:eastAsia="Arial" w:hAnsi="Arial"/>
                <w:sz w:val="14"/>
                <w:szCs w:val="14"/>
                <w:b w:val="1"/>
                <w:bCs w:val="1"/>
                <w:color w:val="auto"/>
                <w:w w:val="86"/>
              </w:rPr>
              <w:t>Held By Subsidiaries</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Stockholders’</w:t>
            </w:r>
          </w:p>
        </w:tc>
        <w:tc>
          <w:tcPr>
            <w:tcW w:w="1100" w:type="dxa"/>
            <w:vAlign w:val="bottom"/>
            <w:gridSpan w:val="4"/>
          </w:tcPr>
          <w:p>
            <w:pPr>
              <w:ind w:left="60"/>
              <w:spacing w:after="0"/>
              <w:rPr>
                <w:sz w:val="20"/>
                <w:szCs w:val="20"/>
                <w:color w:val="auto"/>
              </w:rPr>
            </w:pPr>
            <w:r>
              <w:rPr>
                <w:rFonts w:ascii="Arial" w:cs="Arial" w:eastAsia="Arial" w:hAnsi="Arial"/>
                <w:sz w:val="14"/>
                <w:szCs w:val="14"/>
                <w:b w:val="1"/>
                <w:bCs w:val="1"/>
                <w:color w:val="auto"/>
              </w:rPr>
              <w:t>Noncontrolling</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Stockholders’</w:t>
            </w:r>
          </w:p>
        </w:tc>
      </w:tr>
      <w:tr>
        <w:trPr>
          <w:trHeight w:val="156"/>
        </w:trPr>
        <w:tc>
          <w:tcPr>
            <w:tcW w:w="2020" w:type="dxa"/>
            <w:vAlign w:val="bottom"/>
          </w:tcPr>
          <w:p>
            <w:pPr>
              <w:spacing w:after="0"/>
              <w:rPr>
                <w:sz w:val="13"/>
                <w:szCs w:val="13"/>
                <w:color w:val="auto"/>
              </w:rPr>
            </w:pPr>
          </w:p>
        </w:tc>
        <w:tc>
          <w:tcPr>
            <w:tcW w:w="106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9"/>
              </w:rPr>
              <w:t>Capital</w:t>
            </w:r>
          </w:p>
        </w:tc>
        <w:tc>
          <w:tcPr>
            <w:tcW w:w="60" w:type="dxa"/>
            <w:vAlign w:val="bottom"/>
          </w:tcPr>
          <w:p>
            <w:pPr>
              <w:spacing w:after="0"/>
              <w:rPr>
                <w:sz w:val="13"/>
                <w:szCs w:val="13"/>
                <w:color w:val="auto"/>
              </w:rPr>
            </w:pP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59"/>
              <w:spacing w:after="0" w:line="155" w:lineRule="exact"/>
              <w:rPr>
                <w:sz w:val="20"/>
                <w:szCs w:val="20"/>
                <w:color w:val="auto"/>
              </w:rPr>
            </w:pPr>
            <w:r>
              <w:rPr>
                <w:rFonts w:ascii="Arial" w:cs="Arial" w:eastAsia="Arial" w:hAnsi="Arial"/>
                <w:sz w:val="14"/>
                <w:szCs w:val="14"/>
                <w:b w:val="1"/>
                <w:bCs w:val="1"/>
                <w:color w:val="auto"/>
                <w:w w:val="85"/>
              </w:rPr>
              <w:t>Net of Tax</w:t>
            </w:r>
          </w:p>
        </w:tc>
        <w:tc>
          <w:tcPr>
            <w:tcW w:w="96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2"/>
              </w:rPr>
              <w:t>Interests</w:t>
            </w:r>
          </w:p>
        </w:tc>
        <w:tc>
          <w:tcPr>
            <w:tcW w:w="20" w:type="dxa"/>
            <w:vAlign w:val="bottom"/>
          </w:tcPr>
          <w:p>
            <w:pPr>
              <w:spacing w:after="0"/>
              <w:rPr>
                <w:sz w:val="13"/>
                <w:szCs w:val="13"/>
                <w:color w:val="auto"/>
              </w:rPr>
            </w:pPr>
          </w:p>
        </w:tc>
        <w:tc>
          <w:tcPr>
            <w:tcW w:w="8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3"/>
              </w:rPr>
              <w:t>Equity</w:t>
            </w:r>
          </w:p>
        </w:tc>
      </w:tr>
      <w:tr>
        <w:trPr>
          <w:trHeight w:val="210"/>
        </w:trPr>
        <w:tc>
          <w:tcPr>
            <w:tcW w:w="2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 2017</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688,231</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$ 1,134,186</w:t>
            </w: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(314,222)</w:t>
            </w:r>
          </w:p>
        </w:tc>
        <w:tc>
          <w:tcPr>
            <w:tcW w:w="1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7,628,786</w:t>
            </w: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(273,506)</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$ 1,235,987</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57,826</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$ 1,293,813</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2020" w:type="dxa"/>
            <w:vAlign w:val="bottom"/>
          </w:tcPr>
          <w:p>
            <w:pPr>
              <w:spacing w:after="0"/>
              <w:rPr>
                <w:sz w:val="20"/>
                <w:szCs w:val="20"/>
                <w:color w:val="auto"/>
              </w:rPr>
            </w:pPr>
            <w:r>
              <w:rPr>
                <w:rFonts w:ascii="Arial" w:cs="Arial" w:eastAsia="Arial" w:hAnsi="Arial"/>
                <w:sz w:val="16"/>
                <w:szCs w:val="16"/>
                <w:color w:val="auto"/>
              </w:rPr>
              <w:t>Adjustment for the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cumulative effect on prior</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20" w:type="dxa"/>
            <w:vAlign w:val="bottom"/>
          </w:tcPr>
          <w:p>
            <w:pPr>
              <w:ind w:left="120"/>
              <w:spacing w:after="0"/>
              <w:rPr>
                <w:sz w:val="20"/>
                <w:szCs w:val="20"/>
                <w:color w:val="auto"/>
              </w:rPr>
            </w:pPr>
            <w:r>
              <w:rPr>
                <w:rFonts w:ascii="Arial" w:cs="Arial" w:eastAsia="Arial" w:hAnsi="Arial"/>
                <w:sz w:val="16"/>
                <w:szCs w:val="16"/>
                <w:color w:val="auto"/>
              </w:rPr>
              <w:t>years from the adoption of</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new accounting</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20" w:type="dxa"/>
            <w:vAlign w:val="bottom"/>
          </w:tcPr>
          <w:p>
            <w:pPr>
              <w:ind w:left="120"/>
              <w:spacing w:after="0"/>
              <w:rPr>
                <w:sz w:val="20"/>
                <w:szCs w:val="20"/>
                <w:color w:val="auto"/>
              </w:rPr>
            </w:pPr>
            <w:r>
              <w:rPr>
                <w:rFonts w:ascii="Arial" w:cs="Arial" w:eastAsia="Arial" w:hAnsi="Arial"/>
                <w:sz w:val="16"/>
                <w:szCs w:val="16"/>
                <w:color w:val="auto"/>
              </w:rPr>
              <w:t>guidance related to share-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based incentive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2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81,544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81,544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81,544</w:t>
            </w:r>
          </w:p>
        </w:tc>
        <w:tc>
          <w:tcPr>
            <w:tcW w:w="100" w:type="dxa"/>
            <w:vAlign w:val="bottom"/>
          </w:tcPr>
          <w:p>
            <w:pPr>
              <w:spacing w:after="0"/>
              <w:rPr>
                <w:sz w:val="18"/>
                <w:szCs w:val="18"/>
                <w:color w:val="auto"/>
              </w:rPr>
            </w:pPr>
          </w:p>
        </w:tc>
      </w:tr>
      <w:tr>
        <w:trPr>
          <w:trHeight w:val="203"/>
        </w:trPr>
        <w:tc>
          <w:tcPr>
            <w:tcW w:w="2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adjusted -</w:t>
            </w: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2"/>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January 1, 2017</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129,766,091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1,298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688,231</w:t>
            </w: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1,215,730</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(314,222)</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7,628,786</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(273,506)</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1,317,531</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57,826</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1,375,357</w:t>
            </w:r>
          </w:p>
        </w:tc>
        <w:tc>
          <w:tcPr>
            <w:tcW w:w="100" w:type="dxa"/>
            <w:vAlign w:val="bottom"/>
            <w:shd w:val="clear" w:color="auto" w:fill="CFF0FC"/>
          </w:tcPr>
          <w:p>
            <w:pPr>
              <w:spacing w:after="0"/>
              <w:rPr>
                <w:sz w:val="18"/>
                <w:szCs w:val="18"/>
                <w:color w:val="auto"/>
              </w:rPr>
            </w:pPr>
          </w:p>
        </w:tc>
      </w:tr>
      <w:tr>
        <w:trPr>
          <w:trHeight w:val="213"/>
        </w:trPr>
        <w:tc>
          <w:tcPr>
            <w:tcW w:w="2020" w:type="dxa"/>
            <w:vAlign w:val="bottom"/>
          </w:tcPr>
          <w:p>
            <w:pPr>
              <w:spacing w:after="0"/>
              <w:rPr>
                <w:sz w:val="20"/>
                <w:szCs w:val="20"/>
                <w:color w:val="auto"/>
              </w:rPr>
            </w:pPr>
            <w:r>
              <w:rPr>
                <w:rFonts w:ascii="Arial" w:cs="Arial" w:eastAsia="Arial" w:hAnsi="Arial"/>
                <w:sz w:val="16"/>
                <w:szCs w:val="16"/>
                <w:color w:val="auto"/>
              </w:rPr>
              <w:t>Comprehensive income: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227,931</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227,931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3,400</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231,331</w:t>
            </w:r>
          </w:p>
        </w:tc>
        <w:tc>
          <w:tcPr>
            <w:tcW w:w="100" w:type="dxa"/>
            <w:vAlign w:val="bottom"/>
            <w:shd w:val="clear" w:color="auto" w:fill="CFF0FC"/>
          </w:tcPr>
          <w:p>
            <w:pPr>
              <w:spacing w:after="0"/>
              <w:rPr>
                <w:sz w:val="19"/>
                <w:szCs w:val="19"/>
                <w:color w:val="auto"/>
              </w:rPr>
            </w:pPr>
          </w:p>
        </w:tc>
      </w:tr>
      <w:tr>
        <w:trPr>
          <w:trHeight w:val="206"/>
        </w:trPr>
        <w:tc>
          <w:tcPr>
            <w:tcW w:w="2020" w:type="dxa"/>
            <w:vAlign w:val="bottom"/>
          </w:tcPr>
          <w:p>
            <w:pPr>
              <w:ind w:left="260"/>
              <w:spacing w:after="0"/>
              <w:rPr>
                <w:sz w:val="20"/>
                <w:szCs w:val="20"/>
                <w:color w:val="auto"/>
              </w:rPr>
            </w:pPr>
            <w:r>
              <w:rPr>
                <w:rFonts w:ascii="Arial" w:cs="Arial" w:eastAsia="Arial" w:hAnsi="Arial"/>
                <w:sz w:val="16"/>
                <w:szCs w:val="16"/>
                <w:color w:val="auto"/>
              </w:rPr>
              <w:t>Other comprehensive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20" w:type="dxa"/>
            <w:vAlign w:val="bottom"/>
          </w:tcPr>
          <w:p>
            <w:pPr>
              <w:ind w:left="260"/>
              <w:spacing w:after="0"/>
              <w:rPr>
                <w:sz w:val="20"/>
                <w:szCs w:val="20"/>
                <w:color w:val="auto"/>
              </w:rPr>
            </w:pPr>
            <w:r>
              <w:rPr>
                <w:rFonts w:ascii="Arial" w:cs="Arial" w:eastAsia="Arial" w:hAnsi="Arial"/>
                <w:sz w:val="16"/>
                <w:szCs w:val="16"/>
                <w:color w:val="auto"/>
              </w:rPr>
              <w:t>income - net of tax</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36,437</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36,437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36,437</w:t>
            </w:r>
          </w:p>
        </w:tc>
        <w:tc>
          <w:tcPr>
            <w:tcW w:w="100" w:type="dxa"/>
            <w:vAlign w:val="bottom"/>
          </w:tcPr>
          <w:p>
            <w:pPr>
              <w:spacing w:after="0"/>
              <w:rPr>
                <w:sz w:val="18"/>
                <w:szCs w:val="18"/>
                <w:color w:val="auto"/>
              </w:rPr>
            </w:pPr>
          </w:p>
        </w:tc>
      </w:tr>
      <w:tr>
        <w:trPr>
          <w:trHeight w:val="209"/>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w w:val="99"/>
              </w:rPr>
              <w:t>Amortization of share-based</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163,001</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163,001</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163,001</w:t>
            </w:r>
          </w:p>
        </w:tc>
        <w:tc>
          <w:tcPr>
            <w:tcW w:w="100" w:type="dxa"/>
            <w:vAlign w:val="bottom"/>
            <w:shd w:val="clear" w:color="auto" w:fill="CFF0FC"/>
          </w:tcPr>
          <w:p>
            <w:pPr>
              <w:spacing w:after="0"/>
              <w:rPr>
                <w:sz w:val="18"/>
                <w:szCs w:val="18"/>
                <w:color w:val="auto"/>
              </w:rPr>
            </w:pPr>
          </w:p>
        </w:tc>
      </w:tr>
      <w:tr>
        <w:trPr>
          <w:trHeight w:val="213"/>
        </w:trPr>
        <w:tc>
          <w:tcPr>
            <w:tcW w:w="2020" w:type="dxa"/>
            <w:vAlign w:val="bottom"/>
          </w:tcPr>
          <w:p>
            <w:pPr>
              <w:spacing w:after="0"/>
              <w:rPr>
                <w:sz w:val="20"/>
                <w:szCs w:val="20"/>
                <w:color w:val="auto"/>
              </w:rPr>
            </w:pPr>
            <w:r>
              <w:rPr>
                <w:rFonts w:ascii="Arial" w:cs="Arial" w:eastAsia="Arial" w:hAnsi="Arial"/>
                <w:sz w:val="16"/>
                <w:szCs w:val="16"/>
                <w:color w:val="auto"/>
              </w:rPr>
              <w:t>Dividend-equivalents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31,335</w:t>
            </w: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(35,412)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(4,077)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(4,077)</w:t>
            </w:r>
          </w:p>
        </w:tc>
      </w:tr>
      <w:tr>
        <w:trPr>
          <w:trHeight w:val="209"/>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dividends</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(242,427)</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(242,427)</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(242,427)</w:t>
            </w:r>
          </w:p>
        </w:tc>
      </w:tr>
      <w:tr>
        <w:trPr>
          <w:trHeight w:val="206"/>
        </w:trPr>
        <w:tc>
          <w:tcPr>
            <w:tcW w:w="2020" w:type="dxa"/>
            <w:vAlign w:val="bottom"/>
          </w:tcPr>
          <w:p>
            <w:pPr>
              <w:spacing w:after="0"/>
              <w:rPr>
                <w:sz w:val="20"/>
                <w:szCs w:val="20"/>
                <w:color w:val="auto"/>
              </w:rPr>
            </w:pPr>
            <w:r>
              <w:rPr>
                <w:rFonts w:ascii="Arial" w:cs="Arial" w:eastAsia="Arial" w:hAnsi="Arial"/>
                <w:sz w:val="16"/>
                <w:szCs w:val="16"/>
                <w:color w:val="auto"/>
                <w:w w:val="94"/>
              </w:rPr>
              <w:t>Purchase of Class A common</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20" w:type="dxa"/>
            <w:vAlign w:val="bottom"/>
          </w:tcPr>
          <w:p>
            <w:pPr>
              <w:spacing w:after="0"/>
              <w:rPr>
                <w:sz w:val="20"/>
                <w:szCs w:val="20"/>
                <w:color w:val="auto"/>
              </w:rPr>
            </w:pPr>
            <w:r>
              <w:rPr>
                <w:rFonts w:ascii="Arial" w:cs="Arial" w:eastAsia="Arial" w:hAnsi="Arial"/>
                <w:sz w:val="16"/>
                <w:szCs w:val="16"/>
                <w:color w:val="auto"/>
              </w:rPr>
              <w:t>stock</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4,268,479</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(184,892)</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(184,892)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(184,892)</w:t>
            </w:r>
          </w:p>
        </w:tc>
      </w:tr>
      <w:tr>
        <w:trPr>
          <w:trHeight w:val="209"/>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w w:val="99"/>
              </w:rPr>
              <w:t>Delivery of Class A common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stock in</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and related</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tax expense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$4,815</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3"/>
              </w:rPr>
              <w:t>(209,543)</w:t>
            </w: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(3,736,461)</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138,643</w:t>
            </w: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(70,900)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(70,900)</w:t>
            </w:r>
          </w:p>
        </w:tc>
      </w:tr>
      <w:tr>
        <w:trPr>
          <w:trHeight w:val="206"/>
        </w:trPr>
        <w:tc>
          <w:tcPr>
            <w:tcW w:w="202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related equity</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2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issuable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(including related</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FF0FC"/>
          </w:tcPr>
          <w:p>
            <w:pPr>
              <w:spacing w:after="0"/>
              <w:rPr>
                <w:sz w:val="18"/>
                <w:szCs w:val="18"/>
                <w:color w:val="auto"/>
              </w:rPr>
            </w:pPr>
          </w:p>
        </w:tc>
      </w:tr>
      <w:tr>
        <w:trPr>
          <w:trHeight w:val="206"/>
        </w:trPr>
        <w:tc>
          <w:tcPr>
            <w:tcW w:w="2020" w:type="dxa"/>
            <w:vAlign w:val="bottom"/>
          </w:tcPr>
          <w:p>
            <w:pPr>
              <w:spacing w:after="0"/>
              <w:rPr>
                <w:sz w:val="20"/>
                <w:szCs w:val="20"/>
                <w:color w:val="auto"/>
              </w:rPr>
            </w:pPr>
            <w:r>
              <w:rPr>
                <w:rFonts w:ascii="Arial" w:cs="Arial" w:eastAsia="Arial" w:hAnsi="Arial"/>
                <w:sz w:val="16"/>
                <w:szCs w:val="16"/>
                <w:color w:val="auto"/>
              </w:rPr>
              <w:t>Distributions to</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20" w:type="dxa"/>
            <w:vAlign w:val="bottom"/>
          </w:tcPr>
          <w:p>
            <w:pPr>
              <w:spacing w:after="0"/>
              <w:rPr>
                <w:sz w:val="20"/>
                <w:szCs w:val="20"/>
                <w:color w:val="auto"/>
              </w:rPr>
            </w:pPr>
            <w:r>
              <w:rPr>
                <w:rFonts w:ascii="Arial" w:cs="Arial" w:eastAsia="Arial" w:hAnsi="Arial"/>
                <w:sz w:val="16"/>
                <w:szCs w:val="16"/>
                <w:color w:val="auto"/>
              </w:rPr>
              <w:t>noncontrolling interests, net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(1,743)</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(1,743)</w:t>
            </w:r>
          </w:p>
        </w:tc>
      </w:tr>
      <w:tr>
        <w:trPr>
          <w:trHeight w:val="219"/>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FF0FC"/>
          </w:tcPr>
          <w:p>
            <w:pPr>
              <w:spacing w:after="0"/>
              <w:rPr>
                <w:sz w:val="19"/>
                <w:szCs w:val="19"/>
                <w:color w:val="auto"/>
              </w:rPr>
            </w:pPr>
          </w:p>
        </w:tc>
      </w:tr>
      <w:tr>
        <w:trPr>
          <w:trHeight w:val="207"/>
        </w:trPr>
        <w:tc>
          <w:tcPr>
            <w:tcW w:w="2020" w:type="dxa"/>
            <w:vAlign w:val="bottom"/>
          </w:tcPr>
          <w:p>
            <w:pPr>
              <w:spacing w:after="0"/>
              <w:rPr>
                <w:sz w:val="20"/>
                <w:szCs w:val="20"/>
                <w:color w:val="auto"/>
              </w:rPr>
            </w:pPr>
            <w:r>
              <w:rPr>
                <w:rFonts w:ascii="Arial" w:cs="Arial" w:eastAsia="Arial" w:hAnsi="Arial"/>
                <w:sz w:val="16"/>
                <w:szCs w:val="16"/>
                <w:b w:val="1"/>
                <w:bCs w:val="1"/>
                <w:color w:val="auto"/>
              </w:rPr>
              <w:t>Balance - June 30, 2017</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1,298</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673,242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$ 1,166,026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(277,785</w:t>
            </w:r>
          </w:p>
        </w:tc>
        <w:tc>
          <w:tcPr>
            <w:tcW w:w="160" w:type="dxa"/>
            <w:vAlign w:val="bottom"/>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8,160,804</w:t>
            </w:r>
          </w:p>
        </w:tc>
        <w:tc>
          <w:tcPr>
            <w:tcW w:w="1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 (319,755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$ 1,243,026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59,687</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$ 1,302,713</w:t>
            </w:r>
          </w:p>
        </w:tc>
        <w:tc>
          <w:tcPr>
            <w:tcW w:w="100" w:type="dxa"/>
            <w:vAlign w:val="bottom"/>
          </w:tcPr>
          <w:p>
            <w:pPr>
              <w:spacing w:after="0"/>
              <w:rPr>
                <w:sz w:val="17"/>
                <w:szCs w:val="17"/>
                <w:color w:val="auto"/>
              </w:rPr>
            </w:pPr>
          </w:p>
        </w:tc>
      </w:tr>
      <w:tr>
        <w:trPr>
          <w:trHeight w:val="20"/>
        </w:trPr>
        <w:tc>
          <w:tcPr>
            <w:tcW w:w="2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38"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Lazard Ltd indirectly held 100% of all outstanding Lazard Group common membership interests as of June 30, 2017 and December 31, 2016. Lazard Ltd, through its control of the managing members of Lazard Group, controls Lazard Group, which is governed by an Amended and Restated Operating Agreement dated as of October 26, 2015, as amended (the “Operating Agreement”).</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62" w:lineRule="exact"/>
        <w:rPr>
          <w:sz w:val="20"/>
          <w:szCs w:val="20"/>
          <w:color w:val="auto"/>
        </w:rPr>
      </w:pPr>
    </w:p>
    <w:p>
      <w:pPr>
        <w:ind w:left="900" w:right="10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shareholder advisory, and various other financial matters, and</w:t>
      </w:r>
    </w:p>
    <w:p>
      <w:pPr>
        <w:spacing w:after="0" w:line="73" w:lineRule="exact"/>
        <w:rPr>
          <w:rFonts w:ascii="Arial" w:cs="Arial" w:eastAsia="Arial" w:hAnsi="Arial"/>
          <w:sz w:val="18"/>
          <w:szCs w:val="18"/>
          <w:color w:val="auto"/>
        </w:rPr>
      </w:pPr>
    </w:p>
    <w:p>
      <w:pPr>
        <w:ind w:left="900" w:right="20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2016. The accompanying December 31, 2016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consolidated results of operations for the three month and six month periods ended June 30, 2017 are not indicative of the results to be expected for any future interim or annual period.</w:t>
      </w:r>
    </w:p>
    <w:p>
      <w:pPr>
        <w:spacing w:after="0" w:line="170" w:lineRule="exact"/>
        <w:rPr>
          <w:sz w:val="20"/>
          <w:szCs w:val="20"/>
          <w:color w:val="auto"/>
        </w:rPr>
      </w:pPr>
    </w:p>
    <w:p>
      <w:pPr>
        <w:ind w:right="500" w:firstLine="518"/>
        <w:spacing w:after="0" w:line="264" w:lineRule="auto"/>
        <w:rPr>
          <w:sz w:val="20"/>
          <w:szCs w:val="20"/>
          <w:color w:val="auto"/>
        </w:rPr>
      </w:pPr>
      <w:r>
        <w:rPr>
          <w:rFonts w:ascii="Arial" w:cs="Arial" w:eastAsia="Arial" w:hAnsi="Arial"/>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900" w:right="280" w:hanging="379"/>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8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8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specifically by including capital lease obligations, previously presented separately, in other liabilities on the condensed consolidated statements of financial condition.</w:t>
      </w:r>
    </w:p>
    <w:p>
      <w:pPr>
        <w:spacing w:after="0" w:line="360"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i w:val="1"/>
          <w:iCs w:val="1"/>
          <w:color w:val="auto"/>
        </w:rPr>
        <w:t>Compensation—Stock Compensation: Improvements to Employee Share-Based Payment Accounting</w:t>
      </w:r>
      <w:r>
        <w:rPr>
          <w:rFonts w:ascii="Arial" w:cs="Arial" w:eastAsia="Arial" w:hAnsi="Arial"/>
          <w:sz w:val="16"/>
          <w:szCs w:val="16"/>
          <w:color w:val="auto"/>
        </w:rPr>
        <w:t>—In March 2016, the Financial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Board (the “FASB”) issued new guidance regarding share-based incentive compensation. The new guidance includes several amendments which affect various aspects of the accounting for share-based incentive compensation transactions, including the income tax consequences, estimation of forfeitures, effect on earnings per share, classification of awards as either equity or liabilities, and classification on the statement of cash flows. The new guidance is effective for annual and interim periods beginning after December 15, 2016. The Company adopted this new guidance on January 1, 2017.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condensed consolidated statements of operations and the classification of cash flows in the relevant periods. The inclusion of excess tax benefits as an operating activity within the statement of cash flows was adopted on a prospective basis, with prior periods unadjusted. Based on the new guidance, the excess tax benefits are no longer included as assumed proceeds in the calculation of earnings per share under the treasury stock method on a prospective basis. Upon adoption of the new guidance, the Company also recorded deferred tax assets of $81,544, net of a valuation allowance of $12,090, for previously unrecognized excess tax benefits (including tax benefits from dividends or dividend equivalents) on share-based incentive compensation arrangements, with an offsetting adjustment to retained earnings. With respect to forfeiture rates, the Company will continue to estimate the number of awards expected to be forfeited, rather than electing the option to account for forfeitures as they occur. See Note 14.</w:t>
      </w:r>
    </w:p>
    <w:p>
      <w:pPr>
        <w:spacing w:after="0" w:line="280"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—In May 2014, the FASB issued comprehensive new revenue recognition guidance.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recognize revenue when it transfers promised services to customers in an amount that reflects the consideration to which the company expects to be entitled in exchange for those services and requires enhanced disclosures. The guidance also changes the accounting for certain contract costs, including whether they may be offset against revenue in the condensed consolidated statements of operations. On July 9, 2015, the FASB approved the deferral of the effective date of the new revenue guidance by one year to annual reporting periods beginning after December 15, 2017, with early adoption being permitted for annual periods beginning after December 15, 2016. The guidance may be adopted using a full retrospective approach or a modified cumulative effect approach. During 2016, the FASB issued additional clarifications for certain aspects of the new revenue recognition guidance. The Company currently expects to adopt the revenue recognition guidance in the first quarter of 2018. The Company’s implementation efforts include the identification of revenue within the scope of the guidance and the evaluation of revenue contracts.</w:t>
      </w:r>
    </w:p>
    <w:p>
      <w:pPr>
        <w:spacing w:after="0" w:line="18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Company continues to evaluate the potential impact of the new guidance including (i) the timing of revenue recognition for Financial Advisory fees and (ii) the presentation of certain contract costs. With respect to revenue recognition, the Company is assessing the potential impact of the new guidance on the Company’s recognition of certain M&amp;A Advisory fees (e.g., transaction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completion, transaction announcement and retainer fees), including whether the Company’s fulfillment of its performance obligations under M&amp;A Advisory engagement contracts would be deemed to occur over time, or at specific points in time, under the new guidance. Interpretive guidance on this particular issue is currently being deliberated by the Financial Reporting Executive Committee of the American Institute of Certified Public Accountants. With respect to the potential impact of the new guidance on the Company’s presentation of certain contract costs, the Company is assessing whether the new guidance could result in the gross presentation of certain contract costs that are currently presented net of certain items in revenues.</w:t>
      </w:r>
    </w:p>
    <w:p>
      <w:pPr>
        <w:spacing w:after="0" w:line="15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In August and November 2016, the FASB issued updated guidance which clarifies how</w:t>
      </w:r>
      <w:r>
        <w:rPr>
          <w:rFonts w:ascii="Arial" w:cs="Arial" w:eastAsia="Arial" w:hAnsi="Arial"/>
          <w:sz w:val="18"/>
          <w:szCs w:val="18"/>
          <w:i w:val="1"/>
          <w:iCs w:val="1"/>
          <w:color w:val="auto"/>
        </w:rPr>
        <w:t xml:space="preserve"> </w:t>
      </w:r>
      <w:r>
        <w:rPr>
          <w:rFonts w:ascii="Arial" w:cs="Arial" w:eastAsia="Arial" w:hAnsi="Arial"/>
          <w:sz w:val="18"/>
          <w:szCs w:val="18"/>
          <w:color w:val="auto"/>
        </w:rPr>
        <w:t>a company should classify certain cash receipts and cash payments on the statement of cash flows and clarifies that restricted cash should be included in the total of cash and cash equivalents on the statement of cash flows. The new guidance for both updates is effective for annual and interim periods beginning after December 15, 2017 and early adoption is permitted. The new guidance is to be applied on a retrospective basis. The Company is currently evaluating the new guidance.</w:t>
      </w:r>
    </w:p>
    <w:p>
      <w:pPr>
        <w:spacing w:after="0" w:line="188"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In January 2017, the FASB issued updated guidance to clarify the definition of a business within the context</w:t>
      </w:r>
      <w:r>
        <w:rPr>
          <w:rFonts w:ascii="Arial" w:cs="Arial" w:eastAsia="Arial" w:hAnsi="Arial"/>
          <w:sz w:val="16"/>
          <w:szCs w:val="16"/>
          <w:i w:val="1"/>
          <w:iCs w:val="1"/>
          <w:color w:val="auto"/>
        </w:rPr>
        <w:t xml:space="preserve"> </w:t>
      </w:r>
      <w:r>
        <w:rPr>
          <w:rFonts w:ascii="Arial" w:cs="Arial" w:eastAsia="Arial" w:hAnsi="Arial"/>
          <w:sz w:val="16"/>
          <w:szCs w:val="16"/>
          <w:color w:val="auto"/>
        </w:rPr>
        <w:t>of business combinations. The updated guidance requires that when substantially all of the fair value of the gross assets acquired (or disposed of) is concentrated in a single identifiable asset or a group of similar identifiable assets, the set is not a business. This updated guidance is expected to reduce the number of transactions that need to be further evaluated as business combinations. If further evaluation is necessary, the updated guidance will require that a business set include, at a minimum, an input and a substantive process that together significantly contribute to the ability to create output. The updated guidance will remove the evaluation of whether a market participant could replace missing elements. The new guidance is effective for annual and interim periods beginning after December 15, 2017 and is to be applied on a prospective basis. The Company is currently evaluating the new guidance.</w:t>
      </w:r>
    </w:p>
    <w:p>
      <w:pPr>
        <w:spacing w:after="0" w:line="167" w:lineRule="exact"/>
        <w:rPr>
          <w:sz w:val="20"/>
          <w:szCs w:val="20"/>
          <w:color w:val="auto"/>
        </w:rPr>
      </w:pPr>
    </w:p>
    <w:p>
      <w:pPr>
        <w:ind w:right="220" w:firstLine="518"/>
        <w:spacing w:after="0" w:line="291" w:lineRule="auto"/>
        <w:rPr>
          <w:sz w:val="20"/>
          <w:szCs w:val="20"/>
          <w:color w:val="auto"/>
        </w:rPr>
      </w:pPr>
      <w:r>
        <w:rPr>
          <w:rFonts w:ascii="Arial" w:cs="Arial" w:eastAsia="Arial" w:hAnsi="Arial"/>
          <w:sz w:val="16"/>
          <w:szCs w:val="16"/>
          <w:i w:val="1"/>
          <w:iCs w:val="1"/>
          <w:color w:val="auto"/>
        </w:rPr>
        <w:t>Compensation</w:t>
      </w:r>
      <w:r>
        <w:rPr>
          <w:rFonts w:ascii="Arial" w:cs="Arial" w:eastAsia="Arial" w:hAnsi="Arial"/>
          <w:sz w:val="16"/>
          <w:szCs w:val="16"/>
          <w:color w:val="auto"/>
        </w:rPr>
        <w:t>—</w:t>
      </w:r>
      <w:r>
        <w:rPr>
          <w:rFonts w:ascii="Arial" w:cs="Arial" w:eastAsia="Arial" w:hAnsi="Arial"/>
          <w:sz w:val="16"/>
          <w:szCs w:val="16"/>
          <w:i w:val="1"/>
          <w:iCs w:val="1"/>
          <w:color w:val="auto"/>
        </w:rPr>
        <w:t>Retirement Benefits</w:t>
      </w:r>
      <w:r>
        <w:rPr>
          <w:rFonts w:ascii="Arial" w:cs="Arial" w:eastAsia="Arial" w:hAnsi="Arial"/>
          <w:sz w:val="16"/>
          <w:szCs w:val="16"/>
          <w:color w:val="auto"/>
        </w:rPr>
        <w:t>—</w:t>
      </w:r>
      <w:r>
        <w:rPr>
          <w:rFonts w:ascii="Arial" w:cs="Arial" w:eastAsia="Arial" w:hAnsi="Arial"/>
          <w:sz w:val="16"/>
          <w:szCs w:val="16"/>
          <w:i w:val="1"/>
          <w:iCs w:val="1"/>
          <w:color w:val="auto"/>
        </w:rPr>
        <w:t>Improving the Presentation of Net Periodic Pension Cost and Net Periodic Postretirement Benefit Cost</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2016, the FASB issued updated guidance on the presentation of net benefit cost in the statement of operations and the components eligible for capitalization. The new guidance requires that only the service cost component of net periodic pension cost and net periodic postretirement benefit cost be presented with other employee compensation costs in operating expenses. The other components of net benefit cost, including amortization of prior service cost, and gains and losses from settlements and curtailments, are to be included in non-operating expenses. The new guidance also stipulates that only the service cost component of net benefit cost is eligible for capitalization. This new guidance is effective for annual and interim periods beginning after December 15, 2017, with early adoption permitted. The Company is currently evaluating the new guidance.</w:t>
      </w:r>
    </w:p>
    <w:p>
      <w:pPr>
        <w:spacing w:after="0" w:line="16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Compensation—Stock Compensation: Scope of Modification Accounting—</w:t>
      </w:r>
      <w:r>
        <w:rPr>
          <w:rFonts w:ascii="Arial" w:cs="Arial" w:eastAsia="Arial" w:hAnsi="Arial"/>
          <w:sz w:val="18"/>
          <w:szCs w:val="18"/>
          <w:color w:val="auto"/>
        </w:rPr>
        <w:t>In May 2017, the FASB issued updated guidance on modifications to share-based payment awards. The updated guidance requires entities to account for the effects of a modification to a share-based payment award unless the following are all the same immediately before and after the modification: (i) the fair value of the award, (ii) the vesting conditions of the award, and (iii) the classification of the award as an equity instrument or a liability instrument. This new guidance is effective for annual and interim periods beginning after December 15, 2017, with early adoption permitted. The new guidance is to be applied on a prospective basis. The Company is currently evaluating the new guidance.</w:t>
      </w:r>
    </w:p>
    <w:p>
      <w:pPr>
        <w:spacing w:after="0" w:line="19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—In February 2016, the FASB issued updated guidance for leases. The guidance requires a lessee to (i) recognize a right-of-use asset and a</w:t>
      </w:r>
      <w:r>
        <w:rPr>
          <w:rFonts w:ascii="Arial" w:cs="Arial" w:eastAsia="Arial" w:hAnsi="Arial"/>
          <w:sz w:val="16"/>
          <w:szCs w:val="16"/>
          <w:i w:val="1"/>
          <w:iCs w:val="1"/>
          <w:color w:val="auto"/>
        </w:rPr>
        <w:t xml:space="preserve"> </w:t>
      </w:r>
      <w:r>
        <w:rPr>
          <w:rFonts w:ascii="Arial" w:cs="Arial" w:eastAsia="Arial" w:hAnsi="Arial"/>
          <w:sz w:val="16"/>
          <w:szCs w:val="16"/>
          <w:color w:val="auto"/>
        </w:rPr>
        <w:t>lease 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158"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—In June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368"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fee receivables, amounts due from customers and other receivables.</w:t>
      </w:r>
    </w:p>
    <w:p>
      <w:pPr>
        <w:spacing w:after="0" w:line="225"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in the allowance for doubtful accounts for the three month and six month periods ended June 30, 2017 and 2016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29,662</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11,230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12,882</w:t>
            </w: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13,831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w w:val="98"/>
              </w:rPr>
              <w:t>Charge-offs, foreign currency translation and other adjustments</w:t>
            </w:r>
          </w:p>
        </w:tc>
        <w:tc>
          <w:tcPr>
            <w:tcW w:w="8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(4,748)</w:t>
            </w: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(5,123)</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(1,892)</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Ending Balance</w:t>
            </w:r>
          </w:p>
        </w:tc>
        <w:tc>
          <w:tcPr>
            <w:tcW w:w="80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25,094</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13,569</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13,569</w:t>
            </w:r>
          </w:p>
        </w:tc>
        <w:tc>
          <w:tcPr>
            <w:tcW w:w="12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Bad debt expense, net of recoveries is included in “investment banking and other advisory fees” on the condensed consolidated statements of operations.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June 30, 2017 and December 31, 2016, the Company had receivables past due or deemed uncollectible of $38,732 and $22,212, respectively.</w:t>
      </w:r>
    </w:p>
    <w:p>
      <w:pPr>
        <w:spacing w:after="0" w:line="248"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Of the Company’s fee receivables at June 30, 2017 and December 31, 2016, $57,315 and $76,133,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81"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$597,424 and $562,149 at June 30, 2017 and December 31, 2016, respectively, approximates fair value.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June 30, 2017 and December 31,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1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1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Funds: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86,294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1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48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374,820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417,727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 method</w:t>
            </w:r>
          </w:p>
        </w:tc>
        <w:tc>
          <w:tcPr>
            <w:tcW w:w="1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421,727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Less: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Equity method</w:t>
            </w:r>
          </w:p>
        </w:tc>
        <w:tc>
          <w:tcPr>
            <w:tcW w:w="1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420,964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458,744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20" w:right="60" w:hanging="512"/>
        <w:spacing w:after="0" w:line="25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$13,804, $48,374 and $119,648, respectively, at June 30, 2017 and $13,080, $37,869 and $128,219, respectively, at December 31, 2016,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6 and 12).</w:t>
      </w:r>
    </w:p>
    <w:p>
      <w:pPr>
        <w:spacing w:after="0" w:line="202"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225"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right="300" w:firstLine="518"/>
        <w:spacing w:after="0" w:line="297"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a fund targeting significant noncontrolling-stake investments in established private companies and (iii) until the second quarter of 2017, a mezzanine fund (the “Mezzanine Fund”), which invests in mezzanine debt of a diversified selection of small- to mid-cap European companies. Lazard sold its interest in the Mezzanine Fund in May 2017.</w:t>
      </w:r>
    </w:p>
    <w:p>
      <w:pPr>
        <w:spacing w:after="0" w:line="158"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During the three month and six month periods ended June 30, 2017 and 2016, the Company reported in “revenue-other” on its condensed consolidated statements of operations net unrealized investment gains and losses pertaining to “trading” securities still held as of the reporting date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80" w:type="dxa"/>
            <w:vAlign w:val="bottom"/>
            <w:gridSpan w:val="4"/>
          </w:tcPr>
          <w:p>
            <w:pPr>
              <w:jc w:val="center"/>
              <w:ind w:left="267"/>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investment gains</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84"/>
              </w:rPr>
              <w:t>7,803</w:t>
            </w: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20,983</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1040" w:right="240" w:hanging="1025"/>
        <w:spacing w:after="0" w:line="277" w:lineRule="auto"/>
        <w:tabs>
          <w:tab w:leader="none" w:pos="10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62" w:lineRule="exact"/>
        <w:rPr>
          <w:sz w:val="20"/>
          <w:szCs w:val="20"/>
          <w:color w:val="auto"/>
        </w:rPr>
      </w:pPr>
    </w:p>
    <w:p>
      <w:pPr>
        <w:ind w:left="1040" w:right="500" w:hanging="1025"/>
        <w:spacing w:after="0" w:line="264" w:lineRule="auto"/>
        <w:tabs>
          <w:tab w:leader="none" w:pos="102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1040" w:right="140" w:hanging="1025"/>
        <w:spacing w:after="0" w:line="257" w:lineRule="auto"/>
        <w:tabs>
          <w:tab w:leader="none" w:pos="10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8"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ind w:right="560" w:firstLine="518"/>
        <w:spacing w:after="0" w:line="293" w:lineRule="auto"/>
        <w:rPr>
          <w:sz w:val="20"/>
          <w:szCs w:val="20"/>
          <w:color w:val="auto"/>
        </w:rPr>
      </w:pPr>
      <w:r>
        <w:rPr>
          <w:rFonts w:ascii="Arial" w:cs="Arial" w:eastAsia="Arial" w:hAnsi="Arial"/>
          <w:sz w:val="16"/>
          <w:szCs w:val="16"/>
          <w:color w:val="auto"/>
        </w:rPr>
        <w:t>The fair value of the contingent consideration liability is classified as Level 3 and the estimated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costs” in the condensed consolidated statement of operations. Our business acquisitions may involve the potential payment of contingent consideration upon the achievement of certain performance thresholds. The contingent consideration liability is initially recorded at the estimated fair value of the contingent payments on the acquisition date and is included in “other liabilities” on the condensed consolidated statements of financial condition. See Note 10.</w:t>
      </w:r>
    </w:p>
    <w:p>
      <w:pPr>
        <w:spacing w:after="0" w:line="16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w:t>
      </w:r>
    </w:p>
    <w:p>
      <w:pPr>
        <w:spacing w:after="0" w:line="193"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47"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The following tables present, as of June 30, 2017 and December 31, 2016, the classification of (i) investments and certain other assets and liabilities measured at fair value on a recurring basis within the fair value hierarchy and (ii) investments measured at NAV or its equivalent as a practical expedient: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2017</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43,065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86,287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185,987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186,034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79,036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330,994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86,898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423,559</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4,527</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176,300</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176,300</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122,421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122,421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327,645</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129,591</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460,737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4,482</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22,608</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three month and six month periods ended June 30, 2017 and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3"/>
              </w:rPr>
              <w:t>Three Months Ended June 30, 2017</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Net Unrealized/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108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Sales/</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98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3"/>
              </w:rPr>
              <w:t>Earnings (a)</w:t>
            </w:r>
          </w:p>
        </w:tc>
        <w:tc>
          <w:tcPr>
            <w:tcW w:w="1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Acquisitions</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Dispositions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25,104</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w w:val="92"/>
              </w:rPr>
              <w:t>Six Months Ended June 30, 2017</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3"/>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108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Sales/</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98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3"/>
              </w:rPr>
              <w:t>Earnings (a)</w:t>
            </w:r>
          </w:p>
        </w:tc>
        <w:tc>
          <w:tcPr>
            <w:tcW w:w="1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Acquisitions</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Dispositions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vMerge w:val="restart"/>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1,508</w:t>
            </w:r>
          </w:p>
        </w:tc>
        <w:tc>
          <w:tcPr>
            <w:tcW w:w="2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22,608</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3"/>
              </w:rPr>
              <w:t>Three Months Ended June 30, 2016</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3"/>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108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Sales/</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98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3"/>
              </w:rPr>
              <w:t>Earnings (a)</w:t>
            </w:r>
          </w:p>
        </w:tc>
        <w:tc>
          <w:tcPr>
            <w:tcW w:w="1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Acquisitions</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Dispositions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w w:val="92"/>
              </w:rPr>
              <w:t>Six Months Ended June 30, 2016</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3"/>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108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Sales/</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98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3"/>
              </w:rPr>
              <w:t>Earnings (a)</w:t>
            </w:r>
          </w:p>
        </w:tc>
        <w:tc>
          <w:tcPr>
            <w:tcW w:w="1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Acquisitions</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Dispositions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8" w:name="page19"/>
    <w:bookmarkEnd w:id="1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2090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39" w:lineRule="exact"/>
        <w:rPr>
          <w:sz w:val="20"/>
          <w:szCs w:val="20"/>
          <w:color w:val="auto"/>
        </w:rPr>
      </w:pPr>
    </w:p>
    <w:p>
      <w:pPr>
        <w:ind w:left="380" w:right="20" w:hanging="372"/>
        <w:spacing w:after="0" w:line="259"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three month and six month periods ended June 30, 2017 and the three month and six month periods ended June 30, 2016 include net unrealized gains (losses) of $(128), $(128), $2 and $5, respectively. Earnings recorded in “amortization and other acquisition-related costs” for the contingent consideration liability for the three month and six month periods ended June 30, 2017 includes unrealized losses of $435 and $3,180, respectively.</w:t>
      </w:r>
    </w:p>
    <w:p>
      <w:pPr>
        <w:spacing w:after="0" w:line="200"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six month periods ended June 30, 2017 and 2016. Certain investments that were valued at NAV as of December 31, 2016 were transferred to Level 2 from the NAV category in the six months ended June 30, 2017, as these investments were valued based on a probable transaction value as of the reporting date that differs from NAV. Such investments were sold in the second quarter of 2017.</w:t>
      </w:r>
    </w:p>
    <w:p>
      <w:pPr>
        <w:spacing w:after="0" w:line="18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tables present, at June 30, 2017 and December 31, 2016,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June 30, 2017</w:t>
            </w: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60" w:type="dxa"/>
            <w:vAlign w:val="bottom"/>
            <w:tcBorders>
              <w:top w:val="single" w:sz="8" w:color="auto"/>
            </w:tcBorders>
            <w:vMerge w:val="restart"/>
          </w:tcPr>
          <w:p>
            <w:pPr>
              <w:jc w:val="center"/>
              <w:ind w:right="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46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1060" w:type="dxa"/>
            <w:vAlign w:val="bottom"/>
          </w:tcPr>
          <w:p>
            <w:pPr>
              <w:jc w:val="right"/>
              <w:ind w:right="402"/>
              <w:spacing w:after="0" w:line="149" w:lineRule="exact"/>
              <w:rPr>
                <w:sz w:val="20"/>
                <w:szCs w:val="20"/>
                <w:color w:val="auto"/>
              </w:rPr>
            </w:pPr>
            <w:r>
              <w:rPr>
                <w:rFonts w:ascii="Arial" w:cs="Arial" w:eastAsia="Arial" w:hAnsi="Arial"/>
                <w:sz w:val="14"/>
                <w:szCs w:val="14"/>
                <w:b w:val="1"/>
                <w:bCs w:val="1"/>
                <w:color w:val="auto"/>
              </w:rPr>
              <w:t>5-10</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6,717</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79,036</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9,183</w:t>
            </w:r>
          </w:p>
        </w:tc>
        <w:tc>
          <w:tcPr>
            <w:tcW w:w="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Arial" w:cs="Arial" w:eastAsia="Arial" w:hAnsi="Arial"/>
                <w:sz w:val="16"/>
                <w:szCs w:val="16"/>
                <w:color w:val="auto"/>
              </w:rPr>
              <w:t>100%</w:t>
            </w:r>
          </w:p>
        </w:tc>
        <w:tc>
          <w:tcPr>
            <w:tcW w:w="10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w w:val="93"/>
              </w:rPr>
              <w:t>15%</w:t>
            </w:r>
          </w:p>
        </w:tc>
        <w:tc>
          <w:tcPr>
            <w:tcW w:w="1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w w:val="93"/>
              </w:rPr>
              <w:t>39%</w:t>
            </w:r>
          </w:p>
        </w:tc>
        <w:tc>
          <w:tcPr>
            <w:tcW w:w="12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w w:val="93"/>
              </w:rPr>
              <w:t>46%</w:t>
            </w:r>
          </w:p>
        </w:tc>
        <w:tc>
          <w:tcPr>
            <w:tcW w:w="12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86,898</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9,183</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weekly (53%), monthly (1%) and quarterly (46%)</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monthly (97%) and quarterly (3%)</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daily (18%), monthly (51%) and quarterly (31%)</w:t>
      </w:r>
    </w:p>
    <w:p>
      <w:pPr>
        <w:spacing w:after="0" w:line="9"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$6,904 are excluded. Such commitments are required to be funded by capital contributions from noncontrolling interest holders.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December 31, 2016</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35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7"/>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Next</w:t>
            </w: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Years</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6,190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160" w:type="dxa"/>
            <w:vAlign w:val="bottom"/>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90,824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9,183</w:t>
            </w:r>
          </w:p>
        </w:tc>
        <w:tc>
          <w:tcPr>
            <w:tcW w:w="400" w:type="dxa"/>
            <w:vAlign w:val="bottom"/>
          </w:tcPr>
          <w:p>
            <w:pPr>
              <w:ind w:left="100"/>
              <w:spacing w:after="0"/>
              <w:rPr>
                <w:sz w:val="20"/>
                <w:szCs w:val="20"/>
                <w:color w:val="auto"/>
              </w:rPr>
            </w:pPr>
            <w:r>
              <w:rPr>
                <w:rFonts w:ascii="Arial" w:cs="Arial" w:eastAsia="Arial" w:hAnsi="Arial"/>
                <w:sz w:val="16"/>
                <w:szCs w:val="16"/>
                <w:color w:val="auto"/>
              </w:rPr>
              <w:t>(f)</w:t>
            </w:r>
          </w:p>
        </w:tc>
        <w:tc>
          <w:tcPr>
            <w:tcW w:w="1160" w:type="dxa"/>
            <w:vAlign w:val="bottom"/>
            <w:gridSpan w:val="2"/>
          </w:tcPr>
          <w:p>
            <w:pPr>
              <w:ind w:left="640"/>
              <w:spacing w:after="0"/>
              <w:rPr>
                <w:sz w:val="20"/>
                <w:szCs w:val="20"/>
                <w:color w:val="auto"/>
              </w:rPr>
            </w:pPr>
            <w:r>
              <w:rPr>
                <w:rFonts w:ascii="Arial" w:cs="Arial" w:eastAsia="Arial" w:hAnsi="Arial"/>
                <w:sz w:val="16"/>
                <w:szCs w:val="16"/>
                <w:color w:val="auto"/>
              </w:rPr>
              <w:t>100%</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55%</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Mezzanine debt</w:t>
            </w: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31,597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100%</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7"/>
        </w:trPr>
        <w:tc>
          <w:tcPr>
            <w:tcW w:w="2160" w:type="dxa"/>
            <w:vAlign w:val="bottom"/>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129,591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9,183</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3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weekly (73%), monthly (2%) and quarterly (25%)</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(7%) and monthly (93%)</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(19%), monthly (50%) and quarterly (31%)</w:t>
      </w:r>
    </w:p>
    <w:p>
      <w:pPr>
        <w:spacing w:after="0" w:line="9"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$6,886 are excluded. Such commitments are required to be funded by capital contributions from noncontrolling interest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-979805</wp:posOffset>
            </wp:positionV>
            <wp:extent cx="12090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64"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June 30, 2017,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$8,613.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37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12) on the accompanying condensed consolidated statements of financial condition as of June 30, 2017 and December 31, 2016:</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454"/>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2,595</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2,694</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9,043</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167,958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176,300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182,223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2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ind w:left="520" w:right="6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$413 and $6,061 as of June 30, 2017, respectively, and $357 and $9,400 as of December 31, 2016, respectively, for contracts with the same counterparty 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legally enforceable master netting agreements. Such amounts are recorded “net” in “other assets”, with receivables for net cash collateral under such contracts of $14,686 and $16,996 as of June 30, 2017 and December 31, 2016, respectively.</w:t>
      </w:r>
    </w:p>
    <w:p>
      <w:pPr>
        <w:spacing w:after="0" w:line="170"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six month periods ended June 30, 2017 and 2016,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(6,630)</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(5,753)</w:t>
            </w:r>
          </w:p>
        </w:tc>
        <w:tc>
          <w:tcPr>
            <w:tcW w:w="7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(13,106)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(3,597)</w:t>
            </w: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(763)</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(8,982)</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(1,462)</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(15,980)</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(629)</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June 30, 2017 and December 31, 2016, property consisted of the following:</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172,823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175,810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182,474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507,381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495,022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307,080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286,001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200,301</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209,021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June 30, 2017 and December 31, 2016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381,902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373,117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7,314</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389,216</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382,024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At June 30, 2017 and December 31, 2016, goodwill of $317,361 and $308,576, respectively, was attributable to the Company’s Financial Advisory segment and, at each such respective date, $64,541 of goodwill was attributable to the Company’s Asset Management segment.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six month periods ended June 30, 2017 and 2016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00" w:type="dxa"/>
            <w:vAlign w:val="bottom"/>
            <w:tcBorders>
              <w:bottom w:val="single" w:sz="8" w:color="CFF0FC"/>
            </w:tcBorders>
          </w:tcPr>
          <w:p>
            <w:pPr>
              <w:spacing w:after="0"/>
              <w:rPr>
                <w:sz w:val="13"/>
                <w:szCs w:val="13"/>
                <w:color w:val="auto"/>
              </w:rPr>
            </w:pPr>
          </w:p>
        </w:tc>
        <w:tc>
          <w:tcPr>
            <w:tcW w:w="25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25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373,117</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320,761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currency translation adjustments</w:t>
            </w:r>
          </w:p>
        </w:tc>
        <w:tc>
          <w:tcPr>
            <w:tcW w:w="25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8,785</w:t>
            </w:r>
          </w:p>
        </w:tc>
        <w:tc>
          <w:tcPr>
            <w:tcW w:w="2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w:t>
            </w:r>
          </w:p>
        </w:tc>
        <w:tc>
          <w:tcPr>
            <w:tcW w:w="25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381,902</w:t>
            </w:r>
          </w:p>
        </w:tc>
        <w:tc>
          <w:tcPr>
            <w:tcW w:w="2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322,939</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540" w:type="dxa"/>
            <w:vAlign w:val="bottom"/>
            <w:vMerge w:val="restart"/>
          </w:tcPr>
          <w:p>
            <w:pPr>
              <w:jc w:val="right"/>
              <w:ind w:right="1510"/>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 w:name="page22"/>
    <w:bookmarkEnd w:id="2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6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All changes in the carrying amount of goodwill for the six month periods ended June 30, 2017 and 2016 are attributable to the Company’s Financial Advisory segment.</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June 30, 2017 and December 31, 2016,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Success/performance fees</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28,536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35,259</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26,984</w:t>
            </w:r>
          </w:p>
        </w:tc>
        <w:tc>
          <w:tcPr>
            <w:tcW w:w="18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33,739</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33,235</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33,728</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33,096</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69,085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61,771</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68,987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60,080</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80" w:firstLine="380"/>
        <w:spacing w:after="0" w:line="286" w:lineRule="auto"/>
        <w:rPr>
          <w:sz w:val="20"/>
          <w:szCs w:val="20"/>
          <w:color w:val="auto"/>
        </w:rPr>
      </w:pPr>
      <w:r>
        <w:rPr>
          <w:rFonts w:ascii="Arial" w:cs="Arial" w:eastAsia="Arial" w:hAnsi="Arial"/>
          <w:sz w:val="17"/>
          <w:szCs w:val="17"/>
          <w:color w:val="auto"/>
        </w:rPr>
        <w:t>Amortization expense of intangible assets, included in “amortization and other acquisition-related costs” in the condensed consolidated statements of operations, for the three month and six month periods ended June 30, 2017 was $822 and $1,651, respectively, and for the three month and six month periods ended June 30, 2016 was $330 and $974, respectively. Estimated future amortization expense is as follows: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400" w:type="dxa"/>
            <w:vAlign w:val="bottom"/>
            <w:vMerge w:val="restart"/>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gridSpan w:val="3"/>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Expense (a)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2017 (July 1 through December 31)</w:t>
            </w:r>
          </w:p>
        </w:tc>
        <w:tc>
          <w:tcPr>
            <w:tcW w:w="24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6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FF0FC"/>
            </w:tcBorders>
          </w:tcPr>
          <w:p>
            <w:pPr>
              <w:spacing w:after="0"/>
              <w:rPr>
                <w:sz w:val="19"/>
                <w:szCs w:val="19"/>
                <w:color w:val="auto"/>
              </w:rPr>
            </w:pPr>
          </w:p>
        </w:tc>
        <w:tc>
          <w:tcPr>
            <w:tcW w:w="3400" w:type="dxa"/>
            <w:vAlign w:val="bottom"/>
            <w:tcBorders>
              <w:bottom w:val="single" w:sz="8" w:color="CFF0FC"/>
            </w:tcBorders>
          </w:tcPr>
          <w:p>
            <w:pPr>
              <w:spacing w:after="0"/>
              <w:rPr>
                <w:sz w:val="19"/>
                <w:szCs w:val="19"/>
                <w:color w:val="auto"/>
              </w:rPr>
            </w:pPr>
          </w:p>
        </w:tc>
        <w:tc>
          <w:tcPr>
            <w:tcW w:w="2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amortization expense</w:t>
            </w:r>
          </w:p>
        </w:tc>
        <w:tc>
          <w:tcPr>
            <w:tcW w:w="24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60" w:hanging="504"/>
        <w:spacing w:after="0"/>
        <w:tabs>
          <w:tab w:leader="none" w:pos="1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Approximately 29% of intangible asset amortization is attributable to a noncontrolling interest.</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June 30, 2017 and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Outstanding as of</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ind w:left="100"/>
              <w:spacing w:after="0" w:line="155" w:lineRule="exact"/>
              <w:rPr>
                <w:sz w:val="20"/>
                <w:szCs w:val="20"/>
                <w:color w:val="auto"/>
              </w:rPr>
            </w:pPr>
            <w:r>
              <w:rPr>
                <w:rFonts w:ascii="Arial" w:cs="Arial" w:eastAsia="Arial" w:hAnsi="Arial"/>
                <w:sz w:val="14"/>
                <w:szCs w:val="14"/>
                <w:b w:val="1"/>
                <w:bCs w:val="1"/>
                <w:color w:val="auto"/>
              </w:rPr>
              <w:t>June 30, 2017</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6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1"/>
                <w:szCs w:val="11"/>
                <w:color w:val="auto"/>
              </w:rPr>
            </w:pPr>
          </w:p>
        </w:tc>
        <w:tc>
          <w:tcPr>
            <w:tcW w:w="92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Unamortized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78"/>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Rate(a)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78"/>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2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Lazard Group 2020</w:t>
            </w: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7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6"/>
              </w:rPr>
              <w:t>500,000</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496,892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42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496,431</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gridSpan w:val="2"/>
          </w:tcPr>
          <w:p>
            <w:pPr>
              <w:spacing w:after="0"/>
              <w:rPr>
                <w:sz w:val="20"/>
                <w:szCs w:val="20"/>
                <w:color w:val="auto"/>
              </w:rPr>
            </w:pPr>
            <w:r>
              <w:rPr>
                <w:rFonts w:ascii="Arial" w:cs="Arial" w:eastAsia="Arial" w:hAnsi="Arial"/>
                <w:sz w:val="18"/>
                <w:szCs w:val="18"/>
                <w:color w:val="auto"/>
              </w:rPr>
              <w:t>Lazard Group 2025</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140"/>
              <w:spacing w:after="0"/>
              <w:rPr>
                <w:sz w:val="20"/>
                <w:szCs w:val="20"/>
                <w:color w:val="auto"/>
              </w:rPr>
            </w:pPr>
            <w:r>
              <w:rPr>
                <w:rFonts w:ascii="Arial" w:cs="Arial" w:eastAsia="Arial" w:hAnsi="Arial"/>
                <w:sz w:val="18"/>
                <w:szCs w:val="18"/>
                <w:color w:val="auto"/>
              </w:rPr>
              <w:t>Senior Notes</w:t>
            </w:r>
          </w:p>
        </w:tc>
        <w:tc>
          <w:tcPr>
            <w:tcW w:w="700" w:type="dxa"/>
            <w:vAlign w:val="bottom"/>
          </w:tcPr>
          <w:p>
            <w:pPr>
              <w:ind w:left="120"/>
              <w:spacing w:after="0"/>
              <w:rPr>
                <w:sz w:val="20"/>
                <w:szCs w:val="20"/>
                <w:color w:val="auto"/>
              </w:rPr>
            </w:pPr>
            <w:r>
              <w:rPr>
                <w:rFonts w:ascii="Arial" w:cs="Arial" w:eastAsia="Arial" w:hAnsi="Arial"/>
                <w:sz w:val="18"/>
                <w:szCs w:val="18"/>
                <w:color w:val="auto"/>
                <w:w w:val="86"/>
              </w:rPr>
              <w:t>400,000</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396,403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396,167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7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6"/>
              </w:rPr>
              <w:t>300,000</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1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296,194</w:t>
            </w:r>
          </w:p>
        </w:tc>
        <w:tc>
          <w:tcPr>
            <w:tcW w:w="2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3,998</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296,002</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1,200,000</w:t>
            </w: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10,511</w:t>
            </w:r>
          </w:p>
        </w:tc>
        <w:tc>
          <w:tcPr>
            <w:tcW w:w="12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1,189,489</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1,200,000</w:t>
            </w: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1,188,600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right="60" w:hanging="512"/>
        <w:spacing w:after="0" w:line="264"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 interest rates of Lazard Group’s 4.25% senior notes due November 14, 2020 (the “2020 Notes”), Lazard Group’s 3.75% senior notes due February 13, 2025 (the “2025 Notes”) and Lazard Group’s 3.625% senior notes due March 1, 2027 (the “2027 Notes”) are 4.43%, 3.87% and 3.76%, respectively.</w:t>
      </w:r>
    </w:p>
    <w:p>
      <w:pPr>
        <w:spacing w:after="0" w:line="181"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Borrowings under the Amended and Restated Credit Agreement generally will bear interest at LIBOR plus an applicable margin for specific interest periods determined based on Lazard Group’s highest credit rating from an internationally recognized credit agency. At June 30, 2017 and December 31, 2016, no amounts were outstanding under the Amended and Restated Credit Agreement.</w:t>
      </w:r>
    </w:p>
    <w:p>
      <w:pPr>
        <w:spacing w:after="0" w:line="18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June 30, 2017, the Company was in compliance with such provisions. All of the Company’s senior debt obligations are unsecured.</w:t>
      </w:r>
    </w:p>
    <w:p>
      <w:pPr>
        <w:spacing w:after="0" w:line="147"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As of June 30, 2017, the Company had approximately $174,000 in unused lines of credit available to it, including the credit facility provided under the Amended and Restated Credit Agreement, and unused lines of credit available to LFB of approximately $23,000 (at June 30, 2017 exchange rates).</w:t>
      </w:r>
    </w:p>
    <w:p>
      <w:pPr>
        <w:spacing w:after="0" w:line="124"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The Company’s senior debt at June 30, 2017 and December 31, 2016 is carried at historical amounts of $1,189,489 and $1,188,600, respectively. At those dates, the fair value of such senior debt was approximately $1,240,000 and $1,204,000, respectively. The fair value of the Company’s senior debt is based on market quotations. The Company’s senior debt would be categorized within Level 2 of the hierarchy of fair value measurements if carried at fair value.</w:t>
      </w:r>
    </w:p>
    <w:p>
      <w:pPr>
        <w:spacing w:after="0" w:line="376"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w:t>
      </w:r>
    </w:p>
    <w:p>
      <w:pPr>
        <w:spacing w:after="0" w:line="22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June 30, 2017, LFB had $3,388 of such indemnifications and held $3,301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b w:val="1"/>
          <w:bCs w:val="1"/>
          <w:i w:val="1"/>
          <w:iCs w:val="1"/>
          <w:color w:val="auto"/>
        </w:rPr>
        <w:t>Business Acquisitions</w:t>
      </w:r>
      <w:r>
        <w:rPr>
          <w:rFonts w:ascii="Arial" w:cs="Arial" w:eastAsia="Arial" w:hAnsi="Arial"/>
          <w:sz w:val="18"/>
          <w:szCs w:val="18"/>
          <w:color w:val="auto"/>
        </w:rPr>
        <w:t>—For businesses acquired in 2016, consideration consists of (i) previously paid one-time cash payments, 60,817 shares of Class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common stock subject to non-compete provisions, and non-contingent interests exchangeable into 204,651 shares of Class A common stock, and (ii) up to 810,742 additional shares of Class A common stock that are subject to certain performance thresholds. As of June 30, 2017, none of the contingent shares had been earned.</w:t>
      </w:r>
    </w:p>
    <w:p>
      <w:pPr>
        <w:spacing w:after="0" w:line="187"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June 30, 2017, LFB and LFNY had no such underwriting commitments.</w:t>
      </w:r>
    </w:p>
    <w:p>
      <w:pPr>
        <w:spacing w:after="0" w:line="18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See Notes 5 and 13 for information regarding commitments relating to investment capital funding commitments and obligations to fund our pension plans, respectively.</w:t>
      </w:r>
    </w:p>
    <w:p>
      <w:pPr>
        <w:spacing w:after="0" w:line="170"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six month period ended June 30, 2017 and since 2014, the Board of Directors of Lazard authorized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of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40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15"/>
              <w:spacing w:after="0"/>
              <w:rPr>
                <w:sz w:val="20"/>
                <w:szCs w:val="20"/>
                <w:color w:val="auto"/>
              </w:rPr>
            </w:pPr>
            <w:r>
              <w:rPr>
                <w:rFonts w:ascii="Arial" w:cs="Arial" w:eastAsia="Arial" w:hAnsi="Arial"/>
                <w:sz w:val="14"/>
                <w:szCs w:val="14"/>
                <w:b w:val="1"/>
                <w:bCs w:val="1"/>
                <w:color w:val="auto"/>
              </w:rPr>
              <w:t>Repurchase</w:t>
            </w:r>
          </w:p>
        </w:tc>
        <w:tc>
          <w:tcPr>
            <w:tcW w:w="2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63"/>
        </w:trPr>
        <w:tc>
          <w:tcPr>
            <w:tcW w:w="300" w:type="dxa"/>
            <w:vAlign w:val="bottom"/>
            <w:tcBorders>
              <w:bottom w:val="single" w:sz="8" w:color="auto"/>
            </w:tcBorders>
            <w:gridSpan w:val="2"/>
            <w:vMerge w:val="continue"/>
          </w:tcPr>
          <w:p>
            <w:pPr>
              <w:spacing w:after="0"/>
              <w:rPr>
                <w:sz w:val="13"/>
                <w:szCs w:val="13"/>
                <w:color w:val="auto"/>
              </w:rPr>
            </w:pPr>
          </w:p>
        </w:tc>
        <w:tc>
          <w:tcPr>
            <w:tcW w:w="3400" w:type="dxa"/>
            <w:vAlign w:val="bottom"/>
            <w:vMerge w:val="continue"/>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w w:val="99"/>
              </w:rPr>
              <w:t>Authorization</w:t>
            </w:r>
          </w:p>
        </w:tc>
        <w:tc>
          <w:tcPr>
            <w:tcW w:w="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April 2014</w:t>
            </w:r>
          </w:p>
        </w:tc>
        <w:tc>
          <w:tcPr>
            <w:tcW w:w="25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2"/>
            <w:vMerge w:val="continue"/>
            <w:shd w:val="clear" w:color="auto" w:fill="CFF0FC"/>
          </w:tcPr>
          <w:p>
            <w:pPr>
              <w:spacing w:after="0"/>
              <w:rPr>
                <w:sz w:val="20"/>
                <w:szCs w:val="20"/>
                <w:color w:val="auto"/>
              </w:rPr>
            </w:pPr>
          </w:p>
        </w:tc>
        <w:tc>
          <w:tcPr>
            <w:tcW w:w="2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February 2015</w:t>
            </w:r>
          </w:p>
        </w:tc>
        <w:tc>
          <w:tcPr>
            <w:tcW w:w="2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2016</w:t>
            </w:r>
          </w:p>
        </w:tc>
        <w:tc>
          <w:tcPr>
            <w:tcW w:w="2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April 2016</w:t>
            </w:r>
          </w:p>
        </w:tc>
        <w:tc>
          <w:tcPr>
            <w:tcW w:w="2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113,182</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November 2016</w:t>
            </w:r>
          </w:p>
        </w:tc>
        <w:tc>
          <w:tcPr>
            <w:tcW w:w="2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Company expects that the share repurchase program will primarily be used to offset a portion of the shares that have been or will be issued under 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Price Per</w:t>
            </w:r>
          </w:p>
        </w:tc>
      </w:tr>
      <w:tr>
        <w:trPr>
          <w:trHeight w:val="176"/>
        </w:trPr>
        <w:tc>
          <w:tcPr>
            <w:tcW w:w="628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Six Months Ended June 30:</w:t>
            </w:r>
          </w:p>
        </w:tc>
        <w:tc>
          <w:tcPr>
            <w:tcW w:w="12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Purchased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4"/>
              </w:rPr>
              <w:t>Share</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900" w:type="dxa"/>
            <w:vAlign w:val="bottom"/>
            <w:tcBorders>
              <w:top w:val="single" w:sz="8" w:color="auto"/>
              <w:bottom w:val="single" w:sz="8" w:color="CFF0FC"/>
            </w:tcBorders>
          </w:tcPr>
          <w:p>
            <w:pPr>
              <w:spacing w:after="0" w:line="20" w:lineRule="exact"/>
              <w:rPr>
                <w:sz w:val="1"/>
                <w:szCs w:val="1"/>
                <w:color w:val="auto"/>
              </w:rPr>
            </w:pPr>
          </w:p>
        </w:tc>
        <w:tc>
          <w:tcPr>
            <w:tcW w:w="436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4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5,646,092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2017</w:t>
            </w:r>
          </w:p>
        </w:tc>
        <w:tc>
          <w:tcPr>
            <w:tcW w:w="4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4,268,479</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43.32</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During the six month periods ended June 30, 2017 and 2016, certain of our executive officers received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Class A common stock from the executive officers equal in value to all or a portion of the estimated amount of such tax. In addition, during the six month periods ended June 30, 2017 and 2016, the Company purchased shares of Class A common stock from an executive officer. The aggregate value of all such purchases during the six month periods ended June 30, 2017 and 2016 was approximately $14,700 and $4,900, respectively.</w:t>
      </w:r>
    </w:p>
    <w:p>
      <w:pPr>
        <w:spacing w:after="0" w:line="17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As of June 30, 2017, a total of $170,234 of share repurchase authorization remained available under the Company’s share repurchase program, which will expire on December 31, 2018.</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During the six month period ended June 30, 2017, the Company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—Lazard Ltd has 15,000,000 authorized shares of preferred stock, par value $0.01 per share, inclusive of its Series A and Series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Series A and Series B preferred shares were issued in connection with certain prior year business acquisitions and were each non-participating securities convertible into Class A common stock, and had no voting or dividend rights. As of both June 30, 2017 and December 31, 2016, no shares of Series A or Series B preferred stock were outstanding.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Accumulated Other Comprehensive Income (Loss), Net of Tax (“AOCI”)</w:t>
      </w:r>
      <w:r>
        <w:rPr>
          <w:rFonts w:ascii="Arial" w:cs="Arial" w:eastAsia="Arial" w:hAnsi="Arial"/>
          <w:sz w:val="16"/>
          <w:szCs w:val="16"/>
          <w:color w:val="auto"/>
        </w:rPr>
        <w:t>—The tables below reflect the balances of each component of AOCI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2016 and activity during the three month and six month periods then ended: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June 30, 2017</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April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(138,272</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(158,429</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(296,701</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(296,699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(8,609)</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17,558</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17,558</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18,914</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June 30,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(112,105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(165,682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(277,787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(277,785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Six Months Ended June 30, 2017</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January 1, 2017</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(155,204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(159,020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(314,224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(314,222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43,099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(9,104)</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33,995</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2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36,437</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June 30,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(112,105</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(165,682</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(277,787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(277,785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June 30, 2016</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April 1, 2016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(136,028</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(221,573</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(221,572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(16,104)</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(16,579)</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(16,579)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(15,458)</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June 30,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(101,649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(135,382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(237,031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(237,030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5" w:name="page26"/>
    <w:bookmarkEnd w:id="2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3"/>
          </w:tcPr>
          <w:p>
            <w:pPr>
              <w:jc w:val="center"/>
              <w:ind w:right="680"/>
              <w:spacing w:after="0"/>
              <w:rPr>
                <w:sz w:val="20"/>
                <w:szCs w:val="20"/>
                <w:color w:val="auto"/>
              </w:rPr>
            </w:pPr>
            <w:r>
              <w:rPr>
                <w:rFonts w:ascii="Arial" w:cs="Arial" w:eastAsia="Arial" w:hAnsi="Arial"/>
                <w:sz w:val="14"/>
                <w:szCs w:val="14"/>
                <w:b w:val="1"/>
                <w:bCs w:val="1"/>
                <w:color w:val="auto"/>
                <w:w w:val="93"/>
              </w:rPr>
              <w:t>Six Months Ended June 30, 2016</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Employee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2016</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5"/>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AOCI</w:t>
            </w:r>
          </w:p>
        </w:tc>
        <w:tc>
          <w:tcPr>
            <w:tcW w:w="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(97,284)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(137,073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5"/>
              </w:rPr>
              <w:t>(234,357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(234,356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Other comprehensive loss before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(4,365)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(4,981)</w:t>
            </w: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(4,981)</w:t>
            </w:r>
          </w:p>
        </w:tc>
        <w:tc>
          <w:tcPr>
            <w:tcW w:w="0" w:type="dxa"/>
            <w:vAlign w:val="bottom"/>
          </w:tcPr>
          <w:p>
            <w:pPr>
              <w:spacing w:after="0"/>
              <w:rPr>
                <w:sz w:val="1"/>
                <w:szCs w:val="1"/>
                <w:color w:val="auto"/>
              </w:rPr>
            </w:pPr>
          </w:p>
        </w:tc>
      </w:tr>
      <w:tr>
        <w:trPr>
          <w:trHeight w:val="215"/>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2,307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2,307</w:t>
            </w: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(4,365)</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1,691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(2,674)</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June 30, 2016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(101,649</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(135,382</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5"/>
              </w:rPr>
              <w:t>(237,031</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(237,030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3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20" w:type="dxa"/>
            <w:vAlign w:val="bottom"/>
            <w:gridSpan w:val="26"/>
          </w:tcPr>
          <w:p>
            <w:pPr>
              <w:jc w:val="center"/>
              <w:ind w:left="30"/>
              <w:spacing w:after="0"/>
              <w:rPr>
                <w:sz w:val="20"/>
                <w:szCs w:val="20"/>
                <w:color w:val="auto"/>
              </w:rPr>
            </w:pPr>
            <w:r>
              <w:rPr>
                <w:rFonts w:ascii="Arial" w:cs="Arial" w:eastAsia="Arial" w:hAnsi="Arial"/>
                <w:sz w:val="18"/>
                <w:szCs w:val="18"/>
                <w:color w:val="auto"/>
                <w:w w:val="90"/>
              </w:rPr>
              <w:t>The table below reflects adjustments for items reclassified out of AOCI, by component, for the three month and six month periods ended June 30,</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2017 and 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3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w w:val="89"/>
              </w:rPr>
              <w:t>2016</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1,552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1,524</w:t>
            </w:r>
          </w:p>
        </w:tc>
        <w:tc>
          <w:tcPr>
            <w:tcW w:w="2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1,356</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1,121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right="42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Such amounts are included in “compensation and benefits” expense on the condensed consolidated statements of operations.</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w:t>
      </w:r>
    </w:p>
    <w:p>
      <w:pPr>
        <w:spacing w:after="0" w:line="170"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six month periods ended June 30, 2017 and 2016 and noncontrolling interests as of June 30, 2017 and December 31, 2016 in the Company’s condensed consolidated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Net Income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7"/>
          </w:tcPr>
          <w:p>
            <w:pPr>
              <w:jc w:val="center"/>
              <w:ind w:right="166"/>
              <w:spacing w:after="0" w:line="149" w:lineRule="exact"/>
              <w:rPr>
                <w:sz w:val="20"/>
                <w:szCs w:val="20"/>
                <w:color w:val="auto"/>
              </w:rPr>
            </w:pPr>
            <w:r>
              <w:rPr>
                <w:rFonts w:ascii="Arial" w:cs="Arial" w:eastAsia="Arial" w:hAnsi="Arial"/>
                <w:sz w:val="14"/>
                <w:szCs w:val="14"/>
                <w:b w:val="1"/>
                <w:bCs w:val="1"/>
                <w:color w:val="auto"/>
                <w:w w:val="94"/>
              </w:rPr>
              <w:t>Attributable to Noncontrolling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9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2"/>
              </w:rPr>
              <w:t>Interests</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960" w:type="dxa"/>
            <w:vAlign w:val="bottom"/>
          </w:tcPr>
          <w:p>
            <w:pPr>
              <w:spacing w:after="0"/>
              <w:rPr>
                <w:sz w:val="12"/>
                <w:szCs w:val="12"/>
                <w:color w:val="auto"/>
              </w:rPr>
            </w:pPr>
          </w:p>
        </w:tc>
        <w:tc>
          <w:tcPr>
            <w:tcW w:w="2540" w:type="dxa"/>
            <w:vAlign w:val="bottom"/>
            <w:gridSpan w:val="6"/>
          </w:tcPr>
          <w:p>
            <w:pPr>
              <w:jc w:val="right"/>
              <w:ind w:right="541"/>
              <w:spacing w:after="0" w:line="147" w:lineRule="exact"/>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gridSpan w:val="6"/>
          </w:tcPr>
          <w:p>
            <w:pPr>
              <w:ind w:left="20"/>
              <w:spacing w:after="0" w:line="147"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2"/>
                <w:szCs w:val="12"/>
                <w:color w:val="auto"/>
              </w:rPr>
            </w:pPr>
          </w:p>
        </w:tc>
      </w:tr>
      <w:tr>
        <w:trPr>
          <w:trHeight w:val="171"/>
        </w:trPr>
        <w:tc>
          <w:tcPr>
            <w:tcW w:w="59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June 30,</w:t>
            </w: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78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center"/>
              <w:ind w:right="161"/>
              <w:spacing w:after="0" w:line="155"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3,397</w:t>
            </w:r>
          </w:p>
        </w:tc>
        <w:tc>
          <w:tcPr>
            <w:tcW w:w="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3,400</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4,907</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20" w:type="dxa"/>
            <w:vAlign w:val="bottom"/>
            <w:gridSpan w:val="10"/>
          </w:tcPr>
          <w:p>
            <w:pPr>
              <w:ind w:left="160"/>
              <w:spacing w:after="0"/>
              <w:rPr>
                <w:sz w:val="20"/>
                <w:szCs w:val="20"/>
                <w:color w:val="auto"/>
              </w:rPr>
            </w:pPr>
            <w:r>
              <w:rPr>
                <w:rFonts w:ascii="Arial" w:cs="Arial" w:eastAsia="Arial" w:hAnsi="Arial"/>
                <w:sz w:val="14"/>
                <w:szCs w:val="14"/>
                <w:b w:val="1"/>
                <w:bCs w:val="1"/>
                <w:color w:val="auto"/>
              </w:rPr>
              <w:t>Noncontrolling Interests as of</w:t>
            </w:r>
          </w:p>
        </w:tc>
      </w:tr>
      <w:tr>
        <w:trPr>
          <w:trHeight w:val="146"/>
        </w:trPr>
        <w:tc>
          <w:tcPr>
            <w:tcW w:w="5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top w:val="single" w:sz="8" w:color="auto"/>
            </w:tcBorders>
            <w:gridSpan w:val="3"/>
          </w:tcPr>
          <w:p>
            <w:pPr>
              <w:jc w:val="center"/>
              <w:ind w:left="421"/>
              <w:spacing w:after="0" w:line="147" w:lineRule="exact"/>
              <w:rPr>
                <w:sz w:val="20"/>
                <w:szCs w:val="20"/>
                <w:color w:val="auto"/>
              </w:rPr>
            </w:pPr>
            <w:r>
              <w:rPr>
                <w:rFonts w:ascii="Arial" w:cs="Arial" w:eastAsia="Arial" w:hAnsi="Arial"/>
                <w:sz w:val="14"/>
                <w:szCs w:val="14"/>
                <w:b w:val="1"/>
                <w:bCs w:val="1"/>
                <w:color w:val="auto"/>
                <w:w w:val="92"/>
              </w:rPr>
              <w:t>June 30,</w:t>
            </w: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ind w:right="294"/>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spacing w:after="0"/>
              <w:rPr>
                <w:sz w:val="12"/>
                <w:szCs w:val="12"/>
                <w:color w:val="auto"/>
              </w:rPr>
            </w:pPr>
          </w:p>
        </w:tc>
      </w:tr>
      <w:tr>
        <w:trPr>
          <w:trHeight w:val="171"/>
        </w:trPr>
        <w:tc>
          <w:tcPr>
            <w:tcW w:w="596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b w:val="1"/>
                <w:bCs w:val="1"/>
                <w:color w:val="auto"/>
                <w:w w:val="89"/>
              </w:rPr>
              <w:t>2017</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center"/>
              <w:ind w:right="461"/>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59,105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57,238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center"/>
              <w:ind w:right="461"/>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59,687</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57,826</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b w:val="1"/>
          <w:bCs w:val="1"/>
          <w:i w:val="1"/>
          <w:iCs w:val="1"/>
          <w:color w:val="auto"/>
        </w:rPr>
        <w:t>Dividends Declared, July 26, 2017</w:t>
      </w:r>
      <w:r>
        <w:rPr>
          <w:rFonts w:ascii="Arial" w:cs="Arial" w:eastAsia="Arial" w:hAnsi="Arial"/>
          <w:sz w:val="18"/>
          <w:szCs w:val="18"/>
          <w:color w:val="auto"/>
        </w:rPr>
        <w:t>—On July 26, 2017, the Board of Directors of Lazard declared a quarterly dividend of $0.41 per share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payable on August 18, 2017, to stockholders of record on August 7,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 description of Lazard Ltd’s 2008 Plan and 2005 Equity Incentive Plan (the “2005 Plan”) and activity with respect thereto during the three month and six month periods ended June 30, 2017 and 2016 is presented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2008 Plan and 2005 Plan</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2008 Plan authorizes the issuance of shares of Class A common stock pursuant to the grant or exercise of stock options, stock appreciation rights, restricted stock units (“RSUs”), performance-based restricted stock units (“PRSUs”) and other share-based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7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share-based awards. Each RSU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 The 2005 Plan expired in the second quarter of 2015, although unvested awards granted under the 2005 Plan remain outstanding and continue to be subject to its terms.</w:t>
      </w:r>
    </w:p>
    <w:p>
      <w:pPr>
        <w:spacing w:after="0" w:line="188" w:lineRule="exact"/>
        <w:rPr>
          <w:sz w:val="20"/>
          <w:szCs w:val="20"/>
          <w:color w:val="auto"/>
        </w:rPr>
      </w:pPr>
    </w:p>
    <w:p>
      <w:pPr>
        <w:jc w:val="both"/>
        <w:ind w:right="300" w:firstLine="518"/>
        <w:spacing w:after="0" w:line="312" w:lineRule="auto"/>
        <w:rPr>
          <w:sz w:val="20"/>
          <w:szCs w:val="20"/>
          <w:color w:val="auto"/>
        </w:rPr>
      </w:pPr>
      <w:r>
        <w:rPr>
          <w:rFonts w:ascii="Arial" w:cs="Arial" w:eastAsia="Arial" w:hAnsi="Arial"/>
          <w:sz w:val="16"/>
          <w:szCs w:val="16"/>
          <w:color w:val="auto"/>
        </w:rPr>
        <w:t>The following reflects the amortization expense recorded with respect to share-based incentive plans within “compensation and benefits” expense (with respect to RSUs, PRSUs and restricted stock awards) and “professional services” expense (with respect to deferred stock units (“DSUs”)) within the Company’s accompanying condensed consolidated statements of operations for the three month and six month periods ended June 30, 2017 and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RSUs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54,354</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40,564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110,295</w:t>
            </w:r>
          </w:p>
        </w:tc>
        <w:tc>
          <w:tcPr>
            <w:tcW w:w="26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94,972</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13,161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8,342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22,810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31,818</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DSUs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85,474</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60,687</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163,001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155,325</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For purposes of calculating diluted net income per share, RSUs, DSUs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8"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six month periods ended June 30, 2017 and 2016, issuances of RSUs pertaining to such dividend participation rights and respective charges to “retained earnings”, net of estimated forfeitures (with corresponding credits to “additional paid-in-capital”),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8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Number of RSUs issued</w:t>
            </w:r>
          </w:p>
        </w:tc>
        <w:tc>
          <w:tcPr>
            <w:tcW w:w="1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89"/>
              </w:rPr>
              <w:t>739,079</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841,433</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284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31,335</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28,364</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Non-executive members of the Board of Directors (“Non-Executive Directors”) receive approximately 55% of their annual compensation for service on the Board of Directors and its committees in the form of DSUs, which resulted in 31,280 and 38,771 DSUs granted during the six month periods ended June 30, 2017 and 2016,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 purposes of calculating diluted net income per share, are included in the diluted weighted average shares of Class A common stock outstanding using the “treasury stock” method. DSUs include a cash dividend participation right equivalent to dividends paid on Class A common stock.</w:t>
      </w:r>
    </w:p>
    <w:p>
      <w:pPr>
        <w:spacing w:after="0" w:line="165"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six month periods ended June 30, 2017 and 2016, 7,035 and 4,467 DSUs, respectively, had been granted pursuant to such Plan.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2017 and 2016:</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DSUs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11,698,138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739,079 RSUs relating to dividend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5,134,126</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43.07</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38,315</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(92,011)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(3,937,970)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45.36</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(43,465)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12,802,283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271,575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Balance, January 1, 2016</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44.06</w:t>
            </w: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9,599,658</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312,670</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Granted (including 841,433 RSUs relating to dividend</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6,486,463</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34.47</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43,238</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(94,692)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40.75</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(4,233,894)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39.10</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(84,759)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June 30, 2016</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11,757,535</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40.58</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271,149</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In connection with RSUs that vested during the six month periods ended June 30, 2017 and 2016, the Company satisfied its minimum statutory tax withholding requirements in lieu of delivering 1,267,560 and 1,382,153 shares of Class A common stock during such respective six month periods. Accordingly, 2,670,410 and 2,851,741 shares of Class A common stock held by the Company were delivered during the six month periods ended June 30, 2017 and 2016, respectively.</w:t>
      </w:r>
    </w:p>
    <w:p>
      <w:pPr>
        <w:spacing w:after="0" w:line="18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As of June 30, 2017, estimated unrecognized RSU compensation expense was approximately $211,254, with such expense expected to be recognized over a weighted average period of approximately 1.0 year subsequent to June 30, 2017.</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six month periods ended June 30, 2017 and 2016:</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1,655,073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841,355</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(32,568)</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(458,814)</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2017</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2,005,046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2016</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713,738</w:t>
            </w:r>
          </w:p>
        </w:tc>
        <w:tc>
          <w:tcPr>
            <w:tcW w:w="1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1,795,258</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(30,412)</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(729,457)</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Balance, June 30,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1,749,127</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connection with shares of restricted Class A common stock that vested during the six month periods ended June 30, 2017 and 2016, the Company satisfied its minimum statutory tax withholding requirements in lieu of delivering 135,528 and 129,389 shares of Class A common stock during such respective six month periods. Accordingly, 323,286 and 600,068 shares of Class A common stock held by the Company were delivered during the six month periods ended June 30, 2017 and 2016,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restricted stock awards include a cash dividend participation right equivalent to dividends paid on Class A common stock during the period, which will vest concurrently with the underlying restricted stock award. At June 30, 2017, estimated unrecognized restricted stock expense was approximately $42,545, with such expense to be recognized over a weighted average period of approximately 0.9 years subsequent to June 30, 2017.</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six month periods ended June 30, 2017 and 2016:</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1,590,756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458,113</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(825,565)</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80" w:type="dxa"/>
            <w:vAlign w:val="bottom"/>
            <w:gridSpan w:val="3"/>
          </w:tcPr>
          <w:p>
            <w:pPr>
              <w:spacing w:after="0"/>
              <w:rPr>
                <w:sz w:val="20"/>
                <w:szCs w:val="20"/>
                <w:color w:val="auto"/>
              </w:rPr>
            </w:pPr>
            <w:r>
              <w:rPr>
                <w:rFonts w:ascii="Arial" w:cs="Arial" w:eastAsia="Arial" w:hAnsi="Arial"/>
                <w:sz w:val="18"/>
                <w:szCs w:val="18"/>
                <w:color w:val="auto"/>
              </w:rPr>
              <w:t>Balance, June 30,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1,223,304</w:t>
            </w:r>
          </w:p>
        </w:tc>
        <w:tc>
          <w:tcPr>
            <w:tcW w:w="120" w:type="dxa"/>
            <w:vAlign w:val="bottom"/>
          </w:tcPr>
          <w:p>
            <w:pPr>
              <w:spacing w:after="0"/>
              <w:rPr>
                <w:sz w:val="22"/>
                <w:szCs w:val="22"/>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40.86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1,019,038</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44.49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627,956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(417,018)</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spacing w:after="0"/>
              <w:rPr>
                <w:sz w:val="20"/>
                <w:szCs w:val="20"/>
                <w:color w:val="auto"/>
              </w:rPr>
            </w:pPr>
            <w:r>
              <w:rPr>
                <w:rFonts w:ascii="Arial" w:cs="Arial" w:eastAsia="Arial" w:hAnsi="Arial"/>
                <w:sz w:val="18"/>
                <w:szCs w:val="18"/>
                <w:color w:val="auto"/>
              </w:rPr>
              <w:t>Balance, June 30,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1,229,976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60" w:hanging="518"/>
        <w:spacing w:after="0"/>
        <w:tabs>
          <w:tab w:leader="none" w:pos="1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239"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connection with certain PRSUs that vested or were settled during the six month periods ended June 30, 2017 and 2016, the Company satisfied its minimum statutory tax withholding requirements in lieu of delivering 126,264 and 64,169 shares of Class A common stock during such respective six month periods. Accordingly, 699,301 and 352,849 shares of Class A common stock held by the Company were delivered during the six month periods ended June 30, 2017 and 2016, respectively.</w:t>
      </w:r>
    </w:p>
    <w:p>
      <w:pPr>
        <w:spacing w:after="0" w:line="187"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June 30, 2017, the total estimated unrecognized compensation expense was approximately $13,089, and the Company expects to amortize such expense over a weighted-average period of approximately 0.9 years subsequent to June 30, 2017.</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jc w:val="both"/>
        <w:ind w:right="340" w:firstLine="518"/>
        <w:spacing w:after="0" w:line="264" w:lineRule="auto"/>
        <w:rPr>
          <w:sz w:val="20"/>
          <w:szCs w:val="20"/>
          <w:color w:val="auto"/>
        </w:rPr>
      </w:pPr>
      <w:r>
        <w:rPr>
          <w:rFonts w:ascii="Arial" w:cs="Arial" w:eastAsia="Arial" w:hAnsi="Arial"/>
          <w:sz w:val="18"/>
          <w:szCs w:val="18"/>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0" w:name="page31"/>
    <w:bookmarkEnd w:id="3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activity relating to LFI and other similar deferred compensation arrangements during the six 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2016:</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(95,633)</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(585)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(39,503)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June 30, 2017</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88,084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51,871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(68,628)</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(704)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(37,890)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(873)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June 30, 2016</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88,107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1.0 year subsequent to June 30, 2017.</w:t>
      </w:r>
    </w:p>
    <w:p>
      <w:pPr>
        <w:spacing w:after="0" w:line="170"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six month periods ended June 30, 2017 and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41,293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13,106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(2,202)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1" w:name="page32"/>
    <w:bookmarkEnd w:id="3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until December 2016, in the U.S., a partially funded contributory medical post-retirement plan covering certain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5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8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and six month periods ended June 30, 2017 and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w w:val="96"/>
              </w:rPr>
              <w:t>Medical Plan</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3"/>
              </w:rPr>
              <w:t>Three Months Ended June 30,</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9"/>
                <w:szCs w:val="19"/>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5,246</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(6,455)</w:t>
            </w:r>
          </w:p>
        </w:tc>
        <w:tc>
          <w:tcPr>
            <w:tcW w:w="3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(7,233)</w:t>
            </w: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604</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w w:val="96"/>
              </w:rPr>
              <w:t>Medical Plan</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36"/>
              <w:spacing w:after="0" w:line="155" w:lineRule="exact"/>
              <w:rPr>
                <w:sz w:val="20"/>
                <w:szCs w:val="20"/>
                <w:color w:val="auto"/>
              </w:rPr>
            </w:pPr>
            <w:r>
              <w:rPr>
                <w:rFonts w:ascii="Arial" w:cs="Arial" w:eastAsia="Arial" w:hAnsi="Arial"/>
                <w:sz w:val="14"/>
                <w:szCs w:val="14"/>
                <w:b w:val="1"/>
                <w:bCs w:val="1"/>
                <w:color w:val="auto"/>
                <w:w w:val="97"/>
              </w:rPr>
              <w:t>Six Months Ended June 30,</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621</w:t>
            </w:r>
          </w:p>
        </w:tc>
        <w:tc>
          <w:tcPr>
            <w:tcW w:w="240" w:type="dxa"/>
            <w:vAlign w:val="bottom"/>
          </w:tcPr>
          <w:p>
            <w:pPr>
              <w:spacing w:after="0"/>
              <w:rPr>
                <w:sz w:val="19"/>
                <w:szCs w:val="19"/>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10,459</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(12,560)</w:t>
            </w:r>
          </w:p>
        </w:tc>
        <w:tc>
          <w:tcPr>
            <w:tcW w:w="3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(14,399)</w:t>
            </w: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1,194</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(904)</w:t>
            </w:r>
          </w:p>
        </w:tc>
        <w:tc>
          <w:tcPr>
            <w:tcW w:w="24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vMerge w:val="continue"/>
          </w:tcPr>
          <w:p>
            <w:pPr>
              <w:spacing w:after="0"/>
              <w:rPr>
                <w:sz w:val="19"/>
                <w:szCs w:val="19"/>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88" w:lineRule="exact"/>
        <w:rPr>
          <w:sz w:val="20"/>
          <w:szCs w:val="20"/>
          <w:color w:val="auto"/>
        </w:rPr>
      </w:pPr>
    </w:p>
    <w:p>
      <w:pPr>
        <w:ind w:right="220" w:firstLine="518"/>
        <w:spacing w:after="0" w:line="291" w:lineRule="auto"/>
        <w:rPr>
          <w:sz w:val="20"/>
          <w:szCs w:val="20"/>
          <w:color w:val="auto"/>
        </w:rPr>
      </w:pPr>
      <w:r>
        <w:rPr>
          <w:rFonts w:ascii="Arial" w:cs="Arial" w:eastAsia="Arial" w:hAnsi="Arial"/>
          <w:sz w:val="16"/>
          <w:szCs w:val="16"/>
          <w:color w:val="auto"/>
        </w:rPr>
        <w:t>The Company recorded income tax provisions of $51,600 and $91,367 for the three month and six month periods ended June 30, 2017, respectively, and $31,872 and $59,526 for the three month and six month periods ended June 30, 2016, respectively, representing effective tax rates of 29.9%, 28.3%,</w:t>
      </w:r>
    </w:p>
    <w:p>
      <w:pPr>
        <w:ind w:right="160"/>
        <w:spacing w:after="0" w:line="255" w:lineRule="auto"/>
        <w:rPr>
          <w:sz w:val="20"/>
          <w:szCs w:val="20"/>
          <w:color w:val="auto"/>
        </w:rPr>
      </w:pPr>
      <w:r>
        <w:rPr>
          <w:rFonts w:ascii="Arial" w:cs="Arial" w:eastAsia="Arial" w:hAnsi="Arial"/>
          <w:sz w:val="18"/>
          <w:szCs w:val="18"/>
          <w:color w:val="auto"/>
        </w:rPr>
        <w:t>28.1% and 28.1%, respectively. The difference between the U.S. federal statutory rate of 35.0% and the effective tax rates reflected above principally relates to (i) taxes payable to foreign jurisdictions that are not offset against U.S. income taxes, (ii) foreign source income (loss) not subject to U.S. income taxes (including interest on intercompany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financings), (iii) change in the U.S. federal valuation allowance affecting the provision for income taxes, (iv) excess net tax benefit for share-based incentive compensation, and (v) U.S. state and local taxes, which are incremental to the U.S. federal statutory tax rate.</w:t>
      </w:r>
    </w:p>
    <w:p>
      <w:pPr>
        <w:spacing w:after="0" w:line="170"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On January 1, 2017, the Company adopted new accounting guidance on share-based incentive compensation. As a result of the adoption of this new guidance, the Company recognized excess tax benefits of $8,269 from the vesting of share-based incentive compensation in the provision for income taxes in the condensed consolidated statements of operations for the six month period ended June 30, 2017. The Company also recorded deferred tax assets of $81,544, net of a valuation allowance of $12,090, as of January 1, 2017, for previously unrecognized excess tax benefits (including tax benefits from dividends or dividend equivalents) on share-based incentive compensation, with an offsetting adjustment to retained earnings. See Note 2 for further information on the adoption of this new guidance.</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The Company provides for U.S. income taxes on a current basis for those earnings. The repatriation of prior earnings attributable to “non-pass-through” entities would not result in the recognition of a material amount of additional U.S. income taxes.</w:t>
      </w:r>
    </w:p>
    <w:p>
      <w:pPr>
        <w:spacing w:after="0" w:line="370"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The Company’s basic and diluted net income per share calculations for the three month and six month periods ended June 30, 2017 and 2016 are computed as described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w:t>
      </w:r>
    </w:p>
    <w:p>
      <w:pPr>
        <w:spacing w:after="0" w:line="225"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periods, plus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to such shares associated with shares of Class A common stock issuable on a non-contingent basis.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attributable to Lazard Ltd for the respective periods as in the basic net income per share calculation described above.</w:t>
      </w:r>
    </w:p>
    <w:p>
      <w:pPr>
        <w:spacing w:after="0" w:line="24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periods as in the basic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per share calculation described above, plus, to the extent dilutive, the incremental number of shares of Class A common stock required to settle share-based incentive compensation.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3" w:name="page34"/>
    <w:bookmarkEnd w:id="3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three month and six month periods ended June 30, 2017 and 2016 are presented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50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Lazard Ltd - basic</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120,378</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80,357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227,931</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120,378</w:t>
            </w:r>
          </w:p>
        </w:tc>
        <w:tc>
          <w:tcPr>
            <w:tcW w:w="2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80,357</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227,931</w:t>
            </w:r>
          </w:p>
        </w:tc>
        <w:tc>
          <w:tcPr>
            <w:tcW w:w="26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147,180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number of shares of Class A common</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outstanding</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122,085,842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125,389,937</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122,308,531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125,679,184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Add - adjustment for shares of Class A common stock</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issuable on a non-contingent basis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282,308</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72,011</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283,125</w:t>
            </w:r>
          </w:p>
        </w:tc>
        <w:tc>
          <w:tcPr>
            <w:tcW w:w="2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of Class A common</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outstanding - basic</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122,368,150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125,461,948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122,591,656</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125,751,195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number of incremental shares of Class A</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issuable from share-based</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incentive compensation</w:t>
            </w: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9,771,466</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6,879,574</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9,822,840</w:t>
            </w:r>
          </w:p>
        </w:tc>
        <w:tc>
          <w:tcPr>
            <w:tcW w:w="2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6,865,208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Weighted average number of shares of Class A common stock</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outstanding - diluted</w:t>
            </w: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132,139,616</w:t>
            </w:r>
          </w:p>
        </w:tc>
        <w:tc>
          <w:tcPr>
            <w:tcW w:w="24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132,341,522</w:t>
            </w:r>
          </w:p>
        </w:tc>
        <w:tc>
          <w:tcPr>
            <w:tcW w:w="24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132,414,496</w:t>
            </w:r>
          </w:p>
        </w:tc>
        <w:tc>
          <w:tcPr>
            <w:tcW w:w="26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132,616,403</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Lazard Ltd per share of Class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 common stock:</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0.98</w:t>
            </w:r>
          </w:p>
        </w:tc>
        <w:tc>
          <w:tcPr>
            <w:tcW w:w="2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260" w:right="9300" w:hanging="252"/>
        <w:spacing w:after="0" w:line="397" w:lineRule="auto"/>
        <w:tabs>
          <w:tab w:leader="none" w:pos="514" w:val="left"/>
        </w:tabs>
        <w:numPr>
          <w:ilvl w:val="0"/>
          <w:numId w:val="2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RELATED PARTIES Sponsored Funds</w:t>
      </w:r>
    </w:p>
    <w:p>
      <w:pPr>
        <w:spacing w:after="0" w:line="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serves as an investment advisor for certain affiliated investment companies and fund entities and receives management fees and, for the alternative investment funds, performance fees for providing such services. Investment advisory fees relating to such services were $167,382 and $307,959 for the three month and six month periods ended June 30, 2017, respectively, and $124,794 and $243,704 for the three month and six month periods ended June 30, 2016, respectively, and are included in “asset management fees” on the condensed consolidated statements of operations. Of such amounts, $70,069 and $49,944 remained as receivables at June 30, 2017 and December 31, 2016, respectively, and are included in “fees receivable” on the condensed consolidated statements of financial condition.</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780" w:firstLine="518"/>
        <w:spacing w:after="0" w:line="291" w:lineRule="auto"/>
        <w:rPr>
          <w:sz w:val="20"/>
          <w:szCs w:val="20"/>
          <w:color w:val="auto"/>
        </w:rPr>
      </w:pPr>
      <w:r>
        <w:rPr>
          <w:rFonts w:ascii="Arial" w:cs="Arial" w:eastAsia="Arial" w:hAnsi="Arial"/>
          <w:sz w:val="16"/>
          <w:szCs w:val="16"/>
          <w:color w:val="auto"/>
        </w:rPr>
        <w:t>The Second Amended and Restated Tax Receivable Agreement, dated as of October 26, 2015 (the “Amended and Restated Tax Receivable Agreement”), between Lazard and LTBP Trust, a Delaware statutory trust (the “Trust”), provides for the payment by our subsidiaries to the Trust of</w:t>
      </w:r>
    </w:p>
    <w:p>
      <w:pPr>
        <w:ind w:right="60" w:firstLine="8"/>
        <w:spacing w:after="0" w:line="252" w:lineRule="auto"/>
        <w:tabs>
          <w:tab w:leader="none" w:pos="2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approximately 45% of the amount of cash savings, if any, in U.S. federal, state and local income tax or franchise tax that we actually realize as a result of certain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including our executive officers, in proportion to their beneficial interests in the Trust.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certain tangible and intangible assets of Lazard Group attributable to our subsidiaries’ interest in Lazard Group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73" w:lineRule="exact"/>
        <w:rPr>
          <w:sz w:val="20"/>
          <w:szCs w:val="20"/>
          <w:color w:val="auto"/>
        </w:rPr>
      </w:pPr>
    </w:p>
    <w:p>
      <w:pPr>
        <w:ind w:right="20" w:firstLine="560"/>
        <w:spacing w:after="0" w:line="297" w:lineRule="auto"/>
        <w:rPr>
          <w:sz w:val="20"/>
          <w:szCs w:val="20"/>
          <w:color w:val="auto"/>
        </w:rPr>
      </w:pPr>
      <w:r>
        <w:rPr>
          <w:rFonts w:ascii="Arial" w:cs="Arial" w:eastAsia="Arial" w:hAnsi="Arial"/>
          <w:sz w:val="16"/>
          <w:szCs w:val="16"/>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the “provision (benefit) for income taxes”.</w:t>
      </w:r>
    </w:p>
    <w:p>
      <w:pPr>
        <w:spacing w:after="0" w:line="15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as of June 30, 2017 and December 31, 2016 was $512,834 and $513,610, respectively, and is recorded in “tax receivable agreement obligation” on the condensed consolidated statements of financial condition. The balance at June 30, 2017 reflects a payment made under the Amended and Restated Tax Receivable Agreement in the six months ended June 30, 2017 of $776.</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11 for information regarding related party transactions pertaining to shares repurchased from certain of our executive officers.</w:t>
      </w: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firstLine="518"/>
        <w:spacing w:after="0" w:line="24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June 30, 2017, LFNY’s regulatory net capital was $137,797, which exceeded the minimum requirement by $132,594. LFNY’s aggregate indebtedness to net capital ratio was 0.57:1 as of June 30, 2017.</w:t>
      </w:r>
    </w:p>
    <w:p>
      <w:pPr>
        <w:spacing w:after="0" w:line="198"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June 30, 2017, the aggregate regulatory net capital of the U.K. Subsidiaries was $175,791, which exceeded the minimum requirement by $157,587.</w:t>
      </w:r>
    </w:p>
    <w:p>
      <w:pPr>
        <w:spacing w:after="0" w:line="181"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and other clients, and asset-liability management. The investment services activities of the Paris group, exercised through LFB and other subsidiaries of CFLF, primarily LFG (asset management), also are subject to regulation and supervision by the Autorité des Marchés Financiers. At June 30, 2017, the consolidated regulatory net capital of CFLF was $142,142, which exceeded the minimum requirement set for regulatory capital levels by $94,690. In addition, pursuant to the consolidated supervision rules in the European Union, LFB, in particular, as a French credit institution, is required to be supervised by a regulatory body, either in the U.S. or in the European Union. In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March 31, 2017, the regulatory net capital of the combined European regulated group was $158,032, which exceeded the minimum requirement set for regulatory capital levels by $77,775.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5" w:name="page36"/>
    <w:bookmarkEnd w:id="3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2017, for those subsidiaries with regulatory capital requirements, their aggregate net capital was $147,083, which exceeded the minimum required capital by $120,275.</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June 30, 2017, each of these subsidiaries individually was in compliance with its regulatory capital requirements.</w:t>
      </w:r>
    </w:p>
    <w:p>
      <w:pPr>
        <w:spacing w:after="0" w:line="225"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Company’s segment information for the three month and six month periods ended June 30, 2017 and 2016 is prepared using the following methodology:</w:t>
      </w:r>
    </w:p>
    <w:p>
      <w:pPr>
        <w:spacing w:after="0" w:line="62" w:lineRule="exact"/>
        <w:rPr>
          <w:sz w:val="20"/>
          <w:szCs w:val="20"/>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900" w:right="46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900" w:right="6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6" w:name="page37"/>
    <w:bookmarkEnd w:id="3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7"/>
          </w:tcPr>
          <w:p>
            <w:pPr>
              <w:ind w:left="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w w:val="96"/>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24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359"/>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156"/>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410,882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286,965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746,694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552,979</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313,719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233,727</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576,470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460,805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97,163</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53,238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170,224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92,174</w:t>
            </w:r>
          </w:p>
        </w:tc>
        <w:tc>
          <w:tcPr>
            <w:tcW w:w="120" w:type="dxa"/>
            <w:vAlign w:val="bottom"/>
            <w:shd w:val="clear" w:color="auto" w:fill="CFF0FC"/>
          </w:tcPr>
          <w:p>
            <w:pPr>
              <w:spacing w:after="0"/>
              <w:rPr>
                <w:sz w:val="19"/>
                <w:szCs w:val="19"/>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309,878</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254,126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593,241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499,885</w:t>
            </w:r>
          </w:p>
        </w:tc>
        <w:tc>
          <w:tcPr>
            <w:tcW w:w="12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215,901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182,702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404,652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357,863</w:t>
            </w:r>
          </w:p>
        </w:tc>
        <w:tc>
          <w:tcPr>
            <w:tcW w:w="120" w:type="dxa"/>
            <w:vAlign w:val="bottom"/>
          </w:tcPr>
          <w:p>
            <w:pPr>
              <w:spacing w:after="0"/>
              <w:rPr>
                <w:sz w:val="20"/>
                <w:szCs w:val="20"/>
                <w:color w:val="auto"/>
              </w:rPr>
            </w:pPr>
          </w:p>
        </w:tc>
      </w:tr>
      <w:tr>
        <w:trPr>
          <w:trHeight w:val="223"/>
        </w:trPr>
        <w:tc>
          <w:tcPr>
            <w:tcW w:w="2460" w:type="dxa"/>
            <w:vAlign w:val="bottom"/>
            <w:tcBorders>
              <w:bottom w:val="single" w:sz="8" w:color="CFF0FC"/>
            </w:tcBorders>
          </w:tcPr>
          <w:p>
            <w:pPr>
              <w:spacing w:after="0"/>
              <w:rPr>
                <w:sz w:val="19"/>
                <w:szCs w:val="19"/>
                <w:color w:val="auto"/>
              </w:rPr>
            </w:pPr>
          </w:p>
        </w:tc>
        <w:tc>
          <w:tcPr>
            <w:tcW w:w="35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93,977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71,424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188,589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142,022</w:t>
            </w:r>
          </w:p>
        </w:tc>
        <w:tc>
          <w:tcPr>
            <w:tcW w:w="120" w:type="dxa"/>
            <w:vAlign w:val="bottom"/>
            <w:tcBorders>
              <w:bottom w:val="single" w:sz="8" w:color="CFF0FC"/>
            </w:tcBorders>
          </w:tcPr>
          <w:p>
            <w:pPr>
              <w:spacing w:after="0"/>
              <w:rPr>
                <w:sz w:val="19"/>
                <w:szCs w:val="19"/>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(6,411)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(19,966)</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5,015</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36,824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(18,639)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(11,426)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(36,115)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(22,583)</w:t>
            </w:r>
          </w:p>
        </w:tc>
        <w:tc>
          <w:tcPr>
            <w:tcW w:w="120" w:type="dxa"/>
            <w:vAlign w:val="bottom"/>
            <w:shd w:val="clear" w:color="auto" w:fill="CFF0FC"/>
          </w:tcPr>
          <w:p>
            <w:pPr>
              <w:spacing w:after="0"/>
              <w:rPr>
                <w:sz w:val="19"/>
                <w:szCs w:val="19"/>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717,180</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534,680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1,340,644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1,032,898</w:t>
            </w:r>
          </w:p>
        </w:tc>
        <w:tc>
          <w:tcPr>
            <w:tcW w:w="12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544,679</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421,444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1,017,946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821,285</w:t>
            </w:r>
          </w:p>
        </w:tc>
        <w:tc>
          <w:tcPr>
            <w:tcW w:w="120" w:type="dxa"/>
            <w:vAlign w:val="bottom"/>
          </w:tcPr>
          <w:p>
            <w:pPr>
              <w:spacing w:after="0"/>
              <w:rPr>
                <w:sz w:val="20"/>
                <w:szCs w:val="20"/>
                <w:color w:val="auto"/>
              </w:rPr>
            </w:pPr>
          </w:p>
        </w:tc>
      </w:tr>
      <w:tr>
        <w:trPr>
          <w:trHeight w:val="223"/>
        </w:trPr>
        <w:tc>
          <w:tcPr>
            <w:tcW w:w="2460" w:type="dxa"/>
            <w:vAlign w:val="bottom"/>
          </w:tcPr>
          <w:p>
            <w:pPr>
              <w:spacing w:after="0"/>
              <w:rPr>
                <w:sz w:val="19"/>
                <w:szCs w:val="19"/>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172,501</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113,236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322,698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211,613</w:t>
            </w:r>
          </w:p>
        </w:tc>
        <w:tc>
          <w:tcPr>
            <w:tcW w:w="120" w:type="dxa"/>
            <w:vAlign w:val="bottom"/>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24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June 30, 2017</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131"/>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120" w:type="dxa"/>
            <w:vAlign w:val="bottom"/>
            <w:tcBorders>
              <w:bottom w:val="single" w:sz="8" w:color="CFF0FC"/>
            </w:tcBorders>
          </w:tcPr>
          <w:p>
            <w:pPr>
              <w:spacing w:after="0"/>
              <w:rPr>
                <w:sz w:val="13"/>
                <w:szCs w:val="13"/>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Financial Advisory</w:t>
            </w: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985,239</w:t>
            </w: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907,035</w:t>
            </w:r>
          </w:p>
        </w:tc>
        <w:tc>
          <w:tcPr>
            <w:tcW w:w="120" w:type="dxa"/>
            <w:vAlign w:val="bottom"/>
          </w:tcPr>
          <w:p>
            <w:pPr>
              <w:spacing w:after="0"/>
              <w:rPr>
                <w:sz w:val="19"/>
                <w:szCs w:val="19"/>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 Management</w:t>
            </w: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624,973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645,653</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CFF0FC"/>
            </w:tcBorders>
          </w:tcPr>
          <w:p>
            <w:pPr>
              <w:spacing w:after="0"/>
              <w:rPr>
                <w:sz w:val="19"/>
                <w:szCs w:val="19"/>
                <w:color w:val="auto"/>
              </w:rPr>
            </w:pPr>
          </w:p>
        </w:tc>
        <w:tc>
          <w:tcPr>
            <w:tcW w:w="34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3,159,550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3,003,820</w:t>
            </w:r>
          </w:p>
        </w:tc>
        <w:tc>
          <w:tcPr>
            <w:tcW w:w="120" w:type="dxa"/>
            <w:vAlign w:val="bottom"/>
            <w:tcBorders>
              <w:bottom w:val="single" w:sz="8" w:color="CFF0FC"/>
            </w:tcBorders>
          </w:tcPr>
          <w:p>
            <w:pPr>
              <w:spacing w:after="0"/>
              <w:rPr>
                <w:sz w:val="19"/>
                <w:szCs w:val="19"/>
                <w:color w:val="auto"/>
              </w:rPr>
            </w:pPr>
          </w:p>
        </w:tc>
      </w:tr>
      <w:tr>
        <w:trPr>
          <w:trHeight w:val="223"/>
        </w:trPr>
        <w:tc>
          <w:tcPr>
            <w:tcW w:w="24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4"/>
              </w:rPr>
              <w:t>4,769,762</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4,556,508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2016 (the “Form 10-K”). All references to “2017,” “2016,” “second quarter,” “first half” or “the period” refer to, as the context requires, the three month and six month periods ended June 30, 2017 and June 30,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9" w:lineRule="exact"/>
        <w:rPr>
          <w:sz w:val="20"/>
          <w:szCs w:val="20"/>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117" w:lineRule="exact"/>
        <w:rPr>
          <w:rFonts w:ascii="Arial" w:cs="Arial" w:eastAsia="Arial" w:hAnsi="Arial"/>
          <w:sz w:val="18"/>
          <w:szCs w:val="18"/>
          <w:color w:val="auto"/>
        </w:rPr>
      </w:pPr>
    </w:p>
    <w:p>
      <w:pPr>
        <w:ind w:left="900" w:right="220" w:hanging="379"/>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goals, including the ratio of awarded compensation and benefits expense to operating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ability to deploy surplus cash through dividends, share repurchases and debt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ability to offset stockholder dilution through share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8" w:name="page39"/>
    <w:bookmarkEnd w:id="38"/>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900" w:right="56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00" w:right="26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225"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our Asset Management business. Investors can link to Lazard Ltd, Lazard Group and their operating company websites through </w:t>
      </w:r>
      <w:r>
        <w:rPr>
          <w:rFonts w:ascii="Arial" w:cs="Arial" w:eastAsia="Arial" w:hAnsi="Arial"/>
          <w:sz w:val="17"/>
          <w:szCs w:val="17"/>
          <w:i w:val="1"/>
          <w:iCs w:val="1"/>
          <w:color w:val="auto"/>
        </w:rPr>
        <w:t>http://www.lazard.com</w:t>
      </w:r>
      <w:r>
        <w:rPr>
          <w:rFonts w:ascii="Arial" w:cs="Arial" w:eastAsia="Arial" w:hAnsi="Arial"/>
          <w:sz w:val="17"/>
          <w:szCs w:val="17"/>
          <w:color w:val="auto"/>
        </w:rPr>
        <w:t>. Our websites and social media sites and the information contained therein or connected thereto shall not be deemed to be incorporated into this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900" w:right="20" w:hanging="379"/>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shareholder advisory, and various other financial matters, and</w:t>
      </w:r>
    </w:p>
    <w:p>
      <w:pPr>
        <w:spacing w:after="0" w:line="73" w:lineRule="exact"/>
        <w:rPr>
          <w:rFonts w:ascii="Arial" w:cs="Arial" w:eastAsia="Arial" w:hAnsi="Arial"/>
          <w:sz w:val="18"/>
          <w:szCs w:val="18"/>
          <w:color w:val="auto"/>
        </w:rPr>
      </w:pPr>
    </w:p>
    <w:p>
      <w:pPr>
        <w:ind w:left="900" w:right="120" w:hanging="379"/>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39" w:name="page40"/>
    <w:bookmarkEnd w:id="39"/>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7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(ii) a fund targeting significant noncontrolling-stake investments in established private companies and (iii) until the second quarter of 2017, a mezzanine fund (the “Mezzanine Fund”), which invests in mezzanine debt of a diversified selection of small- to mid-cap European companies. Lazard sold its interest in the Mezzanine Fund in May 2017.We also make investments to seed our Asset Management strategies.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Equity market indices for developed and emerging markets at June 30, 2017 generally increased as compared to such indices at June 30, 2016 and December 31, 2016. In the global M&amp;A markets during the first half of 2017, the value and number of all completed M&amp;A transactions decreased as compared to the same period in the prior year, as did the subset of such transactions involving values greater than $500 million. During the same time, the value and number of all announced M&amp;A transactions, as well as the value of the subset of such transactions involving values greater than $500 million, also decreased. During the first half of 2017, global restructuring activity, as measured by the number of corporate defaults, decreased as compared to the first half of 2016, primarily due to a lower level of defaults in the commodity sectors.</w:t>
      </w:r>
    </w:p>
    <w:p>
      <w:pPr>
        <w:spacing w:after="0" w:line="178"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On an ongoing basis, regional, macroeconomic and geopolitical factors, including any potential regional tax or regulatory reform, may impact our business. Overall, the global macroeconomic outlook for the near- to mid-term appears positive. The U.S. economy appears to be healthy, and the European economy seems to continue to recover. Corporate cash balances remain high, and interest rates remain low for companies with strong credit ratings. Although market volatility may affect our business from time to time, the longer-term trends appear to remain favorable for both of our businesses.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900" w:right="40" w:hanging="379"/>
        <w:spacing w:after="0" w:line="270"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Financial Advisory</w:t>
      </w:r>
      <w:r>
        <w:rPr>
          <w:rFonts w:ascii="Arial" w:cs="Arial" w:eastAsia="Arial" w:hAnsi="Arial"/>
          <w:sz w:val="17"/>
          <w:szCs w:val="17"/>
          <w:color w:val="auto"/>
        </w:rPr>
        <w:t>—The fundamentals for continued M&amp;A activity appear to remain in place. Although the strength of our Financial Advisory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in the second half of 2016 could make comparisons to future periods more challenging, we believe our Financial Advisory business is in a strong competitive position. Demand continues for expert, independent strategic advice that can be levered across geographies and our range of advisory capabilities. The global scale and breadth of our Financial Advisory business allows us to advise on large, complex cross-border transactions and restructuring transactions across a variety of industries. In addition, we believe our businesses throughout the emerging markets position us for growth in these markets, while enhancing our relationships with, and the services that we can provide to, clients in other economies. In the third quarter of 2016, we expanded our North American Financial Advisory business through the acquisition of an independent financial advisory firm based in Canada. In addition, in October 2016, we acquired the portion of MBA Lazard that we did not previously own, thereby fully integrating our Latin American operations. We believe that these transactions have augmented the strength of our Financial Advisory business throughout the Americas.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ind w:left="900" w:right="20" w:hanging="379"/>
        <w:spacing w:after="0" w:line="270"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Asset Management</w:t>
      </w:r>
      <w:r>
        <w:rPr>
          <w:rFonts w:ascii="Arial" w:cs="Arial" w:eastAsia="Arial" w:hAnsi="Arial"/>
          <w:sz w:val="17"/>
          <w:szCs w:val="17"/>
          <w:color w:val="auto"/>
        </w:rPr>
        <w:t>—In the short to intermediate term, we expect most investor demand will come from defined benefit and defined contribution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slowly expand. Given our diversified investment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Recent examples of growth initiatives include the following investment strategies: European Long/Short Equity, various Quantitative Equity strategies, various Multi-Asset strategies, a Real Assets strategy, and a Global Equity Franchise strategy.</w:t>
      </w:r>
    </w:p>
    <w:p>
      <w:pPr>
        <w:spacing w:after="0" w:line="18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40" w:firstLine="518"/>
        <w:spacing w:after="0" w:line="308" w:lineRule="auto"/>
        <w:rPr>
          <w:sz w:val="20"/>
          <w:szCs w:val="20"/>
          <w:color w:val="auto"/>
        </w:rPr>
      </w:pPr>
      <w:r>
        <w:rPr>
          <w:rFonts w:ascii="Arial" w:cs="Arial" w:eastAsia="Arial" w:hAnsi="Arial"/>
          <w:sz w:val="17"/>
          <w:szCs w:val="17"/>
          <w:color w:val="auto"/>
        </w:rPr>
        <w:t>Overall, we continue to focus on the development of our business, including the generation of stable revenue growth, earnings growth and shareholder returns, the prudent management of our costs and expenses, the efficient use of our assets and the return of capital to our shareholders.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completed transactions with values greater than $500 million, decreased in the first half of 2017 as compared to 2016. With respect to announced M&amp;A transactions, the value and number of all transactions, as well as the value of the subset of such transactions involving values greater than $500 million, decreased in the first half of 2017 as compared to 2016.</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1"/>
                <w:szCs w:val="11"/>
                <w:color w:val="auto"/>
              </w:rPr>
            </w:pPr>
          </w:p>
        </w:tc>
        <w:tc>
          <w:tcPr>
            <w:tcW w:w="78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90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1"/>
                <w:szCs w:val="11"/>
                <w:color w:val="auto"/>
              </w:rPr>
            </w:pPr>
          </w:p>
        </w:tc>
        <w:tc>
          <w:tcPr>
            <w:tcW w:w="80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Incr / (Decr)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 in billions)</w:t>
            </w:r>
          </w:p>
        </w:tc>
        <w:tc>
          <w:tcPr>
            <w:tcW w:w="9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861</w:t>
            </w:r>
          </w:p>
        </w:tc>
        <w:tc>
          <w:tcPr>
            <w:tcW w:w="2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938</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8,608</w:t>
            </w:r>
          </w:p>
        </w:tc>
        <w:tc>
          <w:tcPr>
            <w:tcW w:w="22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9,694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19,674</w:t>
            </w: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672</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710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1,307</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1,393</w:t>
            </w: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275</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833</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925</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1,595</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1,662</w:t>
            </w: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9,280</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9,734</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19,753</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686</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1,201</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306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59690</wp:posOffset>
            </wp:positionV>
            <wp:extent cx="12090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Source: Dealogic as of July 7, 2017.</w:t>
      </w:r>
    </w:p>
    <w:p>
      <w:pPr>
        <w:spacing w:after="0" w:line="225"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Global restructuring activity during the first half of 2017, as measured by the number of corporate defaults, decreased as compared to the first half of 2016. The number of defaulting issuers decreased to 50 in the first half of 2017, according to Moody’s Investors Service, Inc., as compared to 88 in the first half of 2016, primarily due to a lower level of defaults in the commodity sectors.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firstLine="518"/>
        <w:spacing w:after="0" w:line="269" w:lineRule="auto"/>
        <w:rPr>
          <w:sz w:val="20"/>
          <w:szCs w:val="20"/>
          <w:color w:val="auto"/>
        </w:rPr>
      </w:pPr>
      <w:r>
        <w:rPr>
          <w:rFonts w:ascii="Arial" w:cs="Arial" w:eastAsia="Arial" w:hAnsi="Arial"/>
          <w:sz w:val="17"/>
          <w:szCs w:val="17"/>
          <w:color w:val="auto"/>
        </w:rPr>
        <w:t>Net revenue trends in Financial Advisory for M&amp;A and Strategic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Strategic Advisory revenue, which includes M&amp;A Advisory, Capital Advisory, Capital Raising and Sovereign Advisory revenue, increased 30% in the first half of 2017 as compared to 2016. The industry statistics for global M&amp;A transactions described above reflect a 7% and 6% decrease in the value and number, respectively, of all completed transactions in the first half of 2017 as compared to 2016. For M&amp;A deals with values greater than $500 million, the value and number of completed transactions in the first half of 2017 decreased 6% and 1%, respectively, as compared to 2016. In addition, with respect to our restructuring activity, revenue increased 53% in the first half of 2017 as compared to 2016, in contrast to a 43% decrease in global default activity in the first half of 2017 as compared to 2016.</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percentage change in major equity market indices at June 30, 2017, as compared to such indices at March 31, 2017, December 31, 2016, and at June 30, 2016, is shown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Percentage Changes</w:t>
            </w:r>
          </w:p>
        </w:tc>
        <w:tc>
          <w:tcPr>
            <w:tcW w:w="12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0"/>
              </w:rPr>
              <w:t>June 30, 2017 vs.</w:t>
            </w:r>
          </w:p>
        </w:tc>
        <w:tc>
          <w:tcPr>
            <w:tcW w:w="120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860" w:type="dxa"/>
            <w:vAlign w:val="bottom"/>
          </w:tcPr>
          <w:p>
            <w:pPr>
              <w:jc w:val="center"/>
              <w:ind w:left="88"/>
              <w:spacing w:after="0" w:line="133" w:lineRule="exact"/>
              <w:rPr>
                <w:sz w:val="20"/>
                <w:szCs w:val="20"/>
                <w:color w:val="auto"/>
              </w:rPr>
            </w:pPr>
            <w:r>
              <w:rPr>
                <w:rFonts w:ascii="Arial" w:cs="Arial" w:eastAsia="Arial" w:hAnsi="Arial"/>
                <w:sz w:val="14"/>
                <w:szCs w:val="14"/>
                <w:b w:val="1"/>
                <w:bCs w:val="1"/>
                <w:color w:val="auto"/>
                <w:w w:val="95"/>
              </w:rPr>
              <w:t>March 31,</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0" w:type="dxa"/>
            <w:vAlign w:val="bottom"/>
          </w:tcPr>
          <w:p>
            <w:pPr>
              <w:jc w:val="right"/>
              <w:ind w:right="356"/>
              <w:spacing w:after="0" w:line="133" w:lineRule="exact"/>
              <w:rPr>
                <w:sz w:val="20"/>
                <w:szCs w:val="20"/>
                <w:color w:val="auto"/>
              </w:rPr>
            </w:pPr>
            <w:r>
              <w:rPr>
                <w:rFonts w:ascii="Arial" w:cs="Arial" w:eastAsia="Arial" w:hAnsi="Arial"/>
                <w:sz w:val="14"/>
                <w:szCs w:val="14"/>
                <w:b w:val="1"/>
                <w:bCs w:val="1"/>
                <w:color w:val="auto"/>
              </w:rPr>
              <w:t>June 30,</w:t>
            </w:r>
          </w:p>
        </w:tc>
      </w:tr>
      <w:tr>
        <w:trPr>
          <w:trHeight w:val="171"/>
        </w:trPr>
        <w:tc>
          <w:tcPr>
            <w:tcW w:w="60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4"/>
                <w:szCs w:val="14"/>
                <w:color w:val="auto"/>
              </w:rPr>
            </w:pPr>
          </w:p>
        </w:tc>
        <w:tc>
          <w:tcPr>
            <w:tcW w:w="1200" w:type="dxa"/>
            <w:vAlign w:val="bottom"/>
          </w:tcPr>
          <w:p>
            <w:pPr>
              <w:jc w:val="right"/>
              <w:ind w:right="476"/>
              <w:spacing w:after="0"/>
              <w:rPr>
                <w:sz w:val="20"/>
                <w:szCs w:val="20"/>
                <w:color w:val="auto"/>
              </w:rPr>
            </w:pPr>
            <w:r>
              <w:rPr>
                <w:rFonts w:ascii="Arial" w:cs="Arial" w:eastAsia="Arial" w:hAnsi="Arial"/>
                <w:sz w:val="14"/>
                <w:szCs w:val="14"/>
                <w:b w:val="1"/>
                <w:bCs w:val="1"/>
                <w:color w:val="auto"/>
              </w:rPr>
              <w:t>2016</w:t>
            </w:r>
          </w:p>
        </w:tc>
      </w:tr>
      <w:tr>
        <w:trPr>
          <w:trHeight w:val="223"/>
        </w:trPr>
        <w:tc>
          <w:tcPr>
            <w:tcW w:w="2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8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19"/>
                <w:szCs w:val="19"/>
                <w:color w:val="auto"/>
              </w:rPr>
            </w:pPr>
          </w:p>
        </w:tc>
        <w:tc>
          <w:tcPr>
            <w:tcW w:w="6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20" w:type="dxa"/>
            <w:vAlign w:val="bottom"/>
          </w:tcPr>
          <w:p>
            <w:pPr>
              <w:spacing w:after="0"/>
              <w:rPr>
                <w:sz w:val="20"/>
                <w:szCs w:val="20"/>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41"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spacing w:after="0" w:line="254" w:lineRule="auto"/>
        <w:rPr>
          <w:sz w:val="20"/>
          <w:szCs w:val="20"/>
          <w:color w:val="auto"/>
        </w:rPr>
      </w:pPr>
      <w:r>
        <w:rPr>
          <w:rFonts w:ascii="Arial" w:cs="Arial" w:eastAsia="Arial" w:hAnsi="Arial"/>
          <w:sz w:val="18"/>
          <w:szCs w:val="18"/>
          <w:color w:val="auto"/>
        </w:rPr>
        <w:t>Movements in AUM during the period generally reflect the changes in equity market indices. Our AUM at June 30, 2017 increased 14% versus AUM at December 31, 2016, primarily due to market and foreign exchange appreciation and net inflows. Average AUM for the second quarter of 2017 was 15% higher than the average AUM for the second quarter of 2016. Average AUM for the first half of 2017 increased 14% as compared to average AUM in the first half of 2016.</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82"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2" w:name="page43"/>
    <w:bookmarkEnd w:id="42"/>
    <w:p>
      <w:pPr>
        <w:spacing w:after="0" w:line="270" w:lineRule="auto"/>
        <w:rPr>
          <w:sz w:val="20"/>
          <w:szCs w:val="20"/>
          <w:color w:val="auto"/>
        </w:rPr>
      </w:pPr>
      <w:r>
        <w:rPr>
          <w:rFonts w:ascii="Arial" w:cs="Arial" w:eastAsia="Arial" w:hAnsi="Arial"/>
          <w:sz w:val="17"/>
          <w:szCs w:val="17"/>
          <w:color w:val="auto"/>
        </w:rPr>
        <w:t>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8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Although Corporate segment net revenue during 2017 is not significant compared to Lazard’s net revenue, total assets in the Corporate segment represented 66% of Lazard’s consolidated total assets as of June 30, 2017, which are attributable to cash and cash equivalents, investments in debt and equity securities, interests in alternative investment, debt, equity and private equity funds, deferred tax assets and certain assets associated with LFB. LFB, as a registered bank, is engaged primarily in commercial and private banking services for clients and funds managed by LFG and other clients, and asset-liability management.</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6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ind w:right="220"/>
        <w:spacing w:after="0" w:line="277" w:lineRule="auto"/>
        <w:rPr>
          <w:sz w:val="20"/>
          <w:szCs w:val="20"/>
          <w:color w:val="auto"/>
        </w:rPr>
      </w:pPr>
      <w:r>
        <w:rPr>
          <w:rFonts w:ascii="Arial" w:cs="Arial" w:eastAsia="Arial" w:hAnsi="Arial"/>
          <w:sz w:val="18"/>
          <w:szCs w:val="18"/>
          <w:color w:val="auto"/>
        </w:rPr>
        <w:t>“Awarded compensation and benefits expense” for a given year is calculated using “adjusted compensation and benefits expense,” also a non-U.S. GAAP measure, as modified by the following items:</w:t>
      </w:r>
    </w:p>
    <w:p>
      <w:pPr>
        <w:spacing w:after="0" w:line="62" w:lineRule="exact"/>
        <w:rPr>
          <w:sz w:val="20"/>
          <w:szCs w:val="20"/>
          <w:color w:val="auto"/>
        </w:rPr>
      </w:pPr>
    </w:p>
    <w:p>
      <w:pPr>
        <w:ind w:left="900" w:hanging="379"/>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420" w:right="180" w:hanging="386"/>
        <w:spacing w:after="0" w:line="264"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deferred incentive compensation awards granted in 2017 related to the 2016 year-end compensation process), including Performance-based restricted stock unit (“PRSU”) awards (based on the target payout level);</w:t>
      </w:r>
    </w:p>
    <w:p>
      <w:pPr>
        <w:spacing w:after="0" w:line="73" w:lineRule="exact"/>
        <w:rPr>
          <w:rFonts w:ascii="Arial" w:cs="Arial" w:eastAsia="Arial" w:hAnsi="Arial"/>
          <w:sz w:val="18"/>
          <w:szCs w:val="18"/>
          <w:color w:val="auto"/>
        </w:rPr>
      </w:pPr>
    </w:p>
    <w:p>
      <w:pPr>
        <w:ind w:left="1420" w:right="360" w:hanging="386"/>
        <w:spacing w:after="0" w:line="277"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420" w:hanging="386"/>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mid-to-high-50s percentage range, which compares to 55.8% and 56.5%, respectively, for the year ended December 31, 2016.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achieving this goal.</w:t>
      </w:r>
    </w:p>
    <w:p>
      <w:pPr>
        <w:spacing w:after="0" w:line="182" w:lineRule="exact"/>
        <w:rPr>
          <w:sz w:val="20"/>
          <w:szCs w:val="20"/>
          <w:color w:val="auto"/>
        </w:rPr>
      </w:pPr>
    </w:p>
    <w:p>
      <w:pPr>
        <w:ind w:right="460" w:firstLine="518"/>
        <w:spacing w:after="0" w:line="342" w:lineRule="auto"/>
        <w:rPr>
          <w:sz w:val="20"/>
          <w:szCs w:val="20"/>
          <w:color w:val="auto"/>
        </w:rPr>
      </w:pPr>
      <w:r>
        <w:rPr>
          <w:rFonts w:ascii="Arial" w:cs="Arial" w:eastAsia="Arial" w:hAnsi="Arial"/>
          <w:sz w:val="16"/>
          <w:szCs w:val="16"/>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w:t>
      </w:r>
    </w:p>
    <w:p>
      <w:pPr>
        <w:spacing w:after="0" w:line="124"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We believe that “adjusted non-compensation expense”, a non-U.S. 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costs”, which includes the change in fair value of the contingent consideration associated with business acquisitions.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173"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See “Critical Accounting Policies and Estimates—Income Taxes” below and Notes 14 and 16 of Notes to Condensed Consolidated Financial Statements for additional information regarding income taxes and the tax receivable agreement obligation.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11 of Notes to Condensed Consolidated Financial Statements for information regarding the Company’s noncontrolling interests.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in the condensed consolidated statements of operations.</w:t>
      </w:r>
    </w:p>
    <w:p>
      <w:pPr>
        <w:spacing w:after="0" w:line="165"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A portion of our net revenue is derived from transactions that are denominated in currencies other than the U.S. Dollar. Since the middle of 2014, the value of the U.S. Dollar has strengthened against many other major currencies. As a result, net revenue for the three month and six month periods ended June 30, 2017 was negatively impacted in comparison to the prior year period. The majority of the negative impact was offset by the positive impact of the exchange rate movements on our operating expenses denominated in currencies other than the U.S. Dollar.</w:t>
      </w:r>
    </w:p>
    <w:p>
      <w:pPr>
        <w:spacing w:after="0" w:line="171"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717,180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534,680</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1,340,644</w:t>
            </w:r>
          </w:p>
        </w:tc>
        <w:tc>
          <w:tcPr>
            <w:tcW w:w="2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1,032,898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414,612</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308,310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776,413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605,520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128,810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112,804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236,702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214,791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544,679</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421,444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1,017,946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821,285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172,501</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113,236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322,698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211,613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51,600</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91,367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120,901</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81,364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231,331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152,087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120,378</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80,357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227,931</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147,180</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717,180</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534,680</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1,340,644</w:t>
            </w:r>
          </w:p>
        </w:tc>
        <w:tc>
          <w:tcPr>
            <w:tcW w:w="160" w:type="dxa"/>
            <w:vAlign w:val="bottom"/>
          </w:tcPr>
          <w:p>
            <w:pPr>
              <w:spacing w:after="0"/>
              <w:rPr>
                <w:sz w:val="19"/>
                <w:szCs w:val="19"/>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1,032,898</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11,832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11,337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22,883</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Revenue related to noncontrolling interests (b)</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(3,098)</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(3,398)</w:t>
            </w: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(8,040)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(9,610)</w:t>
            </w: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(Gains) losses on investments pertaining to LFI (c)</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(5,753)</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720,161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542,307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1,344,595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1,048,373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380" w:right="40" w:hanging="372"/>
        <w:spacing w:after="0" w:line="277"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spacing w:after="0" w:line="62" w:lineRule="exact"/>
        <w:rPr>
          <w:rFonts w:ascii="Arial" w:cs="Arial" w:eastAsia="Arial" w:hAnsi="Arial"/>
          <w:sz w:val="18"/>
          <w:szCs w:val="18"/>
          <w:color w:val="auto"/>
        </w:rPr>
      </w:pPr>
    </w:p>
    <w:p>
      <w:pPr>
        <w:ind w:left="380" w:right="220" w:hanging="372"/>
        <w:spacing w:after="0" w:line="277"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spacing w:after="0" w:line="62" w:lineRule="exact"/>
        <w:rPr>
          <w:rFonts w:ascii="Arial" w:cs="Arial" w:eastAsia="Arial" w:hAnsi="Arial"/>
          <w:sz w:val="18"/>
          <w:szCs w:val="18"/>
          <w:color w:val="auto"/>
        </w:rPr>
      </w:pPr>
    </w:p>
    <w:p>
      <w:pPr>
        <w:ind w:left="380" w:right="460" w:hanging="372"/>
        <w:spacing w:after="0" w:line="277"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414,612</w:t>
            </w:r>
          </w:p>
        </w:tc>
        <w:tc>
          <w:tcPr>
            <w:tcW w:w="2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308,310</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776,413</w:t>
            </w:r>
          </w:p>
        </w:tc>
        <w:tc>
          <w:tcPr>
            <w:tcW w:w="240" w:type="dxa"/>
            <w:vAlign w:val="bottom"/>
          </w:tcPr>
          <w:p>
            <w:pPr>
              <w:spacing w:after="0"/>
              <w:rPr>
                <w:sz w:val="19"/>
                <w:szCs w:val="19"/>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605,520</w:t>
            </w:r>
          </w:p>
        </w:tc>
        <w:tc>
          <w:tcPr>
            <w:tcW w:w="180" w:type="dxa"/>
            <w:vAlign w:val="bottom"/>
          </w:tcPr>
          <w:p>
            <w:pPr>
              <w:spacing w:after="0"/>
              <w:rPr>
                <w:sz w:val="19"/>
                <w:szCs w:val="19"/>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(1,594)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(3,611)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(3,346)</w:t>
            </w: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(5,753)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(13,106)</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2,202</w:t>
            </w:r>
          </w:p>
        </w:tc>
        <w:tc>
          <w:tcPr>
            <w:tcW w:w="180" w:type="dxa"/>
            <w:vAlign w:val="bottom"/>
            <w:shd w:val="clear" w:color="auto" w:fill="CFF0FC"/>
          </w:tcPr>
          <w:p>
            <w:pPr>
              <w:spacing w:after="0"/>
              <w:rPr>
                <w:sz w:val="19"/>
                <w:szCs w:val="19"/>
                <w:color w:val="auto"/>
              </w:rPr>
            </w:pPr>
          </w:p>
        </w:tc>
      </w:tr>
      <w:tr>
        <w:trPr>
          <w:trHeight w:val="26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406,891</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306,404</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759,696</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604,376</w:t>
            </w:r>
          </w:p>
        </w:tc>
        <w:tc>
          <w:tcPr>
            <w:tcW w:w="180" w:type="dxa"/>
            <w:vAlign w:val="bottom"/>
            <w:tcBorders>
              <w:bottom w:val="single" w:sz="8" w:color="CFF0FC"/>
            </w:tcBorders>
          </w:tcPr>
          <w:p>
            <w:pPr>
              <w:spacing w:after="0"/>
              <w:rPr>
                <w:sz w:val="22"/>
                <w:szCs w:val="22"/>
                <w:color w:val="auto"/>
              </w:rPr>
            </w:pPr>
          </w:p>
        </w:tc>
      </w:tr>
      <w:tr>
        <w:trPr>
          <w:trHeight w:val="21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Adjusted compensation and benefits expense, as a % of operating revenue</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57.6%</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13"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w:t>
      </w:r>
    </w:p>
    <w:p>
      <w:pPr>
        <w:spacing w:after="0" w:line="130"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128,810</w:t>
            </w:r>
          </w:p>
        </w:tc>
        <w:tc>
          <w:tcPr>
            <w:tcW w:w="3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112,804</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236,702</w:t>
            </w:r>
          </w:p>
        </w:tc>
        <w:tc>
          <w:tcPr>
            <w:tcW w:w="240" w:type="dxa"/>
            <w:vAlign w:val="bottom"/>
          </w:tcPr>
          <w:p>
            <w:pPr>
              <w:spacing w:after="0"/>
              <w:rPr>
                <w:sz w:val="19"/>
                <w:szCs w:val="19"/>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214,791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ERP system implementation (a)</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(8,861)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(8,861)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related to office space reorganization (b)</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(3,161)</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(3,161)</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(c)</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(677)</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non-compensation expense</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116,111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223,581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213,756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w w:val="98"/>
              </w:rPr>
              <w:t>Adjusted non-compensation expense, as a % of operating revenue</w:t>
            </w: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incremental rent expense and lease abandonment costs related to office space reorganization.</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the Company has no economic interest in such amounts.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9"/>
          </w:tcPr>
          <w:p>
            <w:pPr>
              <w:jc w:val="right"/>
              <w:ind w:right="102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Operating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720,161</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542,307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1,344,595</w:t>
            </w:r>
          </w:p>
        </w:tc>
        <w:tc>
          <w:tcPr>
            <w:tcW w:w="20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1,048,373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260" w:type="dxa"/>
            <w:vAlign w:val="bottom"/>
          </w:tcPr>
          <w:p>
            <w:pPr>
              <w:spacing w:after="0"/>
              <w:rPr>
                <w:sz w:val="19"/>
                <w:szCs w:val="19"/>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(406,891)</w:t>
            </w:r>
          </w:p>
        </w:tc>
        <w:tc>
          <w:tcPr>
            <w:tcW w:w="10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(306,404)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(759,696)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(604,376)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26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(116,111)</w:t>
            </w:r>
          </w:p>
        </w:tc>
        <w:tc>
          <w:tcPr>
            <w:tcW w:w="100" w:type="dxa"/>
            <w:vAlign w:val="bottom"/>
            <w:shd w:val="clear" w:color="auto" w:fill="CFF0FC"/>
          </w:tcPr>
          <w:p>
            <w:pPr>
              <w:spacing w:after="0"/>
              <w:rPr>
                <w:sz w:val="19"/>
                <w:szCs w:val="19"/>
                <w:color w:val="auto"/>
              </w:rPr>
            </w:pPr>
          </w:p>
        </w:tc>
        <w:tc>
          <w:tcPr>
            <w:tcW w:w="128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(112,167)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(223,581)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(213,756)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197,159</w:t>
            </w:r>
          </w:p>
        </w:tc>
        <w:tc>
          <w:tcPr>
            <w:tcW w:w="3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123,736</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361,318</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230,241</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6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8"/>
                <w:szCs w:val="18"/>
                <w:color w:val="auto"/>
              </w:rPr>
              <w:t>Headcount information is set forth below:</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5"/>
          </w:tcPr>
          <w:p>
            <w:pPr>
              <w:jc w:val="right"/>
              <w:ind w:right="860"/>
              <w:spacing w:after="0" w:line="133" w:lineRule="exact"/>
              <w:rPr>
                <w:sz w:val="20"/>
                <w:szCs w:val="20"/>
                <w:color w:val="auto"/>
              </w:rPr>
            </w:pPr>
            <w:r>
              <w:rPr>
                <w:rFonts w:ascii="Arial" w:cs="Arial" w:eastAsia="Arial" w:hAnsi="Arial"/>
                <w:sz w:val="14"/>
                <w:szCs w:val="14"/>
                <w:b w:val="1"/>
                <w:bCs w:val="1"/>
                <w:color w:val="auto"/>
                <w:w w:val="89"/>
              </w:rPr>
              <w:t>June 30,</w:t>
            </w:r>
          </w:p>
        </w:tc>
        <w:tc>
          <w:tcPr>
            <w:tcW w:w="1420" w:type="dxa"/>
            <w:vAlign w:val="bottom"/>
            <w:gridSpan w:val="5"/>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2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Managing Directors: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500"/>
              <w:spacing w:after="0"/>
              <w:rPr>
                <w:sz w:val="20"/>
                <w:szCs w:val="20"/>
                <w:color w:val="auto"/>
              </w:rPr>
            </w:pPr>
            <w:r>
              <w:rPr>
                <w:rFonts w:ascii="Arial" w:cs="Arial" w:eastAsia="Arial" w:hAnsi="Arial"/>
                <w:sz w:val="18"/>
                <w:szCs w:val="18"/>
                <w:color w:val="auto"/>
              </w:rPr>
              <w:t>Asset Management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Employees:</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500"/>
              <w:spacing w:after="0"/>
              <w:rPr>
                <w:sz w:val="20"/>
                <w:szCs w:val="20"/>
                <w:color w:val="auto"/>
              </w:rPr>
            </w:pPr>
            <w:r>
              <w:rPr>
                <w:rFonts w:ascii="Arial" w:cs="Arial" w:eastAsia="Arial" w:hAnsi="Arial"/>
                <w:sz w:val="18"/>
                <w:szCs w:val="18"/>
                <w:color w:val="auto"/>
              </w:rPr>
              <w:t>Business segment professionals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 other professionals and support staff</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220" w:firstLine="518"/>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versus June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reported net income attributable to Lazard Ltd of $120 million, as compared to net income of $80 million in the 2016 period.</w:t>
      </w:r>
    </w:p>
    <w:p>
      <w:pPr>
        <w:spacing w:after="0" w:line="23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Net revenue increased $183 million, or 34%, with operating revenue increasing $178 million, or 33%, as compared to the 2016 period. Fee revenue from investment banking and other advisory activities increased $124 million, or 43%, as compared to the 2016 period, due to an increase in M&amp;A and Strategic Advisory and Restructuring revenue. Asset management fees, including incentive fees, increased $53 million, or 22%, as compared to the 2016 period, primarily due to an increase in average AUM. In the aggregate, interest income, other revenue and interest expense increased $6 million as compared to the 2016 period, primarily due to gains in the 2017 period attributable to investments held in connection with LFI.</w:t>
      </w:r>
    </w:p>
    <w:p>
      <w:pPr>
        <w:spacing w:after="0" w:line="173"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Compensation and benefits expense increased $106 million, or 34%, as compared to the 2016 period, primarily associated with increased operating revenue.</w:t>
      </w:r>
    </w:p>
    <w:p>
      <w:pPr>
        <w:spacing w:after="0" w:line="170"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Adjusted compensation and benefits expense (which excludes certain items and which we believe allows for improved comparability between periods, as described above) was $407 million, an increase of $101 million, or 33%, as compared to $306 million in the 2016 period. The ratio of adjusted compensation and benefits expense to operating revenue was 56.5% for both the 2017 and 2016 periods and 56.5% for full-year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47" w:name="page48"/>
    <w:bookmarkEnd w:id="47"/>
    <w:p>
      <w:pPr>
        <w:ind w:right="20" w:firstLine="518"/>
        <w:spacing w:after="0" w:line="257" w:lineRule="auto"/>
        <w:rPr>
          <w:sz w:val="20"/>
          <w:szCs w:val="20"/>
          <w:color w:val="auto"/>
        </w:rPr>
      </w:pPr>
      <w:r>
        <w:rPr>
          <w:rFonts w:ascii="Arial" w:cs="Arial" w:eastAsia="Arial" w:hAnsi="Arial"/>
          <w:sz w:val="18"/>
          <w:szCs w:val="18"/>
          <w:color w:val="auto"/>
        </w:rPr>
        <w:t>Non-compensation expense increased $16 million, or 14%, as compared to the 2016 period, primarily due to expenses associated with the ERP system implementation and expenses related to office space reorganization, as well as higher mutual fund service fees related to the growth in AUM. Adjusted non-compensation expense, which excludes non-compensation costs related to the ERP system implementation, office space reorganization and noncontrolling interests, increased $4 million, or 4%, as compared to the 2016 period. The ratio of adjusted non-compensation expense to operating revenue was 16.1% for the 2017 period, as compared to 20.7% in the 2016 period.</w:t>
      </w:r>
    </w:p>
    <w:p>
      <w:pPr>
        <w:spacing w:after="0" w:line="188"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Amortization and other acquisition-related costs increased $1 million as compared to the 2016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increased $59 million, or 52%, as compared to the 2016 period.</w:t>
      </w:r>
    </w:p>
    <w:p>
      <w:pPr>
        <w:spacing w:after="0" w:line="225"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Earnings from operations increased $73 million, or 59%, as compared to the 2016 period, and, as a percentage of operating revenue, was 27.4%, as compared to 22.8% in the 2016 period.</w:t>
      </w:r>
    </w:p>
    <w:p>
      <w:pPr>
        <w:spacing w:after="0" w:line="170"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provision for income taxes reflects an effective tax rate of 29.9%, as compared to 28.1% for the 2016 period. The effective tax rate increased primarily due to the change in the geographic mix of earnings.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was substantially unchanged as compared to the 2016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versus June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reported net income attributable to Lazard Ltd of $228 million, as compared to net income of $147 million in the 2016 period.</w:t>
      </w:r>
    </w:p>
    <w:p>
      <w:pPr>
        <w:spacing w:after="0" w:line="23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Net revenue increased $308 million, or 30%, with operating revenue increasing $296 million, or 28%, as compared to the 2016 period. Fee revenue from investment banking and other advisory activities increased $193 million, or 35%, as compared to the 2016 period, due to an increase in M&amp;A and Strategic Advisory and Restructuring revenue. Asset management fees, including incentive fees, increased $92 million, or 19%, as compared to the 2016 period, primarily due to an increase in average AUM. In the aggregate, interest income, other revenue and interest expense increased $23 million as compared to the 2016 period, primarily due to gains in the 2017 period attributable to investments held in connection with LFI.</w:t>
      </w:r>
    </w:p>
    <w:p>
      <w:pPr>
        <w:spacing w:after="0" w:line="173"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Compensation and benefits expense increased $171 million, or 28%, as compared to the 2016 period, primarily associated with increased operating revenue.</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was $760 million, an increase of $156 million, or 26%, as compared to $604 million in the 2016 period. The ratio of adjusted compensation and benefits expense to operating revenue was 56.5% for the 2017 period, as compared to 57.6% for the 2016 period and 56.5% for full-year 2016.</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Non-compensation expense increased $22 million, or 10%, as compared to the 2016 period, primarily due to expenses associated with the ERP system implementation and expenses related to office space reorganization, as well as higher mutual fund service fees related to the growth in AUM. Adjusted non-compensation expense, which excludes non-compensation costs related to the ERP system implementation, office space reorganization and noncontrolling interests, increased $10 million, or 5%, as compared to the 2016 period. The ratio of adjusted non-compensation expense to operating revenue was 16.6% for the 2017 period, as compared to 20.4% in the 2016 period.</w:t>
      </w:r>
    </w:p>
    <w:p>
      <w:pPr>
        <w:spacing w:after="0" w:line="188"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Amortization and other acquisition-related costs increased $4 million as compared to the 2016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increased $111 million, or 52%, as compared to the 2016 period.</w:t>
      </w:r>
    </w:p>
    <w:p>
      <w:pPr>
        <w:spacing w:after="0" w:line="225"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Earnings from operations increased $131 million, or 57%, as compared to the 2016 period, and, as a percentage of operating revenue, was 26.9%, as compared to 22.0% in the 2016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8" w:name="page49"/>
    <w:bookmarkEnd w:id="48"/>
    <w:p>
      <w:pPr>
        <w:ind w:right="140" w:firstLine="518"/>
        <w:spacing w:after="0" w:line="264" w:lineRule="auto"/>
        <w:rPr>
          <w:sz w:val="20"/>
          <w:szCs w:val="20"/>
          <w:color w:val="auto"/>
        </w:rPr>
      </w:pPr>
      <w:r>
        <w:rPr>
          <w:rFonts w:ascii="Arial" w:cs="Arial" w:eastAsia="Arial" w:hAnsi="Arial"/>
          <w:sz w:val="18"/>
          <w:szCs w:val="18"/>
          <w:color w:val="auto"/>
        </w:rPr>
        <w:t>The provision for income taxes reflects an effective tax rate of 28.3%, as compared to 28.1% for the 2016 period. The effective tax rate reflects the Company’s adoption of new accounting guidance on share-based incentive compensation and the change in the geographic mix of earnings. See Notes 2 and 14 of Notes to Condensed Consolidated Financial Statements.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decreased $2 million, or 31%, as compared to the 2016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20" w:firstLine="51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20" w:firstLine="8"/>
        <w:spacing w:after="0" w:line="271" w:lineRule="auto"/>
        <w:tabs>
          <w:tab w:leader="none" w:pos="265" w:val="left"/>
        </w:tabs>
        <w:numPr>
          <w:ilvl w:val="0"/>
          <w:numId w:val="44"/>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65"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Effective January 1, 2017, the Company’s reporting by geographic region was transitioned from the Company’s previously disclosed North America, Europe and rest of the world regions to the Americas; Europe, Middle East and Africa (“EMEA”); and Asia Pacific. Comparable prior year information has been recast to reflect our revised geographic presentation.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6"/>
              </w:rPr>
              <w:t>2017</w:t>
            </w: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20"/>
                <w:szCs w:val="20"/>
                <w:color w:val="auto"/>
              </w:rPr>
            </w:pPr>
          </w:p>
        </w:tc>
      </w:tr>
      <w:tr>
        <w:trPr>
          <w:trHeight w:val="168"/>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Net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410,882</w:t>
            </w:r>
          </w:p>
        </w:tc>
        <w:tc>
          <w:tcPr>
            <w:tcW w:w="32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286,965</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746,694</w:t>
            </w:r>
          </w:p>
        </w:tc>
        <w:tc>
          <w:tcPr>
            <w:tcW w:w="320" w:type="dxa"/>
            <w:vAlign w:val="bottom"/>
          </w:tcPr>
          <w:p>
            <w:pPr>
              <w:spacing w:after="0"/>
              <w:rPr>
                <w:sz w:val="20"/>
                <w:szCs w:val="20"/>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552,979</w:t>
            </w:r>
          </w:p>
        </w:tc>
        <w:tc>
          <w:tcPr>
            <w:tcW w:w="180" w:type="dxa"/>
            <w:vAlign w:val="bottom"/>
          </w:tcPr>
          <w:p>
            <w:pPr>
              <w:spacing w:after="0"/>
              <w:rPr>
                <w:sz w:val="20"/>
                <w:szCs w:val="20"/>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313,719</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233,727</w:t>
            </w:r>
          </w:p>
        </w:tc>
        <w:tc>
          <w:tcPr>
            <w:tcW w:w="3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576,470</w:t>
            </w:r>
          </w:p>
        </w:tc>
        <w:tc>
          <w:tcPr>
            <w:tcW w:w="3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460,805</w:t>
            </w:r>
          </w:p>
        </w:tc>
        <w:tc>
          <w:tcPr>
            <w:tcW w:w="180" w:type="dxa"/>
            <w:vAlign w:val="bottom"/>
            <w:shd w:val="clear" w:color="auto" w:fill="CFF0FC"/>
          </w:tcPr>
          <w:p>
            <w:pPr>
              <w:spacing w:after="0"/>
              <w:rPr>
                <w:sz w:val="19"/>
                <w:szCs w:val="19"/>
                <w:color w:val="auto"/>
              </w:rPr>
            </w:pPr>
          </w:p>
        </w:tc>
      </w:tr>
      <w:tr>
        <w:trPr>
          <w:trHeight w:val="237"/>
        </w:trPr>
        <w:tc>
          <w:tcPr>
            <w:tcW w:w="572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97,163</w:t>
            </w:r>
          </w:p>
        </w:tc>
        <w:tc>
          <w:tcPr>
            <w:tcW w:w="32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53,238</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170,224</w:t>
            </w:r>
          </w:p>
        </w:tc>
        <w:tc>
          <w:tcPr>
            <w:tcW w:w="320" w:type="dxa"/>
            <w:vAlign w:val="bottom"/>
          </w:tcPr>
          <w:p>
            <w:pPr>
              <w:spacing w:after="0"/>
              <w:rPr>
                <w:sz w:val="20"/>
                <w:szCs w:val="20"/>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92,174</w:t>
            </w:r>
          </w:p>
        </w:tc>
        <w:tc>
          <w:tcPr>
            <w:tcW w:w="180" w:type="dxa"/>
            <w:vAlign w:val="bottom"/>
          </w:tcPr>
          <w:p>
            <w:pPr>
              <w:spacing w:after="0"/>
              <w:rPr>
                <w:sz w:val="20"/>
                <w:szCs w:val="20"/>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6500" w:type="dxa"/>
            <w:vAlign w:val="bottom"/>
            <w:gridSpan w:val="3"/>
          </w:tcPr>
          <w:p>
            <w:pPr>
              <w:spacing w:after="0"/>
              <w:rPr>
                <w:sz w:val="20"/>
                <w:szCs w:val="20"/>
                <w:color w:val="auto"/>
              </w:rPr>
            </w:pPr>
            <w:r>
              <w:rPr>
                <w:rFonts w:ascii="Arial" w:cs="Arial" w:eastAsia="Arial" w:hAnsi="Arial"/>
                <w:sz w:val="18"/>
                <w:szCs w:val="18"/>
                <w:color w:val="auto"/>
              </w:rPr>
              <w:t>Operating Income, as a % of net revenue</w:t>
            </w: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97"/>
              </w:rPr>
              <w:t>18.6%</w:t>
            </w:r>
          </w:p>
        </w:tc>
        <w:tc>
          <w:tcPr>
            <w:tcW w:w="1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r>
      <w:tr>
        <w:trPr>
          <w:trHeight w:val="20"/>
        </w:trPr>
        <w:tc>
          <w:tcPr>
            <w:tcW w:w="5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3"/>
        </w:trPr>
        <w:tc>
          <w:tcPr>
            <w:tcW w:w="7960" w:type="dxa"/>
            <w:vAlign w:val="bottom"/>
            <w:gridSpan w:val="8"/>
          </w:tcPr>
          <w:p>
            <w:pPr>
              <w:ind w:left="520"/>
              <w:spacing w:after="0"/>
              <w:rPr>
                <w:sz w:val="20"/>
                <w:szCs w:val="20"/>
                <w:color w:val="auto"/>
              </w:rPr>
            </w:pPr>
            <w:r>
              <w:rPr>
                <w:rFonts w:ascii="Arial" w:cs="Arial" w:eastAsia="Arial" w:hAnsi="Arial"/>
                <w:sz w:val="18"/>
                <w:szCs w:val="18"/>
                <w:color w:val="auto"/>
                <w:w w:val="93"/>
              </w:rPr>
              <w:t>Certain Lazard fee and transaction statistics for the Financial Advisory segment are set forth below:</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6"/>
        </w:trPr>
        <w:tc>
          <w:tcPr>
            <w:tcW w:w="5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6"/>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4"/>
          </w:tcPr>
          <w:p>
            <w:pPr>
              <w:jc w:val="center"/>
              <w:ind w:left="648"/>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1"/>
        </w:trPr>
        <w:tc>
          <w:tcPr>
            <w:tcW w:w="5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Borders>
              <w:bottom w:val="single" w:sz="8" w:color="auto"/>
            </w:tcBorders>
            <w:gridSpan w:val="4"/>
          </w:tcPr>
          <w:p>
            <w:pPr>
              <w:jc w:val="center"/>
              <w:ind w:left="648"/>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156"/>
        </w:trPr>
        <w:tc>
          <w:tcPr>
            <w:tcW w:w="5780" w:type="dxa"/>
            <w:vAlign w:val="bottom"/>
            <w:gridSpan w:val="2"/>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460" w:type="dxa"/>
            <w:vAlign w:val="bottom"/>
            <w:gridSpan w:val="5"/>
          </w:tcPr>
          <w:p>
            <w:pPr>
              <w:ind w:left="1140"/>
              <w:spacing w:after="0" w:line="155" w:lineRule="exact"/>
              <w:rPr>
                <w:sz w:val="20"/>
                <w:szCs w:val="20"/>
                <w:color w:val="auto"/>
              </w:rPr>
            </w:pPr>
            <w:r>
              <w:rPr>
                <w:rFonts w:ascii="Arial" w:cs="Arial" w:eastAsia="Arial" w:hAnsi="Arial"/>
                <w:sz w:val="14"/>
                <w:szCs w:val="14"/>
                <w:b w:val="1"/>
                <w:bCs w:val="1"/>
                <w:color w:val="auto"/>
                <w:w w:val="96"/>
              </w:rPr>
              <w:t>2016</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jc w:val="right"/>
              <w:ind w:right="348"/>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3"/>
                <w:szCs w:val="13"/>
                <w:color w:val="auto"/>
              </w:rPr>
            </w:pPr>
          </w:p>
        </w:tc>
      </w:tr>
      <w:tr>
        <w:trPr>
          <w:trHeight w:val="223"/>
        </w:trPr>
        <w:tc>
          <w:tcPr>
            <w:tcW w:w="5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7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r>
      <w:tr>
        <w:trPr>
          <w:trHeight w:val="230"/>
        </w:trPr>
        <w:tc>
          <w:tcPr>
            <w:tcW w:w="6500" w:type="dxa"/>
            <w:vAlign w:val="bottom"/>
            <w:gridSpan w:val="3"/>
          </w:tcPr>
          <w:p>
            <w:pPr>
              <w:spacing w:after="0"/>
              <w:rPr>
                <w:sz w:val="20"/>
                <w:szCs w:val="20"/>
                <w:color w:val="auto"/>
              </w:rPr>
            </w:pPr>
            <w:r>
              <w:rPr>
                <w:rFonts w:ascii="Arial" w:cs="Arial" w:eastAsia="Arial" w:hAnsi="Arial"/>
                <w:sz w:val="18"/>
                <w:szCs w:val="18"/>
                <w:color w:val="auto"/>
              </w:rPr>
              <w:t>Number of clients with fees greater than $1 million:</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5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Total Financial Advisory</w:t>
            </w:r>
          </w:p>
        </w:tc>
        <w:tc>
          <w:tcPr>
            <w:tcW w:w="5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FF0FC"/>
          </w:tcPr>
          <w:p>
            <w:pPr>
              <w:spacing w:after="0"/>
              <w:rPr>
                <w:sz w:val="19"/>
                <w:szCs w:val="19"/>
                <w:color w:val="auto"/>
              </w:rPr>
            </w:pPr>
          </w:p>
        </w:tc>
      </w:tr>
      <w:tr>
        <w:trPr>
          <w:trHeight w:val="230"/>
        </w:trPr>
        <w:tc>
          <w:tcPr>
            <w:tcW w:w="6500" w:type="dxa"/>
            <w:vAlign w:val="bottom"/>
            <w:gridSpan w:val="3"/>
          </w:tcPr>
          <w:p>
            <w:pPr>
              <w:ind w:left="260"/>
              <w:spacing w:after="0"/>
              <w:rPr>
                <w:sz w:val="20"/>
                <w:szCs w:val="20"/>
                <w:color w:val="auto"/>
              </w:rPr>
            </w:pPr>
            <w:r>
              <w:rPr>
                <w:rFonts w:ascii="Arial" w:cs="Arial" w:eastAsia="Arial" w:hAnsi="Arial"/>
                <w:sz w:val="18"/>
                <w:szCs w:val="18"/>
                <w:color w:val="auto"/>
              </w:rPr>
              <w:t>M&amp;A and Strategic Advisory</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9"/>
                <w:szCs w:val="19"/>
                <w:color w:val="auto"/>
              </w:rPr>
            </w:pPr>
          </w:p>
        </w:tc>
      </w:tr>
      <w:tr>
        <w:trPr>
          <w:trHeight w:val="215"/>
        </w:trPr>
        <w:tc>
          <w:tcPr>
            <w:tcW w:w="6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Percentage of total Financial Advisory net revenue from top 10</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65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clients</w:t>
            </w:r>
          </w:p>
        </w:tc>
        <w:tc>
          <w:tcPr>
            <w:tcW w:w="5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4"/>
              </w:rPr>
              <w:t>43%</w:t>
            </w: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4"/>
              </w:rPr>
              <w:t>40%</w:t>
            </w:r>
          </w:p>
        </w:tc>
        <w:tc>
          <w:tcPr>
            <w:tcW w:w="120" w:type="dxa"/>
            <w:vAlign w:val="bottom"/>
            <w:shd w:val="clear" w:color="auto" w:fill="CFF0FC"/>
          </w:tcPr>
          <w:p>
            <w:pPr>
              <w:spacing w:after="0"/>
              <w:rPr>
                <w:sz w:val="20"/>
                <w:szCs w:val="20"/>
                <w:color w:val="auto"/>
              </w:rPr>
            </w:pPr>
          </w:p>
        </w:tc>
        <w:tc>
          <w:tcPr>
            <w:tcW w:w="13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r>
        <w:trPr>
          <w:trHeight w:val="215"/>
        </w:trPr>
        <w:tc>
          <w:tcPr>
            <w:tcW w:w="6500" w:type="dxa"/>
            <w:vAlign w:val="bottom"/>
            <w:gridSpan w:val="3"/>
          </w:tcPr>
          <w:p>
            <w:pPr>
              <w:spacing w:after="0"/>
              <w:rPr>
                <w:sz w:val="20"/>
                <w:szCs w:val="20"/>
                <w:color w:val="auto"/>
              </w:rPr>
            </w:pPr>
            <w:r>
              <w:rPr>
                <w:rFonts w:ascii="Arial" w:cs="Arial" w:eastAsia="Arial" w:hAnsi="Arial"/>
                <w:sz w:val="18"/>
                <w:szCs w:val="18"/>
                <w:color w:val="auto"/>
              </w:rPr>
              <w:t>Number of M&amp;A transactions completed with values greater than</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500" w:type="dxa"/>
            <w:vAlign w:val="bottom"/>
            <w:gridSpan w:val="3"/>
          </w:tcPr>
          <w:p>
            <w:pPr>
              <w:ind w:left="140"/>
              <w:spacing w:after="0"/>
              <w:rPr>
                <w:sz w:val="20"/>
                <w:szCs w:val="20"/>
                <w:color w:val="auto"/>
              </w:rPr>
            </w:pPr>
            <w:r>
              <w:rPr>
                <w:rFonts w:ascii="Arial" w:cs="Arial" w:eastAsia="Arial" w:hAnsi="Arial"/>
                <w:sz w:val="18"/>
                <w:szCs w:val="18"/>
                <w:color w:val="auto"/>
              </w:rPr>
              <w:t>$500 million (a)</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2090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July 7,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ind w:right="60" w:firstLine="518"/>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Germany, Italy and Spain) and the Asia Pacific region (primarily in Australia) and therefore may not be reflective of the geography in which the clients are located.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68"/>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w:t>
            </w:r>
          </w:p>
        </w:tc>
        <w:tc>
          <w:tcPr>
            <w:tcW w:w="7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EMEA</w:t>
            </w: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360" w:firstLine="51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versus June 30, 2016</w:t>
      </w:r>
    </w:p>
    <w:p>
      <w:pPr>
        <w:spacing w:after="0" w:line="11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Financial Advisory net revenue increased $124 million, or 43%, as compared to the 2016 period. M&amp;A and Strategic Advisory net revenue was $323 million, an increase of $108 million, or 50%, as compared to $215 million in the 2016 period. Restructuring revenue was $88 million, an increase of $16 million, or 22%, as compared to $72 million in the 2016 period. The increase in M&amp;A and Strategic Advisory revenue was primarily due to an increase in the number of, and average transaction fees paid with respect to, completed transactions involving fees greater than $1 million as compared to the 2016 period. Clients which in the aggregate represented a significant portion of our M&amp;A and Strategic Advisory revenue in the 2017 period included Alinta Holdings, Danone, Johnson &amp; Johnson, TIAA-CREF, United Arab Shipping Company and VocaLink.</w:t>
      </w:r>
    </w:p>
    <w:p>
      <w:pPr>
        <w:spacing w:after="0" w:line="17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Restructuring revenue in the 2017 period primarily reflected the closing of large assignments. Clients which in the aggregate represented a significant portion of our Restructuring revenue in the 2017 period included AFGlobal, Peabody Energy and Tidewater.</w:t>
      </w:r>
    </w:p>
    <w:p>
      <w:pPr>
        <w:spacing w:after="0" w:line="170"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Operating expenses increased $80 million, or 34%, as compared to the 2016 period, primarily due to an increase in compensation associated with increased operating revenue.</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Financial Advisory operating income was $97 million, an increase of $44 million, or 83%, as compared to operating income of $53 million in the 2016 period and, as a percentage of net revenue, was 23.6%, as compared to 18.6% in the 2016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versus June 30, 2016</w:t>
      </w:r>
    </w:p>
    <w:p>
      <w:pPr>
        <w:spacing w:after="0" w:line="11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Financial Advisory net revenue increased $194 million, or 35%, as compared to the 2016 period. M&amp;A and Strategic Advisory net revenue was $571 million, an increase of $133 million, or 30%, as compared to $438 million in the 2016 period. Restructuring revenue was $176 million, an increase of $61 million, or 53%, as compared to $115 million in the 2016 period. The increase in M&amp;A and Strategic Advisory revenue was primarily due to an increase in the number of, and average transaction fees paid with respect to, completed transactions involving fees greater than $1 million as compared to the 2016 period.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Restructuring revenue in the 2017 period primarily reflected the closing of large assignments.</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Operating expenses increased $116 million, or 25%, as compared to the 2016 period, primarily due to an increase in compensation associated with increased operating revenue.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ind w:right="340" w:firstLine="518"/>
        <w:spacing w:after="0" w:line="277" w:lineRule="auto"/>
        <w:rPr>
          <w:sz w:val="20"/>
          <w:szCs w:val="20"/>
          <w:color w:val="auto"/>
        </w:rPr>
      </w:pPr>
      <w:r>
        <w:rPr>
          <w:rFonts w:ascii="Arial" w:cs="Arial" w:eastAsia="Arial" w:hAnsi="Arial"/>
          <w:sz w:val="18"/>
          <w:szCs w:val="18"/>
          <w:color w:val="auto"/>
        </w:rPr>
        <w:t>Financial Advisory operating income was $170 million, an increase of $78 million, or 85%, as compared to operating income of $92 million in the 2016 period and, as a percentage of net revenue, was 22.8%, as compared to 16.7% in the 2016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454"/>
              <w:spacing w:after="0" w:line="13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33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48,115</w:t>
            </w:r>
          </w:p>
        </w:tc>
        <w:tc>
          <w:tcPr>
            <w:tcW w:w="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37,012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30,567</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36,243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63,930</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54,668</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188,091</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7,847</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33,165</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31,155</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2,422</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225,761</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80" w:firstLine="518"/>
        <w:spacing w:after="0" w:line="286" w:lineRule="auto"/>
        <w:rPr>
          <w:sz w:val="20"/>
          <w:szCs w:val="20"/>
          <w:color w:val="auto"/>
        </w:rPr>
      </w:pPr>
      <w:r>
        <w:rPr>
          <w:rFonts w:ascii="Arial" w:cs="Arial" w:eastAsia="Arial" w:hAnsi="Arial"/>
          <w:sz w:val="17"/>
          <w:szCs w:val="17"/>
          <w:color w:val="auto"/>
        </w:rPr>
        <w:t>Total AUM at June 30, 2017 was $226 billion, an increase of $28 billion, or 14%, as compared to total AUM of $198 billion at December 31, 2016, primarily due to market and foreign exchange appreciation and net inflows. Average AUM for the three month and six month periods ended June 30, 2017 increased 15% and 14%, respectively, as compared to the three month and six month periods ended June 30, 2016, respectively.</w:t>
      </w:r>
    </w:p>
    <w:p>
      <w:pPr>
        <w:spacing w:after="0" w:line="166"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As of June 30, 2017, approximately 89% of our AUM was managed on behalf of institutional clients, including corporations, labor unions, public pension funds, insurance companies and banks, and through sub-advisory relationships, mutual fund sponsors, broker-dealers and registered advisors, compared to approximately 88% as of December 31, 2016. As of June 30, 2017, approximately 11% of our AUM was managed on behalf of individual client relationships, which are principally with family offices and individuals, compared to approximately 12% at December 31, 2016.</w:t>
      </w:r>
    </w:p>
    <w:p>
      <w:pPr>
        <w:spacing w:after="0" w:line="171"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As of June 30, 2017, AUM with foreign currency exposure represented approximately 73% of our total AUM as compared to 70% at December 31, 2016.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changes in AUM by asset class for the three month and six month periods ended June 30,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June 30, 2017</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8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2"/>
              </w:rPr>
              <w:t>Inflows (a)</w:t>
            </w:r>
          </w:p>
        </w:tc>
        <w:tc>
          <w:tcPr>
            <w:tcW w:w="220" w:type="dxa"/>
            <w:vAlign w:val="bottom"/>
          </w:tcPr>
          <w:p>
            <w:pPr>
              <w:spacing w:after="0"/>
              <w:rPr>
                <w:sz w:val="12"/>
                <w:szCs w:val="12"/>
                <w:color w:val="auto"/>
              </w:rPr>
            </w:pP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178,979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8,506</w:t>
            </w:r>
          </w:p>
        </w:tc>
        <w:tc>
          <w:tcPr>
            <w:tcW w:w="4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(8,440)</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6,206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215,178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7,223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gridSpan w:val="2"/>
          </w:tcPr>
          <w:p>
            <w:pPr>
              <w:jc w:val="right"/>
              <w:ind w:right="139"/>
              <w:spacing w:after="0"/>
              <w:rPr>
                <w:sz w:val="20"/>
                <w:szCs w:val="20"/>
                <w:color w:val="auto"/>
              </w:rPr>
            </w:pPr>
            <w:r>
              <w:rPr>
                <w:rFonts w:ascii="Arial" w:cs="Arial" w:eastAsia="Arial" w:hAnsi="Arial"/>
                <w:sz w:val="18"/>
                <w:szCs w:val="18"/>
                <w:color w:val="auto"/>
                <w:w w:val="99"/>
              </w:rPr>
              <w:t>49</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51" w:name="page52"/>
    <w:bookmarkEnd w:id="51"/>
    <w:p>
      <w:pPr>
        <w:ind w:left="380" w:right="20" w:hanging="372"/>
        <w:spacing w:after="0" w:line="312"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2090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9040" cy="8890"/>
                    </a:xfrm>
                    <a:prstGeom prst="rect">
                      <a:avLst/>
                    </a:prstGeom>
                    <a:noFill/>
                  </pic:spPr>
                </pic:pic>
              </a:graphicData>
            </a:graphic>
          </wp:anchor>
        </w:drawing>
        <w:t>Inflows in the Equity asset class were primarily attributable to the Multi-Regional and Global platforms, and inflows in the Fixed Income asset class were primarily attributable to the Emerging Markets and Multi-Regional platforms. Outflows in the Equity asset class were primarily attributable to the Global and Multi-Regional equity platforms, and outflows in the Fixed Income asset class were primarily attributable to the Emerging Markets platform.</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Six Months Ended June 30, 2017</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(16,736)</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16,429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18,353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60" w:hanging="372"/>
        <w:spacing w:after="0" w:line="259"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Multi-Regional, Global and Emerging Markets platforms, and inflows in the Fixed Income asset class were primarily attributable to the Emerging Markets and Multi-Regional platforms. Outflows in the Equity asset class were primarily attributable to the Multi-Regional, Global and Emerging Markets equity platforms, and outflows in the Fixed Income asset class were primarily attributable to the Emerging Markets and Multi-Regional platforms.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center"/>
              <w:ind w:left="256"/>
              <w:spacing w:after="0"/>
              <w:rPr>
                <w:sz w:val="20"/>
                <w:szCs w:val="20"/>
                <w:color w:val="auto"/>
              </w:rPr>
            </w:pPr>
            <w:r>
              <w:rPr>
                <w:rFonts w:ascii="Arial" w:cs="Arial" w:eastAsia="Arial" w:hAnsi="Arial"/>
                <w:sz w:val="14"/>
                <w:szCs w:val="14"/>
                <w:b w:val="1"/>
                <w:bCs w:val="1"/>
                <w:color w:val="auto"/>
                <w:w w:val="93"/>
              </w:rPr>
              <w:t>Three Months Ended June 30, 2016</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155,812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(7,735)</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30,370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190,554</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2,076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center"/>
              <w:ind w:left="276"/>
              <w:spacing w:after="0"/>
              <w:rPr>
                <w:sz w:val="20"/>
                <w:szCs w:val="20"/>
                <w:color w:val="auto"/>
              </w:rPr>
            </w:pPr>
            <w:r>
              <w:rPr>
                <w:rFonts w:ascii="Arial" w:cs="Arial" w:eastAsia="Arial" w:hAnsi="Arial"/>
                <w:sz w:val="14"/>
                <w:szCs w:val="14"/>
                <w:b w:val="1"/>
                <w:bCs w:val="1"/>
                <w:color w:val="auto"/>
                <w:w w:val="92"/>
              </w:rPr>
              <w:t>Six Months Ended June 30, 2016</w:t>
            </w: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(14,724)</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1,145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(1,707)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1,295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2,685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 of July 25, 2017, AUM was $231.2 billion, a $5.4 billion increase since June 30, 2017. The increase in AUM was due to market appreciation of $3.9 billion and foreign exchange appreciation of $2.2 billion, partially offset by net outflows of $0.7 billion.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2" w:name="page53"/>
    <w:bookmarkEnd w:id="52"/>
    <w:p>
      <w:pPr>
        <w:ind w:right="340" w:firstLine="518"/>
        <w:spacing w:after="0" w:line="277" w:lineRule="auto"/>
        <w:rPr>
          <w:sz w:val="20"/>
          <w:szCs w:val="20"/>
          <w:color w:val="auto"/>
        </w:rPr>
      </w:pPr>
      <w:r>
        <w:rPr>
          <w:rFonts w:ascii="Arial" w:cs="Arial" w:eastAsia="Arial" w:hAnsi="Arial"/>
          <w:sz w:val="18"/>
          <w:szCs w:val="18"/>
          <w:color w:val="auto"/>
        </w:rPr>
        <w:t>Average AUM for the three month and six month periods ended June 30, 2017 and 2016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184,864</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157,315</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177,953</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153,801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30,311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222,208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192,634</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214,495</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20"/>
                <w:szCs w:val="20"/>
                <w:color w:val="auto"/>
              </w:rPr>
            </w:pPr>
          </w:p>
        </w:tc>
      </w:t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309,878</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254,126</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593,241</w:t>
            </w:r>
          </w:p>
        </w:tc>
        <w:tc>
          <w:tcPr>
            <w:tcW w:w="2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499,885</w:t>
            </w:r>
          </w:p>
        </w:tc>
        <w:tc>
          <w:tcPr>
            <w:tcW w:w="180" w:type="dxa"/>
            <w:vAlign w:val="bottom"/>
            <w:shd w:val="clear" w:color="auto" w:fill="CFF0FC"/>
          </w:tcPr>
          <w:p>
            <w:pPr>
              <w:spacing w:after="0"/>
              <w:rPr>
                <w:sz w:val="19"/>
                <w:szCs w:val="19"/>
                <w:color w:val="auto"/>
              </w:rPr>
            </w:pPr>
          </w:p>
        </w:tc>
      </w:tr>
      <w:tr>
        <w:trPr>
          <w:trHeight w:val="24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215,901</w:t>
            </w:r>
          </w:p>
        </w:tc>
        <w:tc>
          <w:tcPr>
            <w:tcW w:w="3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182,702</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404,652</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357,863</w:t>
            </w:r>
          </w:p>
        </w:tc>
        <w:tc>
          <w:tcPr>
            <w:tcW w:w="180" w:type="dxa"/>
            <w:vAlign w:val="bottom"/>
            <w:tcBorders>
              <w:bottom w:val="single" w:sz="8" w:color="CFF0FC"/>
            </w:tcBorders>
          </w:tcPr>
          <w:p>
            <w:pPr>
              <w:spacing w:after="0"/>
              <w:rPr>
                <w:sz w:val="21"/>
                <w:szCs w:val="2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93,977</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71,424</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188,589</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142,022</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Operating Income, as a % of net revenue</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68"/>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7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EMEA</w:t>
            </w: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580" w:firstLine="518"/>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versus June 30, 2016</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Asset Management net revenue increased $56 million, or 22%, as compared to the 2016 period. Management fees and other revenue was $293 million, an increase of $40 million, or 16%, as compared to $253 million in the 2016 period, primarily due to an increase in average AUM. Incentive fees were $17 million, an increase of $16 million as compared to $1 million in the 2016 period.</w:t>
      </w:r>
    </w:p>
    <w:p>
      <w:pPr>
        <w:spacing w:after="0" w:line="181"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Operating expenses increased $33 million, or 18%, as compared to the 2016 period, primarily due to increases in compensation associated with increased operating revenue.</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Asset Management operating income was $94 million, an increase of $23 million, or 32%, as compared to operating income of $71 million in the 2016 period and, as a percentage of net revenue, was 30.3%, as compared to 28.1% in the 2016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Six Months Ended June 30, 2017 versus June 30, 2016</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Asset Management net revenue increased $93 million, or 19%, as compared to the 2016 period. Management fees and other revenue was $569 million, an increase of $72 million, or 14%, as compared to $497 million in the 2016 period, primarily due to an increase in average AUM. Incentive fees were $24 million, an increase of $21 million as compared to $3 million in the 2016 period.</w:t>
      </w:r>
    </w:p>
    <w:p>
      <w:pPr>
        <w:spacing w:after="0" w:line="181"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Operating expenses increased $47 million, or 13%, as compared to the 2016 period, primarily due to increases in compensation associated with increased operating revenue.</w:t>
      </w:r>
    </w:p>
    <w:p>
      <w:pPr>
        <w:spacing w:after="0" w:line="279"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Asset Management operating income was $189 million, an increase of $47 million, or 33%, as compared to operating income of $142 million in the 2016 period and, as a percentage of net revenue, was 31.8%, as compared to 28.4% in the 2016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(12,058)</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(11,787)</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(25,514)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(23,656)</w:t>
            </w: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(10,878)</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(11,114)</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(23,570)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 (Credit)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15,059</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(18,639)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(11,426)</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(36,115)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180" w:firstLine="518"/>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versus June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was substantially unchanged as compared to the 2016 period.</w:t>
      </w:r>
    </w:p>
    <w:p>
      <w:pPr>
        <w:spacing w:after="0" w:line="225"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Other revenue increased $3 million as compared to the 2016 period, primarily due to gains in the 2017 period attributable to investments held in connection with LFI.</w:t>
      </w:r>
    </w:p>
    <w:p>
      <w:pPr>
        <w:spacing w:after="0" w:line="170"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Operating expenses increased $10 million as compared to the 2016 period, primarily due to an increase in compensation and benefits expense, including an increase in charges pertaining to LFI.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versus June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increased $1 million, or 6%, as compared to the 2016 period.</w:t>
      </w:r>
    </w:p>
    <w:p>
      <w:pPr>
        <w:spacing w:after="0" w:line="225"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Other revenue increased $22 million as compared to the 2016 period, primarily due to gains in the 2017 period attributable to investments held in connection with LFI.</w:t>
      </w:r>
    </w:p>
    <w:p>
      <w:pPr>
        <w:spacing w:after="0" w:line="170"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Operating expenses increased $34 million as compared to the 2016 period, primarily due to an increase in compensation and benefits expense, including an increase in charges pertaining to LFI.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ind w:right="260"/>
        <w:spacing w:after="0" w:line="259" w:lineRule="auto"/>
        <w:rPr>
          <w:sz w:val="20"/>
          <w:szCs w:val="20"/>
          <w:color w:val="auto"/>
        </w:rPr>
      </w:pPr>
      <w:r>
        <w:rPr>
          <w:rFonts w:ascii="Arial" w:cs="Arial" w:eastAsia="Arial" w:hAnsi="Arial"/>
          <w:sz w:val="18"/>
          <w:szCs w:val="18"/>
          <w:color w:val="auto"/>
        </w:rPr>
        <w:t>purchases of Class A common stock. M&amp;A and Strategic Advisory and Asset Management fees are generally collected within 60 days of billing, while Restructuring fee collections may extend beyond 60 days, particularly those that involve bankruptcies with court-ordered holdbacks. Fees from our Private Capital Advisory (which we historically referred to as Private Fund Advisory) activities are generally collected over a four-year period from billing and typically include an interest component.</w:t>
      </w:r>
    </w:p>
    <w:p>
      <w:pPr>
        <w:spacing w:after="0" w:line="187"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The Company makes cash payments for, or in respect of, a significant portion of its incentive compensation during the first three months of each calendar year with respect to the prior year’s results. The Company also paid a special dividend in February 2017 and February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10"/>
          </w:tcPr>
          <w:p>
            <w:pPr>
              <w:jc w:val="right"/>
              <w:ind w:right="12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20" w:type="dxa"/>
            <w:vAlign w:val="bottom"/>
            <w:gridSpan w:val="8"/>
          </w:tcPr>
          <w:p>
            <w:pPr>
              <w:jc w:val="right"/>
              <w:ind w:right="1300"/>
              <w:spacing w:after="0" w:line="155" w:lineRule="exact"/>
              <w:rPr>
                <w:sz w:val="20"/>
                <w:szCs w:val="20"/>
                <w:color w:val="auto"/>
              </w:rPr>
            </w:pPr>
            <w:r>
              <w:rPr>
                <w:rFonts w:ascii="Arial" w:cs="Arial" w:eastAsia="Arial" w:hAnsi="Arial"/>
                <w:sz w:val="14"/>
                <w:szCs w:val="14"/>
                <w:b w:val="1"/>
                <w:bCs w:val="1"/>
                <w:color w:val="auto"/>
                <w:w w:val="99"/>
              </w:rPr>
              <w:t>($ in millions)</w:t>
            </w:r>
          </w:p>
        </w:tc>
        <w:tc>
          <w:tcPr>
            <w:tcW w:w="120" w:type="dxa"/>
            <w:vAlign w:val="bottom"/>
          </w:tcPr>
          <w:p>
            <w:pPr>
              <w:spacing w:after="0"/>
              <w:rPr>
                <w:sz w:val="13"/>
                <w:szCs w:val="13"/>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Operating activities: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1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231.3</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FF0FC"/>
          </w:tcPr>
          <w:p>
            <w:pPr>
              <w:spacing w:after="0"/>
              <w:rPr>
                <w:sz w:val="19"/>
                <w:szCs w:val="19"/>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269.2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(222.2)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(375.8)</w:t>
            </w:r>
          </w:p>
        </w:tc>
      </w:tr>
      <w:tr>
        <w:trPr>
          <w:trHeight w:val="223"/>
        </w:trPr>
        <w:tc>
          <w:tcPr>
            <w:tcW w:w="6960" w:type="dxa"/>
            <w:vAlign w:val="bottom"/>
            <w:tcBorders>
              <w:bottom w:val="single" w:sz="8" w:color="CFF0FC"/>
            </w:tcBorders>
            <w:gridSpan w:val="3"/>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278.3</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FF0FC"/>
            </w:tcBorders>
          </w:tcPr>
          <w:p>
            <w:pPr>
              <w:spacing w:after="0"/>
              <w:rPr>
                <w:sz w:val="19"/>
                <w:szCs w:val="19"/>
                <w:color w:val="auto"/>
              </w:rPr>
            </w:pPr>
          </w:p>
        </w:tc>
      </w:tr>
      <w:tr>
        <w:trPr>
          <w:trHeight w:val="223"/>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(9.2)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(11.0)</w:t>
            </w: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Financing activities (c)</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8"/>
                <w:szCs w:val="18"/>
                <w:color w:val="auto"/>
              </w:rPr>
              <w:t>(512.2)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(494.5)</w:t>
            </w: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1"/>
              </w:rPr>
              <w:t>39.9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r>
      <w:tr>
        <w:trPr>
          <w:trHeight w:val="223"/>
        </w:trPr>
        <w:tc>
          <w:tcPr>
            <w:tcW w:w="6960" w:type="dxa"/>
            <w:vAlign w:val="bottom"/>
            <w:gridSpan w:val="3"/>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8"/>
                <w:szCs w:val="18"/>
                <w:color w:val="auto"/>
              </w:rPr>
              <w:t>(203.2)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(485.6)</w:t>
            </w: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6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1,158.8</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1,132.1</w:t>
            </w:r>
          </w:p>
        </w:tc>
        <w:tc>
          <w:tcPr>
            <w:tcW w:w="120" w:type="dxa"/>
            <w:vAlign w:val="bottom"/>
            <w:tcBorders>
              <w:bottom w:val="single" w:sz="8" w:color="CFF0FC"/>
            </w:tcBorders>
          </w:tcPr>
          <w:p>
            <w:pPr>
              <w:spacing w:after="0"/>
              <w:rPr>
                <w:sz w:val="19"/>
                <w:szCs w:val="19"/>
                <w:color w:val="auto"/>
              </w:rPr>
            </w:pPr>
          </w:p>
        </w:tc>
      </w:tr>
      <w:tr>
        <w:trPr>
          <w:trHeight w:val="223"/>
        </w:trPr>
        <w:tc>
          <w:tcPr>
            <w:tcW w:w="696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955.6</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646.5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50"/>
        </w:trPr>
        <w:tc>
          <w:tcPr>
            <w:tcW w:w="6960" w:type="dxa"/>
            <w:vAlign w:val="bottom"/>
            <w:gridSpan w:val="3"/>
          </w:tcPr>
          <w:p>
            <w:pPr>
              <w:spacing w:after="0"/>
              <w:rPr>
                <w:sz w:val="20"/>
                <w:szCs w:val="20"/>
                <w:color w:val="auto"/>
              </w:rPr>
            </w:pPr>
            <w:r>
              <w:rPr>
                <w:rFonts w:ascii="Arial" w:cs="Arial" w:eastAsia="Arial" w:hAnsi="Arial"/>
                <w:sz w:val="18"/>
                <w:szCs w:val="18"/>
                <w:color w:val="auto"/>
              </w:rPr>
              <w:t>(a)  Consists of the following:</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36"/>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6"/>
          </w:tcPr>
          <w:p>
            <w:pPr>
              <w:jc w:val="center"/>
              <w:ind w:left="356"/>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536"/>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4"/>
          </w:tcPr>
          <w:p>
            <w:pPr>
              <w:jc w:val="center"/>
              <w:ind w:left="536"/>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9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Amortization of deferred expenses and stock units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provision (benefit)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Amortization and other acquisition-related costs</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269.2</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242.0</w:t>
            </w: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17" w:lineRule="exact"/>
        <w:rPr>
          <w:rFonts w:ascii="Arial" w:cs="Arial" w:eastAsia="Arial" w:hAnsi="Arial"/>
          <w:sz w:val="18"/>
          <w:szCs w:val="18"/>
          <w:color w:val="auto"/>
        </w:rPr>
      </w:pPr>
    </w:p>
    <w:p>
      <w:pPr>
        <w:ind w:left="380" w:right="80" w:hanging="372"/>
        <w:spacing w:after="0" w:line="308"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Consists primarily of purchases of shares of Class A common stock, tax withholdings related to the settlement of vested restricted stock units (“RSUs”), vested restricted stock awards and vested PRSUs, Class A common stock dividends and distributions to noncontrolling interest 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ind w:right="160" w:firstLine="51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or in “investments” for interest-bearing deposits having original maturities of greater than three months. In the first half of 2017, as reflected on the condensed consolidated statements of financial condition, both “deposits with banks and short-term investments” and “deposits and other customer payables” increased as compared to December 31, 2016, due to a higher level of LFB customer-related demand deposits, primarily from clients and funds managed by LFG.</w:t>
      </w:r>
    </w:p>
    <w:p>
      <w:pPr>
        <w:spacing w:after="0" w:line="193"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condensed consolidated statements of operations.</w:t>
      </w:r>
    </w:p>
    <w:p>
      <w:pPr>
        <w:spacing w:after="0" w:line="165"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dividend payments, purchases of shares of Class A common stock and matters relating to liquidity and to compliance with regulatory net capital requirements. At June 30, 2017, Lazard had approximately $956 million of cash, with such amount including approximately $483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93"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June 30, 2017, Lazard had approximately $174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$23 million (at June 30, 2017 exchange rates).</w:t>
      </w:r>
    </w:p>
    <w:p>
      <w:pPr>
        <w:spacing w:after="0" w:line="187"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The table below sets forth our corporate indebtedness as of June 30, 2017 and December 31, 2016. The agreements with respect to this indebtedness are discussed in more detail in our condensed consolidated financial statements and related notes included elsewhere in this Form 10-Q and in our Form 10-K.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ind w:left="180"/>
              <w:spacing w:after="0" w:line="155" w:lineRule="exact"/>
              <w:rPr>
                <w:sz w:val="20"/>
                <w:szCs w:val="20"/>
                <w:color w:val="auto"/>
              </w:rPr>
            </w:pPr>
            <w:r>
              <w:rPr>
                <w:rFonts w:ascii="Arial" w:cs="Arial" w:eastAsia="Arial" w:hAnsi="Arial"/>
                <w:sz w:val="14"/>
                <w:szCs w:val="14"/>
                <w:b w:val="1"/>
                <w:bCs w:val="1"/>
                <w:color w:val="auto"/>
              </w:rPr>
              <w:t>June 30, 2017</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4"/>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1,189.5</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ind w:right="120" w:firstLine="518"/>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June 30, 2017, Lazard Group was in compliance with such ratios, with its Consolidated Leverage Ratio being 1.14 to 1.00 and its Consolidated Interest Coverage Ratio being 20.96 to 1.00. In any event, no amounts were outstanding under the Amended and Restated Credit Agreement as of June 30, 2017.</w:t>
      </w:r>
    </w:p>
    <w:p>
      <w:pPr>
        <w:spacing w:after="0" w:line="16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June 30, 2017,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At June 30, 2017, total stockholders’ equity was $1,303 million, as compared to $1,294 million at December 31, 2016, including $1,243 million and $1,236 million attributable to Lazard Ltd on the respective dates. The net activity in stockholders’ equity during the six month period ended June 30, 2017 is reflected in the table below (in millions of dollars):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0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Stockholders’ Equity - January 1, 2017</w:t>
            </w:r>
          </w:p>
        </w:tc>
        <w:tc>
          <w:tcPr>
            <w:tcW w:w="214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FF0FC"/>
          </w:tcPr>
          <w:p>
            <w:pPr>
              <w:spacing w:after="0"/>
              <w:rPr>
                <w:sz w:val="19"/>
                <w:szCs w:val="19"/>
                <w:color w:val="auto"/>
              </w:rPr>
            </w:pPr>
          </w:p>
        </w:tc>
      </w:tr>
      <w:tr>
        <w:trPr>
          <w:trHeight w:val="215"/>
        </w:trPr>
        <w:tc>
          <w:tcPr>
            <w:tcW w:w="7000" w:type="dxa"/>
            <w:vAlign w:val="bottom"/>
            <w:gridSpan w:val="3"/>
          </w:tcPr>
          <w:p>
            <w:pPr>
              <w:spacing w:after="0"/>
              <w:rPr>
                <w:sz w:val="20"/>
                <w:szCs w:val="20"/>
                <w:color w:val="auto"/>
              </w:rPr>
            </w:pPr>
            <w:r>
              <w:rPr>
                <w:rFonts w:ascii="Arial" w:cs="Arial" w:eastAsia="Arial" w:hAnsi="Arial"/>
                <w:sz w:val="18"/>
                <w:szCs w:val="18"/>
                <w:color w:val="auto"/>
              </w:rPr>
              <w:t>Adjustment for the cumulative effect on prior years from the adoption of new</w:t>
            </w: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 w:type="dxa"/>
            <w:vAlign w:val="bottom"/>
            <w:tcBorders>
              <w:bottom w:val="single" w:sz="8" w:color="CFF0FC"/>
            </w:tcBorders>
          </w:tcPr>
          <w:p>
            <w:pPr>
              <w:spacing w:after="0"/>
              <w:rPr>
                <w:sz w:val="20"/>
                <w:szCs w:val="20"/>
                <w:color w:val="auto"/>
              </w:rPr>
            </w:pPr>
          </w:p>
        </w:tc>
        <w:tc>
          <w:tcPr>
            <w:tcW w:w="6960" w:type="dxa"/>
            <w:vAlign w:val="bottom"/>
            <w:tcBorders>
              <w:bottom w:val="single" w:sz="8" w:color="CFF0FC"/>
            </w:tcBorders>
            <w:gridSpan w:val="2"/>
          </w:tcPr>
          <w:p>
            <w:pPr>
              <w:ind w:left="100"/>
              <w:spacing w:after="0"/>
              <w:rPr>
                <w:sz w:val="20"/>
                <w:szCs w:val="20"/>
                <w:color w:val="auto"/>
              </w:rPr>
            </w:pPr>
            <w:r>
              <w:rPr>
                <w:rFonts w:ascii="Arial" w:cs="Arial" w:eastAsia="Arial" w:hAnsi="Arial"/>
                <w:sz w:val="18"/>
                <w:szCs w:val="18"/>
                <w:color w:val="auto"/>
              </w:rPr>
              <w:t>accounting guidance related to share-based incentive compensation</w:t>
            </w:r>
          </w:p>
        </w:tc>
        <w:tc>
          <w:tcPr>
            <w:tcW w:w="144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FF0FC"/>
            </w:tcBorders>
          </w:tcPr>
          <w:p>
            <w:pPr>
              <w:spacing w:after="0"/>
              <w:rPr>
                <w:sz w:val="20"/>
                <w:szCs w:val="20"/>
                <w:color w:val="auto"/>
              </w:rPr>
            </w:pPr>
          </w:p>
        </w:tc>
      </w:tr>
      <w:tr>
        <w:trPr>
          <w:trHeight w:val="223"/>
        </w:trPr>
        <w:tc>
          <w:tcPr>
            <w:tcW w:w="70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Balance, as adjusted, January 1, 2017</w:t>
            </w:r>
          </w:p>
        </w:tc>
        <w:tc>
          <w:tcPr>
            <w:tcW w:w="1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FF0FC"/>
          </w:tcPr>
          <w:p>
            <w:pPr>
              <w:spacing w:after="0"/>
              <w:rPr>
                <w:sz w:val="19"/>
                <w:szCs w:val="19"/>
                <w:color w:val="auto"/>
              </w:rPr>
            </w:pPr>
          </w:p>
        </w:tc>
      </w:tr>
      <w:tr>
        <w:trPr>
          <w:trHeight w:val="230"/>
        </w:trPr>
        <w:tc>
          <w:tcPr>
            <w:tcW w:w="700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69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1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69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share-based incentive compensation</w:t>
            </w:r>
          </w:p>
        </w:tc>
        <w:tc>
          <w:tcPr>
            <w:tcW w:w="1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Purchase of Class A common stock</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r>
      <w:tr>
        <w:trPr>
          <w:trHeight w:val="230"/>
        </w:trPr>
        <w:tc>
          <w:tcPr>
            <w:tcW w:w="40" w:type="dxa"/>
            <w:vAlign w:val="bottom"/>
            <w:shd w:val="clear" w:color="auto" w:fill="CFF0FC"/>
          </w:tcPr>
          <w:p>
            <w:pPr>
              <w:spacing w:after="0"/>
              <w:rPr>
                <w:sz w:val="19"/>
                <w:szCs w:val="19"/>
                <w:color w:val="auto"/>
              </w:rPr>
            </w:pPr>
          </w:p>
        </w:tc>
        <w:tc>
          <w:tcPr>
            <w:tcW w:w="69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Settlement of share-based incentive compensation (a)</w:t>
            </w:r>
          </w:p>
        </w:tc>
        <w:tc>
          <w:tcPr>
            <w:tcW w:w="1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w:t>
            </w:r>
          </w:p>
        </w:tc>
      </w:tr>
      <w:tr>
        <w:trPr>
          <w:trHeight w:val="230"/>
        </w:trPr>
        <w:tc>
          <w:tcPr>
            <w:tcW w:w="4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Class A common stock dividends</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r>
      <w:tr>
        <w:trPr>
          <w:trHeight w:val="230"/>
        </w:trPr>
        <w:tc>
          <w:tcPr>
            <w:tcW w:w="40" w:type="dxa"/>
            <w:vAlign w:val="bottom"/>
            <w:shd w:val="clear" w:color="auto" w:fill="CFF0FC"/>
          </w:tcPr>
          <w:p>
            <w:pPr>
              <w:spacing w:after="0"/>
              <w:rPr>
                <w:sz w:val="19"/>
                <w:szCs w:val="19"/>
                <w:color w:val="auto"/>
              </w:rPr>
            </w:pPr>
          </w:p>
        </w:tc>
        <w:tc>
          <w:tcPr>
            <w:tcW w:w="69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Distributions to noncontrolling interests, net</w:t>
            </w:r>
          </w:p>
        </w:tc>
        <w:tc>
          <w:tcPr>
            <w:tcW w:w="1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4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Other - net</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70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Stockholders’ Equity - June 30, 2017</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50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 The rate at which the Company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499"/>
              <w:spacing w:after="0" w:line="158"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2016</w:t>
            </w:r>
          </w:p>
        </w:tc>
        <w:tc>
          <w:tcPr>
            <w:tcW w:w="616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5,646,092</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2017</w:t>
            </w:r>
          </w:p>
        </w:tc>
        <w:tc>
          <w:tcPr>
            <w:tcW w:w="6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4,268,479</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As of June 30, 2017, a total of $170 million of share repurchase authorization remained available under the Company’s share repurchase program, which will expire on December 31,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ind w:right="60" w:firstLine="518"/>
        <w:spacing w:after="0" w:line="277" w:lineRule="auto"/>
        <w:rPr>
          <w:sz w:val="20"/>
          <w:szCs w:val="20"/>
          <w:color w:val="auto"/>
        </w:rPr>
      </w:pPr>
      <w:r>
        <w:rPr>
          <w:rFonts w:ascii="Arial" w:cs="Arial" w:eastAsia="Arial" w:hAnsi="Arial"/>
          <w:sz w:val="18"/>
          <w:szCs w:val="18"/>
          <w:color w:val="auto"/>
        </w:rPr>
        <w:t>During the six month period ended June 30, 2017, the Company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stockholders’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1,502,417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562,375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798,667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$43,490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816,851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83,369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129,020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462,444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9,183</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9,183</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2,328,451</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139,677</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236,268</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691,395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17" w:lineRule="exact"/>
        <w:rPr>
          <w:rFonts w:ascii="Arial" w:cs="Arial" w:eastAsia="Arial" w:hAnsi="Arial"/>
          <w:sz w:val="18"/>
          <w:szCs w:val="18"/>
          <w:color w:val="auto"/>
        </w:rPr>
      </w:pPr>
    </w:p>
    <w:p>
      <w:pPr>
        <w:ind w:left="380" w:right="100" w:hanging="372"/>
        <w:spacing w:after="0" w:line="264"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$6,904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73" w:lineRule="exact"/>
        <w:rPr>
          <w:rFonts w:ascii="Arial" w:cs="Arial" w:eastAsia="Arial" w:hAnsi="Arial"/>
          <w:sz w:val="18"/>
          <w:szCs w:val="18"/>
          <w:color w:val="auto"/>
        </w:rPr>
      </w:pPr>
    </w:p>
    <w:p>
      <w:pPr>
        <w:ind w:left="380" w:right="20" w:hanging="372"/>
        <w:spacing w:after="0" w:line="255"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table above excludes contingent obligations, given the inability to make a reasonably reliable estimate of the timing of the amounts of any such payments. The table above also excludes any possible payments for uncertain tax positions and payments pursuant to the Company’s tax receivable agreement, given that the actual amount and timing of payments under the tax receivable agreement could differ materially from our estimates. At June 30, 2017, a tax receivable agreement obligation of $512,834 was recorded on the condensed consolidated statements of financial condition. See “Critical Accounting Policies and Estimates—Income Taxes” below. See also Notes 10, 12, 13, 14 and 16 of Notes to Condensed Consolidated Financial Statements regarding information in connection with commitments, incentive plans, employee benefit plans, income taxes and tax receivable agreement obligations,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 under the circumstances, the results of which form the basis for making judgments,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ind w:right="300"/>
        <w:spacing w:after="0" w:line="277" w:lineRule="auto"/>
        <w:rPr>
          <w:sz w:val="20"/>
          <w:szCs w:val="20"/>
          <w:color w:val="auto"/>
        </w:rPr>
      </w:pPr>
      <w:r>
        <w:rPr>
          <w:rFonts w:ascii="Arial" w:cs="Arial" w:eastAsia="Arial" w:hAnsi="Arial"/>
          <w:sz w:val="18"/>
          <w:szCs w:val="18"/>
          <w:color w:val="auto"/>
        </w:rPr>
        <w:t>including judgments regarding the carrying values of assets and liabilities, that are not readily apparent from other sources. Actual results may differ from these estimates.</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2016, on a consolidated basis, we recorded gross deferred tax assets of approximately $1.23 billion, with such amount partially offset by a valuation allowance of approximately $70 million (as described below).</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9" w:name="page60"/>
    <w:bookmarkEnd w:id="59"/>
    <w:p>
      <w:pPr>
        <w:ind w:right="20" w:firstLine="51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$70 million of deferred tax assets held by these entities as of December 31, 2016.</w:t>
      </w:r>
    </w:p>
    <w:p>
      <w:pPr>
        <w:spacing w:after="0" w:line="173"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20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On January 1, 2017, we adopted new accounting guidance on share-based incentive compensation. As a result of the adoption of this new guidance, we recognized excess tax benefits of $8.3 million from the vesting of share-based incentive compensation in the provision for income taxes in the condensed consolidated statements of operations for the six month period ended June 30, 2017. Upon adoption of the new guidance, we also recorded deferred tax assets of $81.5 million, net of a valuation allowance of $12.1 million, for previously unrecognized excess tax benefits (including tax benefits from dividends or dividend equivalents) on share-based incentive compensation, with an offsetting adjustment to retained earnings. See Notes 2 and 14 of Notes to Condensed Consolidated Financial Statements for further information on the adoption of this new guidance.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condensed consolidated statements of operations and the classification of cash flows in the relevant periods.</w:t>
      </w:r>
    </w:p>
    <w:p>
      <w:pPr>
        <w:spacing w:after="0" w:line="18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ind w:right="460" w:firstLine="518"/>
        <w:spacing w:after="0" w:line="277" w:lineRule="auto"/>
        <w:rPr>
          <w:sz w:val="20"/>
          <w:szCs w:val="20"/>
          <w:color w:val="auto"/>
        </w:rPr>
      </w:pPr>
      <w:r>
        <w:rPr>
          <w:rFonts w:ascii="Arial" w:cs="Arial" w:eastAsia="Arial" w:hAnsi="Arial"/>
          <w:sz w:val="18"/>
          <w:szCs w:val="18"/>
          <w:color w:val="auto"/>
        </w:rPr>
        <w:t>See Item 1A, “Risk Factors” in our Form 10-K and Note 14 of Notes to Condensed Consolidated Financial Statements for additional information related to income taxes.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Amended and Restated Tax Receivable Agreement</w:t>
      </w:r>
    </w:p>
    <w:p>
      <w:pPr>
        <w:spacing w:after="0" w:line="11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During the period ended June 30, 2015, we released substantially all of our valuation allowance against deferred tax assets. As a result, we accrued a corresponding liability during the period ended June 30, 2015 for amounts relating to the Second Amended and Restated Tax Receivable Agreement, dated as of October 26, 2015 (the “Amended and Restated Tax Receivable Agreement”), between Lazard and LTBP Trust (the “Trust”). See Note 16 of Notes to Condensed Consolidated Financial Statements for additional information regarding the Amended and Restated Tax Receivable Agreement.</w:t>
      </w:r>
    </w:p>
    <w:p>
      <w:pPr>
        <w:spacing w:after="0" w:line="154"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income tax expense.</w:t>
      </w:r>
    </w:p>
    <w:p>
      <w:pPr>
        <w:spacing w:after="0" w:line="15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recorded as of June 30, 2017 and December 31, 2016 was $513 million and $514 million, respectively, and is recorded in “tax receivable agreement obligation” on the condensed consolidated statements of financial condition.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70"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7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453"/>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3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Equities (a)</w:t>
            </w:r>
          </w:p>
        </w:tc>
        <w:tc>
          <w:tcPr>
            <w:tcW w:w="37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109,061</w:t>
            </w:r>
          </w:p>
        </w:tc>
        <w:tc>
          <w:tcPr>
            <w:tcW w:w="6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99,669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3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Alternative investments</w:t>
            </w:r>
          </w:p>
        </w:tc>
        <w:tc>
          <w:tcPr>
            <w:tcW w:w="34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34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134,754</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134,247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Other investments owned:</w:t>
            </w: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3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59,479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Interest-bearing deposits (c)</w:t>
            </w: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 and other</w:t>
            </w:r>
          </w:p>
        </w:tc>
        <w:tc>
          <w:tcPr>
            <w:tcW w:w="34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25,348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investments owned</w:t>
            </w:r>
          </w:p>
        </w:tc>
        <w:tc>
          <w:tcPr>
            <w:tcW w:w="34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119,453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Subtotal</w:t>
            </w:r>
          </w:p>
        </w:tc>
        <w:tc>
          <w:tcPr>
            <w:tcW w:w="34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220,122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Add:</w:t>
            </w: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method (d)</w:t>
            </w:r>
          </w:p>
        </w:tc>
        <w:tc>
          <w:tcPr>
            <w:tcW w:w="3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Private equity consolidated, not owned (e)</w:t>
            </w: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19,557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LFI (f)</w:t>
            </w:r>
          </w:p>
        </w:tc>
        <w:tc>
          <w:tcPr>
            <w:tcW w:w="34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181,826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179,168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Total investments</w:t>
            </w:r>
          </w:p>
        </w:tc>
        <w:tc>
          <w:tcPr>
            <w:tcW w:w="34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421,727</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00" w:type="dxa"/>
            <w:vAlign w:val="bottom"/>
            <w:vMerge w:val="restart"/>
          </w:tcPr>
          <w:p>
            <w:pPr>
              <w:jc w:val="right"/>
              <w:ind w:right="1970"/>
              <w:spacing w:after="0"/>
              <w:rPr>
                <w:sz w:val="20"/>
                <w:szCs w:val="20"/>
                <w:color w:val="auto"/>
              </w:rPr>
            </w:pPr>
            <w:r>
              <w:rPr>
                <w:rFonts w:ascii="Arial" w:cs="Arial" w:eastAsia="Arial" w:hAnsi="Arial"/>
                <w:sz w:val="18"/>
                <w:szCs w:val="18"/>
                <w:color w:val="auto"/>
              </w:rPr>
              <w:t>59</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61" w:name="page62"/>
    <w:bookmarkEnd w:id="61"/>
    <w:p>
      <w:pPr>
        <w:spacing w:after="0"/>
        <w:tabs>
          <w:tab w:leader="none" w:pos="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2090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9040" cy="8890"/>
                    </a:xfrm>
                    <a:prstGeom prst="rect">
                      <a:avLst/>
                    </a:prstGeom>
                    <a:noFill/>
                  </pic:spPr>
                </pic:pic>
              </a:graphicData>
            </a:graphic>
          </wp:anchor>
        </w:drawing>
        <w:t>(a)</w:t>
      </w:r>
      <w:r>
        <w:rPr>
          <w:sz w:val="20"/>
          <w:szCs w:val="20"/>
          <w:color w:val="auto"/>
        </w:rPr>
        <w:tab/>
      </w:r>
      <w:r>
        <w:rPr>
          <w:rFonts w:ascii="Arial" w:cs="Arial" w:eastAsia="Arial" w:hAnsi="Arial"/>
          <w:sz w:val="16"/>
          <w:szCs w:val="16"/>
          <w:color w:val="auto"/>
        </w:rPr>
        <w:t>At June 30, 2017 and December 31, 2016, seed investments in directly owned equity securities were invested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92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9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gridSpan w:val="2"/>
          </w:tcPr>
          <w:p>
            <w:pPr>
              <w:ind w:left="240"/>
              <w:spacing w:after="0"/>
              <w:rPr>
                <w:sz w:val="20"/>
                <w:szCs w:val="20"/>
                <w:color w:val="auto"/>
              </w:rPr>
            </w:pPr>
            <w:r>
              <w:rPr>
                <w:rFonts w:ascii="Arial" w:cs="Arial" w:eastAsia="Arial" w:hAnsi="Arial"/>
                <w:sz w:val="18"/>
                <w:szCs w:val="18"/>
                <w:color w:val="auto"/>
              </w:rPr>
              <w:t>Financials</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Pr>
          <w:p>
            <w:pPr>
              <w:spacing w:after="0"/>
              <w:rPr>
                <w:sz w:val="19"/>
                <w:szCs w:val="19"/>
                <w:color w:val="auto"/>
              </w:rPr>
            </w:pPr>
          </w:p>
        </w:tc>
        <w:tc>
          <w:tcPr>
            <w:tcW w:w="7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100%</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380" w:right="300" w:hanging="372"/>
        <w:spacing w:after="0" w:line="342" w:lineRule="auto"/>
        <w:tabs>
          <w:tab w:leader="none" w:pos="3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$37 million and $34 million as of June 30, 2017 and December 31, 2016, respectively.</w:t>
      </w:r>
    </w:p>
    <w:p>
      <w:pPr>
        <w:spacing w:after="0" w:line="15" w:lineRule="exact"/>
        <w:rPr>
          <w:rFonts w:ascii="Arial" w:cs="Arial" w:eastAsia="Arial" w:hAnsi="Arial"/>
          <w:sz w:val="16"/>
          <w:szCs w:val="16"/>
          <w:color w:val="auto"/>
        </w:rPr>
      </w:pPr>
    </w:p>
    <w:p>
      <w:pPr>
        <w:ind w:left="380" w:right="80" w:hanging="372"/>
        <w:spacing w:after="0" w:line="259"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Short- to medium-term interest rates generally turned negative in Europe during 2014 and remain very low in many other countries and regions throughout the world. In the normal course of asset and liability management activities,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78" w:lineRule="exact"/>
        <w:rPr>
          <w:rFonts w:ascii="Arial" w:cs="Arial" w:eastAsia="Arial" w:hAnsi="Arial"/>
          <w:sz w:val="18"/>
          <w:szCs w:val="18"/>
          <w:color w:val="auto"/>
        </w:rPr>
      </w:pPr>
    </w:p>
    <w:p>
      <w:pPr>
        <w:ind w:left="380" w:hanging="372"/>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117" w:lineRule="exact"/>
        <w:rPr>
          <w:rFonts w:ascii="Arial" w:cs="Arial" w:eastAsia="Arial" w:hAnsi="Arial"/>
          <w:sz w:val="18"/>
          <w:szCs w:val="18"/>
          <w:color w:val="auto"/>
        </w:rPr>
      </w:pPr>
    </w:p>
    <w:p>
      <w:pPr>
        <w:jc w:val="both"/>
        <w:ind w:left="380" w:right="100" w:hanging="372"/>
        <w:spacing w:after="0" w:line="264"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73" w:lineRule="exact"/>
        <w:rPr>
          <w:rFonts w:ascii="Arial" w:cs="Arial" w:eastAsia="Arial" w:hAnsi="Arial"/>
          <w:sz w:val="18"/>
          <w:szCs w:val="18"/>
          <w:color w:val="auto"/>
        </w:rPr>
      </w:pPr>
    </w:p>
    <w:p>
      <w:pPr>
        <w:ind w:left="380" w:hanging="372"/>
        <w:spacing w:after="0" w:line="259"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8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At June 30, 2017 and December 31, 2016, total investments with a fair value of $421 million and $459 million, respectively, included $87 million and $130 million, respectively, or 21% and 28%, respectively, of investments that were classified using NAV or its equivalent as a practical expedient. See Notes 4 and 5 of Notes to Condensed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As of June 30, 2017 and December 31, 2016, the Company held seed investments of approximately $135 million and $134 million, respectively. Seed investments held in entities in which the Company maintained a controlling interest were $14 million in five entities as of June 30, 2017, as compared to $41 million in six entities as of December 31, 2016.</w:t>
      </w:r>
    </w:p>
    <w:p>
      <w:pPr>
        <w:spacing w:after="0" w:line="181"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As of June 30, 2017 and December 31, 2016, the Company did not consolidate or deconsolidate any seed investment entities. As such, 100% of the recorded balance of seed investments as of June 30, 2017 and December 31, 2016 represented the Company’s economic interest in the seed investments. See “—Consolidation of Variable Interest Entities” below for more information on the Company’s policy regarding the consolidation of seed investment entities.</w:t>
      </w:r>
    </w:p>
    <w:p>
      <w:pPr>
        <w:spacing w:after="0" w:line="14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2" w:name="page63"/>
    <w:bookmarkEnd w:id="62"/>
    <w:p>
      <w:pPr>
        <w:jc w:val="both"/>
        <w:ind w:right="140" w:firstLine="51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900" w:right="100" w:hanging="379"/>
        <w:spacing w:after="0" w:line="286"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57" w:lineRule="exact"/>
        <w:rPr>
          <w:rFonts w:ascii="Arial" w:cs="Arial" w:eastAsia="Arial" w:hAnsi="Arial"/>
          <w:sz w:val="17"/>
          <w:szCs w:val="17"/>
          <w:color w:val="auto"/>
        </w:rPr>
      </w:pPr>
    </w:p>
    <w:p>
      <w:pPr>
        <w:ind w:left="900" w:right="100" w:hanging="379"/>
        <w:spacing w:after="0" w:line="30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5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91" w:lineRule="exact"/>
        <w:rPr>
          <w:sz w:val="20"/>
          <w:szCs w:val="20"/>
          <w:color w:val="auto"/>
        </w:rPr>
      </w:pPr>
    </w:p>
    <w:p>
      <w:pPr>
        <w:jc w:val="center"/>
        <w:ind w:right="10000"/>
        <w:spacing w:after="0"/>
        <w:rPr>
          <w:sz w:val="20"/>
          <w:szCs w:val="20"/>
          <w:color w:val="auto"/>
        </w:rPr>
      </w:pPr>
      <w:r>
        <w:rPr>
          <w:rFonts w:ascii="Arial" w:cs="Arial" w:eastAsia="Arial" w:hAnsi="Arial"/>
          <w:sz w:val="16"/>
          <w:szCs w:val="16"/>
          <w:b w:val="1"/>
          <w:bCs w:val="1"/>
          <w:color w:val="auto"/>
        </w:rPr>
        <w:t>Risk Management</w:t>
      </w:r>
    </w:p>
    <w:p>
      <w:pPr>
        <w:spacing w:after="0" w:line="144" w:lineRule="exact"/>
        <w:rPr>
          <w:sz w:val="20"/>
          <w:szCs w:val="20"/>
          <w:color w:val="auto"/>
        </w:rPr>
      </w:pPr>
    </w:p>
    <w:p>
      <w:pPr>
        <w:jc w:val="center"/>
        <w:ind w:right="100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right="40"/>
        <w:spacing w:after="0" w:line="308" w:lineRule="auto"/>
        <w:rPr>
          <w:sz w:val="20"/>
          <w:szCs w:val="20"/>
          <w:color w:val="auto"/>
        </w:rPr>
      </w:pPr>
      <w:r>
        <w:rPr>
          <w:rFonts w:ascii="Arial" w:cs="Arial" w:eastAsia="Arial" w:hAnsi="Arial"/>
          <w:sz w:val="17"/>
          <w:szCs w:val="17"/>
          <w:color w:val="auto"/>
        </w:rPr>
        <w:t>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4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Equity Market Price Risk—At June 30, 2017 and December 31, 2016, the Company’s exposure to equity market price risk in its investment portfolio, which primarily relates to investments in equity securities, equity funds and hedge funds, was approximately $104 million and $110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$0.5 million and $1.0 million in the carrying value of such investments as of June 30, 2017 and December 31, 2016, respectively, including the effect of the hedging transactions.</w:t>
      </w:r>
    </w:p>
    <w:p>
      <w:pPr>
        <w:spacing w:after="0" w:line="158"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Interest Rate/Credit Spread Risk—At June 30, 2017 and December 31, 2016, the Company’s exposure to interest rate and credit spread risk in its investment portfolio related to investments in debt securities or funds which invest primarily in debt securities was $60 million and $53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$1.1 million and $0.9 million in the carrying value of such investments as of June 30, 2017 and December 31, 2016, respectively, including the effect of the hedging transactions.</w:t>
      </w:r>
    </w:p>
    <w:p>
      <w:pPr>
        <w:spacing w:after="0" w:line="15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Foreign Exchange Rate Risk—At June 30, 2017 and December 31, 2016, the Company’s exposure to foreign exchange rate risk in its investment portfolio, which primarily relates to investments in foreign currency denominated equity and debt securities, was $65 million and $64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$1.6 million and $1.7 million in the carrying value of such investments as of June 30, 2017 and December 31, 2016, respectively, including the effect of the hedging transactions.</w:t>
      </w:r>
    </w:p>
    <w:p>
      <w:pPr>
        <w:spacing w:after="0" w:line="193"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Private Equity—The Company invests in private equity primarily as a part of its co-investment activities and in connection with certain legacy businesses. At June 30, 2017 and December 31, 2016, the Company’s exposure to changes in fair value of such investments was approximately $59 million and $96 million, respectively. The Company estimates that a hypothetical 10% adverse change in fair value would result in a decrease of approximately $5.9 million and $9.6 million in the carrying value of such investments as of June 30, 2017 and December 31, 2016, respectively.</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June 30, 2017, total receivables amounted to $655 million, net of an allowance for doubtful accounts of $25 million. As of that date, Financial Advisory and Asset Management fees, and customer receivables comprised 81% and 19% of total receivables, respectively. At December 31, 2016, total receivables amounted to $638 million, net of an allowance for doubtful accounts of $16 million. As of that date, Financial Advisory and Asset Management fees, and customer receivables comprised 88% and 12% of total receivables, respectively. At June 30, 2017 and December 31, 2016, the Company had receivables past due or deemed uncollectible of approximately $39 million and $22 million, respectively. See also “Critical Accounting Policies and Estimates—Revenue Recognition” above and Note 3 of Notes to Condensed Consolidated Financial Statements for additional information regarding receivables.</w:t>
      </w:r>
    </w:p>
    <w:p>
      <w:pPr>
        <w:spacing w:after="0" w:line="182"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June 30, 2017 and December 31, 2016, customer receivables included $50 million and $51 million of LFB loans, respectively, with such loans being fully collateralized and closely monitored for counterparty creditworthiness.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4" w:name="page65"/>
    <w:bookmarkEnd w:id="64"/>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$3 million and $2 million at June 30, 2017 and December 31, 2016, respectively, and derivative liabilities, excluding the derivative liability arising from the Company’s obligation pertaining to LFI and other similar deferred compensation arrangements, amounted to $8 million and $12 million at such respective dates.</w:t>
      </w:r>
    </w:p>
    <w:p>
      <w:pPr>
        <w:spacing w:after="0" w:line="158"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$168 million and $170 million at June 30, 2017 and December 31, 2016,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June 30, 2017, Lazard estimates that its annual operating income relating to cash and cash equivalents would increase by approximately $10 million in the event interest rates were to increase by 1% and decrease by approximately $10 million if rates were to decrease by 1%.</w:t>
      </w:r>
    </w:p>
    <w:p>
      <w:pPr>
        <w:spacing w:after="0" w:line="147" w:lineRule="exact"/>
        <w:rPr>
          <w:sz w:val="20"/>
          <w:szCs w:val="20"/>
          <w:color w:val="auto"/>
        </w:rPr>
      </w:pPr>
    </w:p>
    <w:p>
      <w:pPr>
        <w:jc w:val="both"/>
        <w:ind w:right="160" w:firstLine="518"/>
        <w:spacing w:after="0" w:line="288" w:lineRule="auto"/>
        <w:rPr>
          <w:sz w:val="20"/>
          <w:szCs w:val="20"/>
          <w:color w:val="auto"/>
        </w:rPr>
      </w:pPr>
      <w:r>
        <w:rPr>
          <w:rFonts w:ascii="Arial" w:cs="Arial" w:eastAsia="Arial" w:hAnsi="Arial"/>
          <w:sz w:val="16"/>
          <w:szCs w:val="16"/>
          <w:color w:val="auto"/>
        </w:rPr>
        <w:t>As of June 30, 2017, the Company’s cash and cash equivalents totaled approximately $956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w:t>
      </w:r>
    </w:p>
    <w:p>
      <w:pPr>
        <w:ind w:right="280" w:firstLine="8"/>
        <w:spacing w:after="0" w:line="323" w:lineRule="auto"/>
        <w:tabs>
          <w:tab w:leader="none" w:pos="315"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5" w:name="page66"/>
    <w:bookmarkEnd w:id="65"/>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 for the year ended December 31, 2016.</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following table sets forth information regarding Lazard’s purchases of its Class A common stock on a monthly basis during the second quarter of 2017. Share repurchases are recorded on a trade date basis.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per Share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left="280"/>
              <w:spacing w:after="0"/>
              <w:rPr>
                <w:sz w:val="20"/>
                <w:szCs w:val="20"/>
                <w:color w:val="auto"/>
              </w:rPr>
            </w:pPr>
            <w:r>
              <w:rPr>
                <w:rFonts w:ascii="Arial" w:cs="Arial" w:eastAsia="Arial" w:hAnsi="Arial"/>
                <w:sz w:val="14"/>
                <w:szCs w:val="14"/>
                <w:b w:val="1"/>
                <w:bCs w:val="1"/>
                <w:color w:val="auto"/>
                <w:w w:val="91"/>
              </w:rPr>
              <w:t>Programs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April 1 – April 30, 2017</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tcPr>
          <w:p>
            <w:pPr>
              <w:jc w:val="right"/>
              <w:spacing w:after="0"/>
              <w:rPr>
                <w:sz w:val="20"/>
                <w:szCs w:val="20"/>
                <w:color w:val="auto"/>
              </w:rPr>
            </w:pPr>
            <w:r>
              <w:rPr>
                <w:rFonts w:ascii="Arial" w:cs="Arial" w:eastAsia="Arial" w:hAnsi="Arial"/>
                <w:sz w:val="18"/>
                <w:szCs w:val="18"/>
                <w:color w:val="auto"/>
              </w:rPr>
              <w:t>282,308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44.68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282,308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0"/>
              <w:spacing w:after="0"/>
              <w:rPr>
                <w:sz w:val="20"/>
                <w:szCs w:val="20"/>
                <w:color w:val="auto"/>
              </w:rPr>
            </w:pPr>
            <w:r>
              <w:rPr>
                <w:rFonts w:ascii="Arial" w:cs="Arial" w:eastAsia="Arial" w:hAnsi="Arial"/>
                <w:sz w:val="18"/>
                <w:szCs w:val="18"/>
                <w:color w:val="auto"/>
              </w:rPr>
              <w:t>236.5</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46.06</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May 1 – May 31, 2017</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1,421,282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43.48</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1,421,282</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174.7</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tcPr>
          <w:p>
            <w:pPr>
              <w:jc w:val="right"/>
              <w:spacing w:after="0"/>
              <w:rPr>
                <w:sz w:val="20"/>
                <w:szCs w:val="20"/>
                <w:color w:val="auto"/>
              </w:rPr>
            </w:pPr>
            <w:r>
              <w:rPr>
                <w:rFonts w:ascii="Arial" w:cs="Arial" w:eastAsia="Arial" w:hAnsi="Arial"/>
                <w:sz w:val="18"/>
                <w:szCs w:val="18"/>
                <w:color w:val="auto"/>
              </w:rPr>
              <w:t>101,191</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43.45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June 1 – June 30, 2017</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tcPr>
          <w:p>
            <w:pPr>
              <w:jc w:val="right"/>
              <w:spacing w:after="0"/>
              <w:rPr>
                <w:sz w:val="20"/>
                <w:szCs w:val="20"/>
                <w:color w:val="auto"/>
              </w:rPr>
            </w:pPr>
            <w:r>
              <w:rPr>
                <w:rFonts w:ascii="Arial" w:cs="Arial" w:eastAsia="Arial" w:hAnsi="Arial"/>
                <w:sz w:val="18"/>
                <w:szCs w:val="18"/>
                <w:color w:val="auto"/>
              </w:rPr>
              <w:t>99,922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44.31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99,922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0"/>
              <w:spacing w:after="0"/>
              <w:rPr>
                <w:sz w:val="20"/>
                <w:szCs w:val="20"/>
                <w:color w:val="auto"/>
              </w:rPr>
            </w:pPr>
            <w:r>
              <w:rPr>
                <w:rFonts w:ascii="Arial" w:cs="Arial" w:eastAsia="Arial" w:hAnsi="Arial"/>
                <w:sz w:val="18"/>
                <w:szCs w:val="18"/>
                <w:color w:val="auto"/>
              </w:rPr>
              <w:t>170.2</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43.39</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1,803,512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43.72</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1,803,512</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170.2</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tcPr>
          <w:p>
            <w:pPr>
              <w:jc w:val="right"/>
              <w:spacing w:after="0"/>
              <w:rPr>
                <w:sz w:val="20"/>
                <w:szCs w:val="20"/>
                <w:color w:val="auto"/>
              </w:rPr>
            </w:pPr>
            <w:r>
              <w:rPr>
                <w:rFonts w:ascii="Arial" w:cs="Arial" w:eastAsia="Arial" w:hAnsi="Arial"/>
                <w:sz w:val="18"/>
                <w:szCs w:val="18"/>
                <w:color w:val="auto"/>
              </w:rPr>
              <w:t>105,953</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43.49</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2090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380" w:right="120" w:hanging="372"/>
        <w:spacing w:after="0" w:line="277"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During the six months ended June 30, 2017 and since 2014, the Board of Directors of Lazard authorized the repurchase of Class A common stock as set forth in the table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Date</w:t>
            </w: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Repurchase</w:t>
            </w:r>
          </w:p>
        </w:tc>
        <w:tc>
          <w:tcPr>
            <w:tcW w:w="21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Expiration</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Authorization</w:t>
            </w:r>
          </w:p>
        </w:tc>
        <w:tc>
          <w:tcPr>
            <w:tcW w:w="21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April 2014</w:t>
            </w:r>
          </w:p>
        </w:tc>
        <w:tc>
          <w:tcPr>
            <w:tcW w:w="23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December 31, 2015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February 2015</w:t>
            </w:r>
          </w:p>
        </w:tc>
        <w:tc>
          <w:tcPr>
            <w:tcW w:w="268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9"/>
                <w:szCs w:val="19"/>
                <w:color w:val="auto"/>
              </w:rPr>
            </w:pPr>
          </w:p>
        </w:tc>
        <w:tc>
          <w:tcPr>
            <w:tcW w:w="2100" w:type="dxa"/>
            <w:vAlign w:val="bottom"/>
          </w:tcPr>
          <w:p>
            <w:pPr>
              <w:ind w:left="680"/>
              <w:spacing w:after="0"/>
              <w:rPr>
                <w:sz w:val="20"/>
                <w:szCs w:val="20"/>
                <w:color w:val="auto"/>
              </w:rPr>
            </w:pPr>
            <w:r>
              <w:rPr>
                <w:rFonts w:ascii="Arial" w:cs="Arial" w:eastAsia="Arial" w:hAnsi="Arial"/>
                <w:sz w:val="18"/>
                <w:szCs w:val="18"/>
                <w:color w:val="auto"/>
                <w:w w:val="88"/>
              </w:rPr>
              <w:t>December 31, 2016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January 2016</w:t>
            </w:r>
          </w:p>
        </w:tc>
        <w:tc>
          <w:tcPr>
            <w:tcW w:w="268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shd w:val="clear" w:color="auto" w:fill="CFF0FC"/>
          </w:tcPr>
          <w:p>
            <w:pPr>
              <w:spacing w:after="0"/>
              <w:rPr>
                <w:sz w:val="19"/>
                <w:szCs w:val="19"/>
                <w:color w:val="auto"/>
              </w:rPr>
            </w:pPr>
          </w:p>
        </w:tc>
        <w:tc>
          <w:tcPr>
            <w:tcW w:w="210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8"/>
              </w:rPr>
              <w:t>December 31, 2017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April 2016</w:t>
            </w:r>
          </w:p>
        </w:tc>
        <w:tc>
          <w:tcPr>
            <w:tcW w:w="268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113,182</w:t>
            </w:r>
          </w:p>
        </w:tc>
        <w:tc>
          <w:tcPr>
            <w:tcW w:w="240" w:type="dxa"/>
            <w:vAlign w:val="bottom"/>
          </w:tcPr>
          <w:p>
            <w:pPr>
              <w:spacing w:after="0"/>
              <w:rPr>
                <w:sz w:val="19"/>
                <w:szCs w:val="19"/>
                <w:color w:val="auto"/>
              </w:rPr>
            </w:pPr>
          </w:p>
        </w:tc>
        <w:tc>
          <w:tcPr>
            <w:tcW w:w="2100" w:type="dxa"/>
            <w:vAlign w:val="bottom"/>
          </w:tcPr>
          <w:p>
            <w:pPr>
              <w:ind w:left="680"/>
              <w:spacing w:after="0"/>
              <w:rPr>
                <w:sz w:val="20"/>
                <w:szCs w:val="20"/>
                <w:color w:val="auto"/>
              </w:rPr>
            </w:pPr>
            <w:r>
              <w:rPr>
                <w:rFonts w:ascii="Arial" w:cs="Arial" w:eastAsia="Arial" w:hAnsi="Arial"/>
                <w:sz w:val="18"/>
                <w:szCs w:val="18"/>
                <w:color w:val="auto"/>
                <w:w w:val="88"/>
              </w:rPr>
              <w:t>December 31, 2017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November 2016</w:t>
            </w:r>
          </w:p>
        </w:tc>
        <w:tc>
          <w:tcPr>
            <w:tcW w:w="268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236,000</w:t>
            </w:r>
          </w:p>
        </w:tc>
        <w:tc>
          <w:tcPr>
            <w:tcW w:w="240" w:type="dxa"/>
            <w:vAlign w:val="bottom"/>
            <w:shd w:val="clear" w:color="auto" w:fill="CFF0FC"/>
          </w:tcPr>
          <w:p>
            <w:pPr>
              <w:spacing w:after="0"/>
              <w:rPr>
                <w:sz w:val="19"/>
                <w:szCs w:val="19"/>
                <w:color w:val="auto"/>
              </w:rPr>
            </w:pPr>
          </w:p>
        </w:tc>
        <w:tc>
          <w:tcPr>
            <w:tcW w:w="210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8"/>
              </w:rPr>
              <w:t>December 31, 2018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7" w:name="page68"/>
    <w:bookmarkEnd w:id="67"/>
    <w:p>
      <w:pPr>
        <w:ind w:left="380"/>
        <w:spacing w:after="0" w:line="276" w:lineRule="auto"/>
        <w:rPr>
          <w:sz w:val="20"/>
          <w:szCs w:val="20"/>
          <w:color w:val="auto"/>
        </w:rPr>
      </w:pPr>
      <w:r>
        <w:rPr>
          <w:rFonts w:ascii="Arial" w:cs="Arial" w:eastAsia="Arial" w:hAnsi="Arial"/>
          <w:sz w:val="17"/>
          <w:szCs w:val="17"/>
          <w:color w:val="auto"/>
        </w:rPr>
        <w:t>A significant portion of the Company’s purchases under the share repurchase program are used to offset a portion of the shares that have been or will be issued under the 2008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64" w:lineRule="exact"/>
        <w:rPr>
          <w:sz w:val="20"/>
          <w:szCs w:val="20"/>
          <w:color w:val="auto"/>
        </w:rPr>
      </w:pPr>
    </w:p>
    <w:p>
      <w:pPr>
        <w:ind w:left="380" w:right="260" w:hanging="372"/>
        <w:spacing w:after="0" w:line="302" w:lineRule="auto"/>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Under the terms of the 2008 Plan, upon the vesting of RSUs, PRSUs, DSUs and delivery of restricted Class A common stock, shares of Class A common stock may be withheld by the Company to meet the minimum statutory tax withholding requirements. During the three month period ended June 30, 2017, the Company satisfied such obligations in lieu of issuing (i) 78,664 shares of Class A common stock upon the vesting or settlement of 389,311 RSUs and PRSUs and (ii) 27,289 shares of Class A common stock upon the vesting of 195,357 shares of restricted Class A common stock.</w:t>
      </w:r>
    </w:p>
    <w:p>
      <w:pPr>
        <w:spacing w:after="0" w:line="2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060" w:type="dxa"/>
            <w:vAlign w:val="bottom"/>
            <w:gridSpan w:val="28"/>
          </w:tcPr>
          <w:p>
            <w:pPr>
              <w:ind w:left="980"/>
              <w:spacing w:after="0"/>
              <w:rPr>
                <w:sz w:val="20"/>
                <w:szCs w:val="20"/>
                <w:color w:val="auto"/>
              </w:rPr>
            </w:pPr>
            <w:r>
              <w:rPr>
                <w:rFonts w:ascii="Arial" w:cs="Arial" w:eastAsia="Arial" w:hAnsi="Arial"/>
                <w:sz w:val="18"/>
                <w:szCs w:val="18"/>
                <w:b w:val="1"/>
                <w:bCs w:val="1"/>
                <w:color w:val="auto"/>
              </w:rPr>
              <w:t>PART IV</w:t>
            </w:r>
          </w:p>
        </w:tc>
      </w:tr>
      <w:tr>
        <w:trPr>
          <w:trHeight w:val="324"/>
        </w:trPr>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Item 6.</w:t>
            </w:r>
          </w:p>
        </w:tc>
        <w:tc>
          <w:tcPr>
            <w:tcW w:w="10400" w:type="dxa"/>
            <w:vAlign w:val="bottom"/>
            <w:gridSpan w:val="30"/>
          </w:tcPr>
          <w:p>
            <w:pPr>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10400" w:type="dxa"/>
            <w:vAlign w:val="bottom"/>
            <w:gridSpan w:val="30"/>
          </w:tcPr>
          <w:p>
            <w:pPr>
              <w:spacing w:after="0"/>
              <w:rPr>
                <w:rFonts w:ascii="Arial" w:cs="Arial" w:eastAsia="Arial" w:hAnsi="Arial"/>
                <w:sz w:val="18"/>
                <w:szCs w:val="18"/>
                <w:color w:val="0000EE"/>
                <w:w w:val="95"/>
              </w:rPr>
            </w:pPr>
            <w:hyperlink r:id="rId102">
              <w:r>
                <w:rPr>
                  <w:rFonts w:ascii="Arial" w:cs="Arial" w:eastAsia="Arial" w:hAnsi="Arial"/>
                  <w:sz w:val="18"/>
                  <w:szCs w:val="18"/>
                  <w:color w:val="0000EE"/>
                  <w:w w:val="95"/>
                </w:rPr>
                <w:t>Certificate of Incorporation and Memorandum of Association of the Registrant (incorporated by reference to Exhibit 3.1 to the Registrant’s</w:t>
              </w:r>
            </w:hyperlink>
          </w:p>
        </w:tc>
      </w:tr>
      <w:tr>
        <w:trPr>
          <w:trHeight w:val="196"/>
        </w:trPr>
        <w:tc>
          <w:tcPr>
            <w:tcW w:w="104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Registration Statement (File No. 333-121407) on Form S-1/A filed on March 21, 2005).</w:t>
              </w:r>
            </w:hyperlink>
          </w:p>
        </w:tc>
        <w:tc>
          <w:tcPr>
            <w:tcW w:w="3660" w:type="dxa"/>
            <w:vAlign w:val="bottom"/>
            <w:tcBorders>
              <w:top w:val="single" w:sz="8" w:color="0000EE"/>
            </w:tcBorders>
            <w:gridSpan w:val="10"/>
          </w:tcPr>
          <w:p>
            <w:pPr>
              <w:spacing w:after="0"/>
              <w:rPr>
                <w:sz w:val="17"/>
                <w:szCs w:val="17"/>
                <w:color w:val="auto"/>
              </w:rPr>
            </w:pPr>
          </w:p>
        </w:tc>
        <w:tc>
          <w:tcPr>
            <w:tcW w:w="380" w:type="dxa"/>
            <w:vAlign w:val="bottom"/>
            <w:gridSpan w:val="13"/>
          </w:tcPr>
          <w:p>
            <w:pPr>
              <w:spacing w:after="0"/>
              <w:rPr>
                <w:sz w:val="17"/>
                <w:szCs w:val="17"/>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3.2</w:t>
            </w:r>
          </w:p>
        </w:tc>
        <w:tc>
          <w:tcPr>
            <w:tcW w:w="10400" w:type="dxa"/>
            <w:vAlign w:val="bottom"/>
            <w:gridSpan w:val="30"/>
          </w:tcPr>
          <w:p>
            <w:pPr>
              <w:spacing w:after="0"/>
              <w:rPr>
                <w:rFonts w:ascii="Arial" w:cs="Arial" w:eastAsia="Arial" w:hAnsi="Arial"/>
                <w:sz w:val="18"/>
                <w:szCs w:val="18"/>
                <w:color w:val="0000EE"/>
                <w:w w:val="95"/>
              </w:rPr>
            </w:pPr>
            <w:hyperlink r:id="rId103">
              <w:r>
                <w:rPr>
                  <w:rFonts w:ascii="Arial" w:cs="Arial" w:eastAsia="Arial" w:hAnsi="Arial"/>
                  <w:sz w:val="18"/>
                  <w:szCs w:val="18"/>
                  <w:color w:val="0000EE"/>
                  <w:w w:val="95"/>
                </w:rPr>
                <w:t>Certificate of Incorporation on Change of Name of the Registrant (incorporated by reference to Exhibit 3.2 to the Registrant’s Registration</w:t>
              </w:r>
            </w:hyperlink>
          </w:p>
        </w:tc>
      </w:tr>
      <w:tr>
        <w:trPr>
          <w:trHeight w:val="196"/>
        </w:trPr>
        <w:tc>
          <w:tcPr>
            <w:tcW w:w="1040" w:type="dxa"/>
            <w:vAlign w:val="bottom"/>
          </w:tcPr>
          <w:p>
            <w:pPr>
              <w:spacing w:after="0"/>
              <w:rPr>
                <w:sz w:val="17"/>
                <w:szCs w:val="17"/>
                <w:color w:val="auto"/>
              </w:rPr>
            </w:pPr>
          </w:p>
        </w:tc>
        <w:tc>
          <w:tcPr>
            <w:tcW w:w="99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Statement (File No. 333-121407) on Form S-1/A filed on March 21, 2005).</w:t>
              </w:r>
            </w:hyperlink>
          </w:p>
        </w:tc>
        <w:tc>
          <w:tcPr>
            <w:tcW w:w="420" w:type="dxa"/>
            <w:vAlign w:val="bottom"/>
            <w:gridSpan w:val="1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3.3</w:t>
            </w:r>
          </w:p>
        </w:tc>
        <w:tc>
          <w:tcPr>
            <w:tcW w:w="10180" w:type="dxa"/>
            <w:vAlign w:val="bottom"/>
            <w:tcBorders>
              <w:bottom w:val="single" w:sz="8" w:color="0000EE"/>
            </w:tcBorders>
            <w:gridSpan w:val="23"/>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Amended and Restated Bye-Laws of Lazard Ltd (incorporated by reference to Exhibit 3.3 to the Registrant’s Quarterly Report (File No. 001-</w:t>
              </w:r>
            </w:hyperlink>
          </w:p>
        </w:tc>
        <w:tc>
          <w:tcPr>
            <w:tcW w:w="22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0"/>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32492) on Form 10-Q filed on June 16, 2005).</w:t>
              </w:r>
            </w:hyperlink>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3.4</w:t>
            </w:r>
          </w:p>
        </w:tc>
        <w:tc>
          <w:tcPr>
            <w:tcW w:w="10400" w:type="dxa"/>
            <w:vAlign w:val="bottom"/>
            <w:gridSpan w:val="30"/>
          </w:tcPr>
          <w:p>
            <w:pPr>
              <w:spacing w:after="0"/>
              <w:rPr>
                <w:rFonts w:ascii="Arial" w:cs="Arial" w:eastAsia="Arial" w:hAnsi="Arial"/>
                <w:sz w:val="18"/>
                <w:szCs w:val="18"/>
                <w:color w:val="0000EE"/>
                <w:w w:val="94"/>
              </w:rPr>
            </w:pPr>
            <w:hyperlink r:id="rId105">
              <w:r>
                <w:rPr>
                  <w:rFonts w:ascii="Arial" w:cs="Arial" w:eastAsia="Arial" w:hAnsi="Arial"/>
                  <w:sz w:val="18"/>
                  <w:szCs w:val="18"/>
                  <w:color w:val="0000EE"/>
                  <w:w w:val="94"/>
                </w:rPr>
                <w:t>First Amendment to Amended and Restated Bye-Laws of Lazard Ltd (incorporated by reference to Exhibit 3.4 to the Registrant’s Quarterly</w:t>
              </w:r>
            </w:hyperlink>
          </w:p>
        </w:tc>
      </w:tr>
      <w:tr>
        <w:trPr>
          <w:trHeight w:val="196"/>
        </w:trPr>
        <w:tc>
          <w:tcPr>
            <w:tcW w:w="104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Report (File No. 001-32492) on Form 10-Q filed on May 9, 2008).</w:t>
              </w:r>
            </w:hyperlink>
          </w:p>
        </w:tc>
        <w:tc>
          <w:tcPr>
            <w:tcW w:w="5240" w:type="dxa"/>
            <w:vAlign w:val="bottom"/>
            <w:tcBorders>
              <w:top w:val="single" w:sz="8" w:color="0000EE"/>
            </w:tcBorders>
            <w:gridSpan w:val="14"/>
          </w:tcPr>
          <w:p>
            <w:pPr>
              <w:spacing w:after="0"/>
              <w:rPr>
                <w:sz w:val="17"/>
                <w:szCs w:val="17"/>
                <w:color w:val="auto"/>
              </w:rPr>
            </w:pPr>
          </w:p>
        </w:tc>
        <w:tc>
          <w:tcPr>
            <w:tcW w:w="340" w:type="dxa"/>
            <w:vAlign w:val="bottom"/>
            <w:gridSpan w:val="12"/>
          </w:tcPr>
          <w:p>
            <w:pPr>
              <w:spacing w:after="0"/>
              <w:rPr>
                <w:sz w:val="17"/>
                <w:szCs w:val="17"/>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3.5</w:t>
            </w:r>
          </w:p>
        </w:tc>
        <w:tc>
          <w:tcPr>
            <w:tcW w:w="9800" w:type="dxa"/>
            <w:vAlign w:val="bottom"/>
            <w:tcBorders>
              <w:bottom w:val="single" w:sz="8" w:color="0000EE"/>
            </w:tcBorders>
            <w:gridSpan w:val="13"/>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Second Amendment to the Amended and Restated Bye-Laws of Lazard Ltd (incorporated by reference to Exhibit 3.5 to the Registrant’s</w:t>
              </w:r>
            </w:hyperlink>
          </w:p>
        </w:tc>
        <w:tc>
          <w:tcPr>
            <w:tcW w:w="600" w:type="dxa"/>
            <w:vAlign w:val="bottom"/>
            <w:gridSpan w:val="1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70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Quarterly Report (File No. 001-32492) on Form 10-Q filed on April 30, 2010).</w:t>
              </w:r>
            </w:hyperlink>
          </w:p>
        </w:tc>
        <w:tc>
          <w:tcPr>
            <w:tcW w:w="4700" w:type="dxa"/>
            <w:vAlign w:val="bottom"/>
            <w:gridSpan w:val="24"/>
          </w:tcPr>
          <w:p>
            <w:pPr>
              <w:spacing w:after="0"/>
              <w:rPr>
                <w:sz w:val="17"/>
                <w:szCs w:val="17"/>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4.1</w:t>
            </w:r>
          </w:p>
        </w:tc>
        <w:tc>
          <w:tcPr>
            <w:tcW w:w="10400" w:type="dxa"/>
            <w:vAlign w:val="bottom"/>
            <w:gridSpan w:val="30"/>
          </w:tcPr>
          <w:p>
            <w:pPr>
              <w:spacing w:after="0"/>
              <w:rPr>
                <w:rFonts w:ascii="Arial" w:cs="Arial" w:eastAsia="Arial" w:hAnsi="Arial"/>
                <w:sz w:val="18"/>
                <w:szCs w:val="18"/>
                <w:color w:val="0000EE"/>
                <w:w w:val="93"/>
              </w:rPr>
            </w:pPr>
            <w:hyperlink r:id="rId107">
              <w:r>
                <w:rPr>
                  <w:rFonts w:ascii="Arial" w:cs="Arial" w:eastAsia="Arial" w:hAnsi="Arial"/>
                  <w:sz w:val="18"/>
                  <w:szCs w:val="18"/>
                  <w:color w:val="0000EE"/>
                  <w:w w:val="93"/>
                </w:rPr>
                <w:t>Form of Specimen Certificate for Class A common stock (incorporated by reference to Exhibit 4.1 to the Registrant’s Registration Statement</w:t>
              </w:r>
            </w:hyperlink>
          </w:p>
        </w:tc>
      </w:tr>
      <w:tr>
        <w:trPr>
          <w:trHeight w:val="196"/>
        </w:trPr>
        <w:tc>
          <w:tcPr>
            <w:tcW w:w="1040" w:type="dxa"/>
            <w:vAlign w:val="bottom"/>
          </w:tcPr>
          <w:p>
            <w:pPr>
              <w:spacing w:after="0"/>
              <w:rPr>
                <w:sz w:val="17"/>
                <w:szCs w:val="17"/>
                <w:color w:val="auto"/>
              </w:rPr>
            </w:pPr>
          </w:p>
        </w:tc>
        <w:tc>
          <w:tcPr>
            <w:tcW w:w="101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(File No. 333-121407) on Form S-1/A filed on April 11, 2005).</w:t>
              </w:r>
            </w:hyperlink>
          </w:p>
        </w:tc>
        <w:tc>
          <w:tcPr>
            <w:tcW w:w="260" w:type="dxa"/>
            <w:vAlign w:val="bottom"/>
            <w:gridSpan w:val="8"/>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4.2</w:t>
            </w:r>
          </w:p>
        </w:tc>
        <w:tc>
          <w:tcPr>
            <w:tcW w:w="10260" w:type="dxa"/>
            <w:vAlign w:val="bottom"/>
            <w:tcBorders>
              <w:bottom w:val="single" w:sz="8" w:color="0000EE"/>
            </w:tcBorders>
            <w:gridSpan w:val="25"/>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Indenture, dated as of May 10, 2005, by and between Lazard Group LLC and The Bank of New York, as Trustee (incorporated by reference to</w:t>
              </w:r>
            </w:hyperlink>
          </w:p>
        </w:tc>
        <w:tc>
          <w:tcPr>
            <w:tcW w:w="14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0"/>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Exhibit 4.1 to Lazard Group LLC’s Registration Statement (File No. 333-126751)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60" w:type="dxa"/>
            <w:vAlign w:val="bottom"/>
            <w:gridSpan w:val="7"/>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4.3</w:t>
            </w:r>
          </w:p>
        </w:tc>
        <w:tc>
          <w:tcPr>
            <w:tcW w:w="10360" w:type="dxa"/>
            <w:vAlign w:val="bottom"/>
            <w:tcBorders>
              <w:bottom w:val="single" w:sz="8" w:color="0000EE"/>
            </w:tcBorders>
            <w:gridSpan w:val="28"/>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Fourth Supplemental Indenture, dated as of June 21, 2007, between Lazard Group LLC and The Bank of New York, as trustee (incorporated by</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5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reference to Exhibit 4.1 to the Registrant’s Current Report on Form 8-K (File No. 001-32492) filed on June 22, 2007).</w:t>
              </w:r>
            </w:hyperlink>
          </w:p>
        </w:tc>
        <w:tc>
          <w:tcPr>
            <w:tcW w:w="1820" w:type="dxa"/>
            <w:vAlign w:val="bottom"/>
            <w:gridSpan w:val="20"/>
          </w:tcPr>
          <w:p>
            <w:pPr>
              <w:spacing w:after="0"/>
              <w:rPr>
                <w:sz w:val="17"/>
                <w:szCs w:val="17"/>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4.4</w:t>
            </w:r>
          </w:p>
        </w:tc>
        <w:tc>
          <w:tcPr>
            <w:tcW w:w="10400" w:type="dxa"/>
            <w:vAlign w:val="bottom"/>
            <w:gridSpan w:val="30"/>
          </w:tcPr>
          <w:p>
            <w:pPr>
              <w:spacing w:after="0"/>
              <w:rPr>
                <w:rFonts w:ascii="Arial" w:cs="Arial" w:eastAsia="Arial" w:hAnsi="Arial"/>
                <w:sz w:val="18"/>
                <w:szCs w:val="18"/>
                <w:color w:val="0000EE"/>
                <w:w w:val="95"/>
              </w:rPr>
            </w:pPr>
            <w:hyperlink r:id="rId110">
              <w:r>
                <w:rPr>
                  <w:rFonts w:ascii="Arial" w:cs="Arial" w:eastAsia="Arial" w:hAnsi="Arial"/>
                  <w:sz w:val="18"/>
                  <w:szCs w:val="18"/>
                  <w:color w:val="0000EE"/>
                  <w:w w:val="95"/>
                </w:rPr>
                <w:t>Fifth Supplemental Indenture, dated as of November 14, 2013,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60" w:type="dxa"/>
            <w:vAlign w:val="bottom"/>
            <w:gridSpan w:val="7"/>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(incorporated by reference to Exhibit 4.1 to the Registrant’s Current Report on Form 8-K (File No. 001-32492) filed on November 14, 2013).</w:t>
              </w:r>
            </w:hyperlink>
          </w:p>
        </w:tc>
        <w:tc>
          <w:tcPr>
            <w:tcW w:w="200" w:type="dxa"/>
            <w:vAlign w:val="bottom"/>
            <w:gridSpan w:val="6"/>
          </w:tcPr>
          <w:p>
            <w:pPr>
              <w:spacing w:after="0"/>
              <w:rPr>
                <w:sz w:val="17"/>
                <w:szCs w:val="17"/>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4.5</w:t>
            </w:r>
          </w:p>
        </w:tc>
        <w:tc>
          <w:tcPr>
            <w:tcW w:w="10400" w:type="dxa"/>
            <w:vAlign w:val="bottom"/>
            <w:gridSpan w:val="30"/>
          </w:tcPr>
          <w:p>
            <w:pPr>
              <w:spacing w:after="0"/>
              <w:rPr>
                <w:rFonts w:ascii="Arial" w:cs="Arial" w:eastAsia="Arial" w:hAnsi="Arial"/>
                <w:sz w:val="18"/>
                <w:szCs w:val="18"/>
                <w:color w:val="0000EE"/>
                <w:w w:val="95"/>
              </w:rPr>
            </w:pPr>
            <w:hyperlink r:id="rId111">
              <w:r>
                <w:rPr>
                  <w:rFonts w:ascii="Arial" w:cs="Arial" w:eastAsia="Arial" w:hAnsi="Arial"/>
                  <w:sz w:val="18"/>
                  <w:szCs w:val="18"/>
                  <w:color w:val="0000EE"/>
                  <w:w w:val="95"/>
                </w:rPr>
                <w:t>Sixth Supplemental Indenture, dated as of February 13, 2015,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60" w:type="dxa"/>
            <w:vAlign w:val="bottom"/>
            <w:gridSpan w:val="7"/>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0"/>
          </w:tcPr>
          <w:p>
            <w:pPr>
              <w:spacing w:after="0" w:line="196" w:lineRule="exact"/>
              <w:rPr>
                <w:rFonts w:ascii="Arial" w:cs="Arial" w:eastAsia="Arial" w:hAnsi="Arial"/>
                <w:sz w:val="18"/>
                <w:szCs w:val="18"/>
                <w:color w:val="0000EE"/>
                <w:w w:val="94"/>
              </w:rPr>
            </w:pPr>
            <w:hyperlink r:id="rId111">
              <w:r>
                <w:rPr>
                  <w:rFonts w:ascii="Arial" w:cs="Arial" w:eastAsia="Arial" w:hAnsi="Arial"/>
                  <w:sz w:val="18"/>
                  <w:szCs w:val="18"/>
                  <w:color w:val="0000EE"/>
                  <w:w w:val="94"/>
                </w:rPr>
                <w:t>(incorporated by reference to Exhibit 4.1 of the Registrant’s Current Report on Form 8-K (File No. 001-32492) filed on February 13, 2015).</w:t>
              </w:r>
            </w:hyperlink>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60" w:type="dxa"/>
            <w:vAlign w:val="bottom"/>
            <w:gridSpan w:val="7"/>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4.6</w:t>
            </w:r>
          </w:p>
        </w:tc>
        <w:tc>
          <w:tcPr>
            <w:tcW w:w="10120" w:type="dxa"/>
            <w:vAlign w:val="bottom"/>
            <w:tcBorders>
              <w:bottom w:val="single" w:sz="8" w:color="0000EE"/>
            </w:tcBorders>
            <w:gridSpan w:val="21"/>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Seventh Supplemental Indenture, dated as of November 4, 2016, between Lazard Group LLC and The Bank of New York Mellon, as trustee</w:t>
              </w:r>
            </w:hyperlink>
          </w:p>
        </w:tc>
        <w:tc>
          <w:tcPr>
            <w:tcW w:w="28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0"/>
          </w:tcPr>
          <w:p>
            <w:pPr>
              <w:spacing w:after="0" w:line="196" w:lineRule="exact"/>
              <w:rPr>
                <w:rFonts w:ascii="Arial" w:cs="Arial" w:eastAsia="Arial" w:hAnsi="Arial"/>
                <w:sz w:val="18"/>
                <w:szCs w:val="18"/>
                <w:color w:val="0000EE"/>
                <w:w w:val="94"/>
              </w:rPr>
            </w:pPr>
            <w:hyperlink r:id="rId112">
              <w:r>
                <w:rPr>
                  <w:rFonts w:ascii="Arial" w:cs="Arial" w:eastAsia="Arial" w:hAnsi="Arial"/>
                  <w:sz w:val="18"/>
                  <w:szCs w:val="18"/>
                  <w:color w:val="0000EE"/>
                  <w:w w:val="94"/>
                </w:rPr>
                <w:t>(incorporated by reference to Exhibit 4.1 of the Registrant’s Current Report on Form 8-K (File No. 001-32492) filed on November 7, 2016).</w:t>
              </w:r>
            </w:hyperlink>
          </w:p>
        </w:tc>
      </w:tr>
      <w:tr>
        <w:trPr>
          <w:trHeight w:val="35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4.7</w:t>
            </w:r>
          </w:p>
        </w:tc>
        <w:tc>
          <w:tcPr>
            <w:tcW w:w="1010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auto"/>
              </w:rPr>
              <w:t>Form of Senior Note (included in Exhibits 4.3, 4.4, 4.5 and 4.6).</w:t>
            </w:r>
          </w:p>
        </w:tc>
        <w:tc>
          <w:tcPr>
            <w:tcW w:w="300" w:type="dxa"/>
            <w:vAlign w:val="bottom"/>
            <w:gridSpan w:val="10"/>
          </w:tcPr>
          <w:p>
            <w:pPr>
              <w:spacing w:after="0"/>
              <w:rPr>
                <w:sz w:val="24"/>
                <w:szCs w:val="24"/>
                <w:color w:val="auto"/>
              </w:rPr>
            </w:pPr>
          </w:p>
        </w:tc>
      </w:tr>
      <w:tr>
        <w:trPr>
          <w:trHeight w:val="29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10.1</w:t>
            </w:r>
          </w:p>
        </w:tc>
        <w:tc>
          <w:tcPr>
            <w:tcW w:w="10360" w:type="dxa"/>
            <w:vAlign w:val="bottom"/>
            <w:tcBorders>
              <w:bottom w:val="single" w:sz="8" w:color="0000EE"/>
            </w:tcBorders>
            <w:gridSpan w:val="28"/>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Amended and Restated Operating Agreement of Lazard Group LLC, dated as of October 26, 2015 (incorporated by reference to Exhibit 10.1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8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Registrant’s Quarterly Report (File No. 001-32492) on Form 10-Q filed on October 28, 2015).</w:t>
              </w:r>
            </w:hyperlink>
          </w:p>
        </w:tc>
        <w:tc>
          <w:tcPr>
            <w:tcW w:w="3600" w:type="dxa"/>
            <w:vAlign w:val="bottom"/>
            <w:gridSpan w:val="22"/>
          </w:tcPr>
          <w:p>
            <w:pPr>
              <w:spacing w:after="0"/>
              <w:rPr>
                <w:sz w:val="17"/>
                <w:szCs w:val="17"/>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10.2</w:t>
            </w:r>
          </w:p>
        </w:tc>
        <w:tc>
          <w:tcPr>
            <w:tcW w:w="10400" w:type="dxa"/>
            <w:vAlign w:val="bottom"/>
            <w:gridSpan w:val="30"/>
          </w:tcPr>
          <w:p>
            <w:pPr>
              <w:spacing w:after="0"/>
              <w:rPr>
                <w:rFonts w:ascii="Arial" w:cs="Arial" w:eastAsia="Arial" w:hAnsi="Arial"/>
                <w:sz w:val="18"/>
                <w:szCs w:val="18"/>
                <w:color w:val="0000EE"/>
                <w:w w:val="95"/>
              </w:rPr>
            </w:pPr>
            <w:hyperlink r:id="rId114">
              <w:r>
                <w:rPr>
                  <w:rFonts w:ascii="Arial" w:cs="Arial" w:eastAsia="Arial" w:hAnsi="Arial"/>
                  <w:sz w:val="18"/>
                  <w:szCs w:val="18"/>
                  <w:color w:val="0000EE"/>
                  <w:w w:val="95"/>
                </w:rPr>
                <w:t>Amendment No.1 to Amended and Restated Operating Agreement of Lazard Group LLC, dated as of October 27, 2016 (incorporated by</w:t>
              </w:r>
            </w:hyperlink>
          </w:p>
        </w:tc>
      </w:tr>
      <w:tr>
        <w:trPr>
          <w:trHeight w:val="196"/>
        </w:trPr>
        <w:tc>
          <w:tcPr>
            <w:tcW w:w="104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reference to Exhibit 10.2 to Registrant’s Quarterly Report (File No. 001-32492) on Form 10-Q filed on October 28, 2016).</w:t>
              </w:r>
            </w:hyperlink>
          </w:p>
        </w:tc>
        <w:tc>
          <w:tcPr>
            <w:tcW w:w="1060" w:type="dxa"/>
            <w:vAlign w:val="bottom"/>
            <w:tcBorders>
              <w:top w:val="single" w:sz="8" w:color="0000EE"/>
            </w:tcBorders>
            <w:gridSpan w:val="3"/>
          </w:tcPr>
          <w:p>
            <w:pPr>
              <w:spacing w:after="0"/>
              <w:rPr>
                <w:sz w:val="17"/>
                <w:szCs w:val="17"/>
                <w:color w:val="auto"/>
              </w:rPr>
            </w:pPr>
          </w:p>
        </w:tc>
        <w:tc>
          <w:tcPr>
            <w:tcW w:w="520" w:type="dxa"/>
            <w:vAlign w:val="bottom"/>
            <w:gridSpan w:val="16"/>
          </w:tcPr>
          <w:p>
            <w:pPr>
              <w:spacing w:after="0"/>
              <w:rPr>
                <w:sz w:val="17"/>
                <w:szCs w:val="17"/>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10.3</w:t>
            </w:r>
          </w:p>
        </w:tc>
        <w:tc>
          <w:tcPr>
            <w:tcW w:w="10360" w:type="dxa"/>
            <w:vAlign w:val="bottom"/>
            <w:tcBorders>
              <w:bottom w:val="single" w:sz="8" w:color="0000EE"/>
            </w:tcBorders>
            <w:gridSpan w:val="28"/>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Second Amended and Restated Tax Receivable Agreement, dated as of October 26, 2015, by and among Ltd Sub A, Ltd Sub B and LTBP Trust</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0"/>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(incorporated by reference to Exhibit 10.2 to the Registrant’s Quarterly Report (File No. 001-32492) on Form 10-Q filed on October 28, 2015).</w:t>
              </w:r>
            </w:hyperlink>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520" w:type="dxa"/>
            <w:vAlign w:val="bottom"/>
            <w:gridSpan w:val="8"/>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280" w:type="dxa"/>
            <w:vAlign w:val="bottom"/>
            <w:gridSpan w:val="11"/>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10.4</w:t>
            </w:r>
          </w:p>
        </w:tc>
        <w:tc>
          <w:tcPr>
            <w:tcW w:w="10340" w:type="dxa"/>
            <w:vAlign w:val="bottom"/>
            <w:tcBorders>
              <w:bottom w:val="single" w:sz="8" w:color="0000EE"/>
            </w:tcBorders>
            <w:gridSpan w:val="27"/>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Lease, dated as of January 27, 1994, by and between Rockefeller Center Properties and Lazard Frères &amp; Co. LLC (incorporated by reference to</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0"/>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Exhibit 10.19 to the Registrant’s Registration Statement (File No. 333-121407) on Form S-1/A filed on February 11, 2005).</w:t>
              </w:r>
            </w:hyperlink>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520" w:type="dxa"/>
            <w:vAlign w:val="bottom"/>
            <w:gridSpan w:val="8"/>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2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10.5</w:t>
            </w:r>
          </w:p>
        </w:tc>
        <w:tc>
          <w:tcPr>
            <w:tcW w:w="10400" w:type="dxa"/>
            <w:vAlign w:val="bottom"/>
            <w:gridSpan w:val="30"/>
          </w:tcPr>
          <w:p>
            <w:pPr>
              <w:spacing w:after="0"/>
              <w:rPr>
                <w:rFonts w:ascii="Arial" w:cs="Arial" w:eastAsia="Arial" w:hAnsi="Arial"/>
                <w:sz w:val="18"/>
                <w:szCs w:val="18"/>
                <w:color w:val="auto"/>
                <w:w w:val="90"/>
              </w:rPr>
            </w:pPr>
            <w:hyperlink r:id="rId117">
              <w:r>
                <w:rPr>
                  <w:rFonts w:ascii="Arial" w:cs="Arial" w:eastAsia="Arial" w:hAnsi="Arial"/>
                  <w:sz w:val="18"/>
                  <w:szCs w:val="18"/>
                  <w:color w:val="auto"/>
                  <w:w w:val="90"/>
                </w:rPr>
                <w:t xml:space="preserve">Fourth </w:t>
              </w:r>
              <w:r>
                <w:rPr>
                  <w:rFonts w:ascii="Arial" w:cs="Arial" w:eastAsia="Arial" w:hAnsi="Arial"/>
                  <w:sz w:val="18"/>
                  <w:szCs w:val="18"/>
                  <w:color w:val="0000EE"/>
                  <w:w w:val="90"/>
                </w:rPr>
                <w:t>Amendment dated as of February 16, 2011, by and among RCPI Landmark Properties, L.L.C. (as the successor in interest to Rockefeller</w:t>
              </w:r>
            </w:hyperlink>
          </w:p>
        </w:tc>
      </w:tr>
      <w:tr>
        <w:trPr>
          <w:trHeight w:val="20"/>
        </w:trPr>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520" w:type="dxa"/>
            <w:vAlign w:val="bottom"/>
            <w:gridSpan w:val="8"/>
            <w:shd w:val="clear" w:color="auto" w:fill="0000EE"/>
          </w:tcPr>
          <w:p>
            <w:pPr>
              <w:spacing w:after="0" w:line="20" w:lineRule="exact"/>
              <w:rPr>
                <w:sz w:val="1"/>
                <w:szCs w:val="1"/>
                <w:color w:val="auto"/>
              </w:rPr>
            </w:pPr>
          </w:p>
        </w:tc>
        <w:tc>
          <w:tcPr>
            <w:tcW w:w="2120" w:type="dxa"/>
            <w:vAlign w:val="bottom"/>
            <w:gridSpan w:val="1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Center Properties), RCPI 30 Rock 22234849, L.L.C. and Lazard Group LLC (as the successor in interest to Lazard Frères &amp; Co. LLC), to the</w:t>
              </w:r>
            </w:hyperlink>
          </w:p>
        </w:tc>
        <w:tc>
          <w:tcPr>
            <w:tcW w:w="20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Lease dated as of January 27, 1994, by and among Rockefeller Center Properties and Lazard Frères &amp; Co. LLC (incorporated by reference to</w:t>
              </w:r>
            </w:hyperlink>
          </w:p>
        </w:tc>
        <w:tc>
          <w:tcPr>
            <w:tcW w:w="22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0"/>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Exhibit 10.16 to the Registrant’s Quarterly Report (File No. 001-32492) on Form 10-Q filed on April 29, 2011).</w:t>
              </w:r>
            </w:hyperlink>
          </w:p>
        </w:tc>
      </w:tr>
      <w:tr>
        <w:trPr>
          <w:trHeight w:val="574"/>
        </w:trPr>
        <w:tc>
          <w:tcPr>
            <w:tcW w:w="1040" w:type="dxa"/>
            <w:vAlign w:val="bottom"/>
          </w:tcPr>
          <w:p>
            <w:pPr>
              <w:spacing w:after="0"/>
              <w:rPr>
                <w:sz w:val="24"/>
                <w:szCs w:val="24"/>
                <w:color w:val="auto"/>
              </w:rPr>
            </w:pPr>
          </w:p>
        </w:tc>
        <w:tc>
          <w:tcPr>
            <w:tcW w:w="4820" w:type="dxa"/>
            <w:vAlign w:val="bottom"/>
            <w:tcBorders>
              <w:top w:val="single" w:sz="8" w:color="0000EE"/>
            </w:tcBorders>
            <w:gridSpan w:val="4"/>
          </w:tcPr>
          <w:p>
            <w:pPr>
              <w:ind w:left="4580"/>
              <w:spacing w:after="0"/>
              <w:rPr>
                <w:sz w:val="20"/>
                <w:szCs w:val="20"/>
                <w:color w:val="auto"/>
              </w:rPr>
            </w:pPr>
            <w:r>
              <w:rPr>
                <w:rFonts w:ascii="Arial" w:cs="Arial" w:eastAsia="Arial" w:hAnsi="Arial"/>
                <w:sz w:val="18"/>
                <w:szCs w:val="18"/>
                <w:color w:val="auto"/>
              </w:rPr>
              <w:t>67</w:t>
            </w: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Arial" w:cs="Arial" w:eastAsia="Arial" w:hAnsi="Arial"/>
                <w:sz w:val="18"/>
                <w:szCs w:val="18"/>
                <w:color w:val="auto"/>
              </w:rPr>
              <w:t>10.6</w:t>
            </w:r>
          </w:p>
        </w:tc>
        <w:tc>
          <w:tcPr>
            <w:tcW w:w="10400" w:type="dxa"/>
            <w:vAlign w:val="bottom"/>
            <w:gridSpan w:val="36"/>
          </w:tcPr>
          <w:p>
            <w:pPr>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Occupational Lease, dated as of August 9, 2002, by and among Burford (Stratton) Nominee 1 Limited, Burford (Stratton) Nominee 2 Limited,</w:t>
              </w:r>
            </w:hyperlink>
          </w:p>
        </w:tc>
      </w:tr>
      <w:tr>
        <w:trPr>
          <w:trHeight w:val="196"/>
        </w:trPr>
        <w:tc>
          <w:tcPr>
            <w:tcW w:w="1040" w:type="dxa"/>
            <w:vAlign w:val="bottom"/>
          </w:tcPr>
          <w:p>
            <w:pPr>
              <w:spacing w:after="0"/>
              <w:rPr>
                <w:sz w:val="17"/>
                <w:szCs w:val="17"/>
                <w:color w:val="auto"/>
              </w:rPr>
            </w:pPr>
          </w:p>
        </w:tc>
        <w:tc>
          <w:tcPr>
            <w:tcW w:w="70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Burford (Stratton) Limited, Lazard &amp; Co., Limited and Lazard LLC (incorporated by reference to</w:t>
              </w:r>
            </w:hyperlink>
          </w:p>
        </w:tc>
        <w:tc>
          <w:tcPr>
            <w:tcW w:w="3220" w:type="dxa"/>
            <w:vAlign w:val="bottom"/>
            <w:tcBorders>
              <w:top w:val="single" w:sz="8" w:color="0000EE"/>
            </w:tcBorders>
            <w:gridSpan w:val="16"/>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Exhibit 10.21 to the Registrant’s Registration Statement (File No. 333-121407) on Form S-1/A filed on February 11, 2005).</w:t>
              </w:r>
            </w:hyperlink>
          </w:p>
        </w:tc>
      </w:tr>
      <w:tr>
        <w:trPr>
          <w:trHeight w:val="20"/>
        </w:trPr>
        <w:tc>
          <w:tcPr>
            <w:tcW w:w="104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10.7*</w:t>
            </w:r>
          </w:p>
        </w:tc>
        <w:tc>
          <w:tcPr>
            <w:tcW w:w="10100" w:type="dxa"/>
            <w:vAlign w:val="bottom"/>
            <w:tcBorders>
              <w:bottom w:val="single" w:sz="8" w:color="0000EE"/>
            </w:tcBorders>
            <w:gridSpan w:val="25"/>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Lazard Ltd 2005 Equity Incentive Plan (incorporated by reference to Exhibit 10.21 to the Registrant’s Registration Statement (File No. 333-</w:t>
              </w:r>
            </w:hyperlink>
          </w:p>
        </w:tc>
        <w:tc>
          <w:tcPr>
            <w:tcW w:w="30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121407) on Form S-1/A filed on May 2, 2005).</w:t>
              </w:r>
            </w:hyperlink>
          </w:p>
        </w:tc>
      </w:tr>
      <w:tr>
        <w:trPr>
          <w:trHeight w:val="20"/>
        </w:trPr>
        <w:tc>
          <w:tcPr>
            <w:tcW w:w="104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10.8*</w:t>
            </w:r>
          </w:p>
        </w:tc>
        <w:tc>
          <w:tcPr>
            <w:tcW w:w="9800" w:type="dxa"/>
            <w:vAlign w:val="bottom"/>
            <w:tcBorders>
              <w:bottom w:val="single" w:sz="8" w:color="0000EE"/>
            </w:tcBorders>
            <w:gridSpan w:val="18"/>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Lazard Ltd 2008 Incentive Compensation Plan (incorporated by reference to Annex B to the Registrant’s Definitive Proxy Statement on</w:t>
              </w:r>
            </w:hyperlink>
          </w:p>
        </w:tc>
        <w:tc>
          <w:tcPr>
            <w:tcW w:w="600" w:type="dxa"/>
            <w:vAlign w:val="bottom"/>
            <w:gridSpan w:val="1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5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Schedule 14A (File No. 001-32492) filed on March 24, 2008).</w:t>
              </w:r>
            </w:hyperlink>
          </w:p>
        </w:tc>
        <w:tc>
          <w:tcPr>
            <w:tcW w:w="5900" w:type="dxa"/>
            <w:vAlign w:val="bottom"/>
            <w:gridSpan w:val="25"/>
          </w:tcPr>
          <w:p>
            <w:pPr>
              <w:spacing w:after="0"/>
              <w:rPr>
                <w:sz w:val="17"/>
                <w:szCs w:val="17"/>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10.9*</w:t>
            </w:r>
          </w:p>
        </w:tc>
        <w:tc>
          <w:tcPr>
            <w:tcW w:w="10320" w:type="dxa"/>
            <w:vAlign w:val="bottom"/>
            <w:tcBorders>
              <w:bottom w:val="single" w:sz="8" w:color="0000EE"/>
            </w:tcBorders>
            <w:gridSpan w:val="34"/>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Lazard Ltd 2016 French Sub-plan (incorporated by reference to Annex B to the Registrant’s Definitive Proxy Statement on Schedule 14A (File</w:t>
              </w:r>
            </w:hyperlink>
          </w:p>
        </w:tc>
        <w:tc>
          <w:tcPr>
            <w:tcW w:w="8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0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No. 001-32492) filed on March 10, 2016).</w:t>
              </w:r>
            </w:hyperlink>
          </w:p>
        </w:tc>
        <w:tc>
          <w:tcPr>
            <w:tcW w:w="7340" w:type="dxa"/>
            <w:vAlign w:val="bottom"/>
            <w:gridSpan w:val="34"/>
          </w:tcPr>
          <w:p>
            <w:pPr>
              <w:spacing w:after="0"/>
              <w:rPr>
                <w:sz w:val="17"/>
                <w:szCs w:val="17"/>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10.10*</w:t>
            </w:r>
          </w:p>
        </w:tc>
        <w:tc>
          <w:tcPr>
            <w:tcW w:w="10240" w:type="dxa"/>
            <w:vAlign w:val="bottom"/>
            <w:tcBorders>
              <w:bottom w:val="single" w:sz="8" w:color="0000EE"/>
            </w:tcBorders>
            <w:gridSpan w:val="30"/>
          </w:tcPr>
          <w:p>
            <w:pPr>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2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the Registrant, Lazard Group LLC and Kenneth M. Jacobs (incorporated by reference to Exhibit 10.9 to the Registrant’s Quarterly Report (File</w:t>
              </w:r>
            </w:hyperlink>
          </w:p>
        </w:tc>
        <w:tc>
          <w:tcPr>
            <w:tcW w:w="8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No. 001-32492) on Form 10-Q filed on April 27, 2016).</w:t>
              </w:r>
            </w:hyperlink>
          </w:p>
        </w:tc>
        <w:tc>
          <w:tcPr>
            <w:tcW w:w="6360" w:type="dxa"/>
            <w:vAlign w:val="bottom"/>
            <w:gridSpan w:val="28"/>
          </w:tcPr>
          <w:p>
            <w:pPr>
              <w:spacing w:after="0"/>
              <w:rPr>
                <w:sz w:val="17"/>
                <w:szCs w:val="17"/>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10.11*</w:t>
            </w:r>
          </w:p>
        </w:tc>
        <w:tc>
          <w:tcPr>
            <w:tcW w:w="10220" w:type="dxa"/>
            <w:vAlign w:val="bottom"/>
            <w:tcBorders>
              <w:bottom w:val="single" w:sz="8" w:color="0000EE"/>
            </w:tcBorders>
            <w:gridSpan w:val="29"/>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the Registrant, Lazard Group LLC and Ashish Bhutani (incorporated by reference to Exhibit 10.10 to the Registrant’s Quarterly Report (File</w:t>
              </w:r>
            </w:hyperlink>
          </w:p>
        </w:tc>
        <w:tc>
          <w:tcPr>
            <w:tcW w:w="26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125">
              <w:r>
                <w:rPr>
                  <w:rFonts w:ascii="Arial" w:cs="Arial" w:eastAsia="Arial" w:hAnsi="Arial"/>
                  <w:sz w:val="18"/>
                  <w:szCs w:val="18"/>
                  <w:color w:val="0000EE"/>
                  <w:w w:val="93"/>
                </w:rPr>
                <w:t>No. 001-32492) on Form 10-Q filed on April 27, 2016).</w:t>
              </w:r>
            </w:hyperlink>
          </w:p>
        </w:tc>
        <w:tc>
          <w:tcPr>
            <w:tcW w:w="6360" w:type="dxa"/>
            <w:vAlign w:val="bottom"/>
            <w:gridSpan w:val="28"/>
          </w:tcPr>
          <w:p>
            <w:pPr>
              <w:spacing w:after="0"/>
              <w:rPr>
                <w:sz w:val="17"/>
                <w:szCs w:val="17"/>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10.12*</w:t>
            </w:r>
          </w:p>
        </w:tc>
        <w:tc>
          <w:tcPr>
            <w:tcW w:w="10240" w:type="dxa"/>
            <w:vAlign w:val="bottom"/>
            <w:tcBorders>
              <w:bottom w:val="single" w:sz="8" w:color="0000EE"/>
            </w:tcBorders>
            <w:gridSpan w:val="30"/>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2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the Registrant, Lazard Group LLC and Matthieu Bucaille (incorporated by reference to Exhibit 10.11 to the Registrant’s Quarterly Report (File</w:t>
              </w:r>
            </w:hyperlink>
          </w:p>
        </w:tc>
        <w:tc>
          <w:tcPr>
            <w:tcW w:w="8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No. 001-32492) on Form 10-Q filed on April 27, 2016).</w:t>
              </w:r>
            </w:hyperlink>
          </w:p>
        </w:tc>
        <w:tc>
          <w:tcPr>
            <w:tcW w:w="6360" w:type="dxa"/>
            <w:vAlign w:val="bottom"/>
            <w:gridSpan w:val="28"/>
          </w:tcPr>
          <w:p>
            <w:pPr>
              <w:spacing w:after="0"/>
              <w:rPr>
                <w:sz w:val="17"/>
                <w:szCs w:val="17"/>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10.13*</w:t>
            </w:r>
          </w:p>
        </w:tc>
        <w:tc>
          <w:tcPr>
            <w:tcW w:w="10240" w:type="dxa"/>
            <w:vAlign w:val="bottom"/>
            <w:tcBorders>
              <w:bottom w:val="single" w:sz="8" w:color="0000EE"/>
            </w:tcBorders>
            <w:gridSpan w:val="30"/>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the Registrant, Lazard Group LLC and Scott D. Hoffman (incorporated by reference to Exhibit 10.12 to the Registrant’s Quarterly Report (File</w:t>
              </w:r>
            </w:hyperlink>
          </w:p>
        </w:tc>
        <w:tc>
          <w:tcPr>
            <w:tcW w:w="10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No. 001-32492) on Form 10-Q filed on April 27, 2016).</w:t>
              </w:r>
            </w:hyperlink>
          </w:p>
        </w:tc>
        <w:tc>
          <w:tcPr>
            <w:tcW w:w="6360" w:type="dxa"/>
            <w:vAlign w:val="bottom"/>
            <w:gridSpan w:val="28"/>
          </w:tcPr>
          <w:p>
            <w:pPr>
              <w:spacing w:after="0"/>
              <w:rPr>
                <w:sz w:val="17"/>
                <w:szCs w:val="17"/>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10.14*</w:t>
            </w:r>
          </w:p>
        </w:tc>
        <w:tc>
          <w:tcPr>
            <w:tcW w:w="10240" w:type="dxa"/>
            <w:vAlign w:val="bottom"/>
            <w:tcBorders>
              <w:bottom w:val="single" w:sz="8" w:color="0000EE"/>
            </w:tcBorders>
            <w:gridSpan w:val="30"/>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the Registrant, Lazard Group LLC and Alexander F. Stern (incorporated by reference to Exhibit 10.13 to the Registrant’s Quarterly Report (File</w:t>
              </w:r>
            </w:hyperlink>
          </w:p>
        </w:tc>
      </w:tr>
      <w:tr>
        <w:trPr>
          <w:trHeight w:val="196"/>
        </w:trPr>
        <w:tc>
          <w:tcPr>
            <w:tcW w:w="104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r:id="rId128">
              <w:r>
                <w:rPr>
                  <w:rFonts w:ascii="Arial" w:cs="Arial" w:eastAsia="Arial" w:hAnsi="Arial"/>
                  <w:sz w:val="18"/>
                  <w:szCs w:val="18"/>
                  <w:color w:val="0000EE"/>
                  <w:w w:val="93"/>
                </w:rPr>
                <w:t>No. 001-32492) on Form 10-Q filed on April 27, 2016).</w:t>
              </w:r>
            </w:hyperlink>
          </w:p>
        </w:tc>
        <w:tc>
          <w:tcPr>
            <w:tcW w:w="6320" w:type="dxa"/>
            <w:vAlign w:val="bottom"/>
            <w:tcBorders>
              <w:top w:val="single" w:sz="8" w:color="0000EE"/>
            </w:tcBorders>
            <w:gridSpan w:val="27"/>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10.15*</w:t>
            </w:r>
          </w:p>
        </w:tc>
        <w:tc>
          <w:tcPr>
            <w:tcW w:w="10200" w:type="dxa"/>
            <w:vAlign w:val="bottom"/>
            <w:tcBorders>
              <w:bottom w:val="single" w:sz="8" w:color="0000EE"/>
            </w:tcBorders>
            <w:gridSpan w:val="28"/>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Form of Award Letter for Annual Grant of Deferred Stock Units to Non-Executive Directors (incorporated by reference to Exhibit 99.1 to the</w:t>
              </w:r>
            </w:hyperlink>
          </w:p>
        </w:tc>
        <w:tc>
          <w:tcPr>
            <w:tcW w:w="20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Registrant’s Current Report on Form 8-K (File No. 001-32492) filed on September 8, 2005).</w:t>
              </w:r>
            </w:hyperlink>
          </w:p>
        </w:tc>
      </w:tr>
      <w:tr>
        <w:trPr>
          <w:trHeight w:val="20"/>
        </w:trPr>
        <w:tc>
          <w:tcPr>
            <w:tcW w:w="104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10.16*</w:t>
            </w:r>
          </w:p>
        </w:tc>
        <w:tc>
          <w:tcPr>
            <w:tcW w:w="10400" w:type="dxa"/>
            <w:vAlign w:val="bottom"/>
            <w:gridSpan w:val="36"/>
          </w:tcPr>
          <w:p>
            <w:pPr>
              <w:spacing w:after="0"/>
              <w:rPr>
                <w:rFonts w:ascii="Arial" w:cs="Arial" w:eastAsia="Arial" w:hAnsi="Arial"/>
                <w:sz w:val="18"/>
                <w:szCs w:val="18"/>
                <w:color w:val="0000EE"/>
                <w:w w:val="99"/>
              </w:rPr>
            </w:pPr>
            <w:hyperlink r:id="rId130">
              <w:r>
                <w:rPr>
                  <w:rFonts w:ascii="Arial" w:cs="Arial" w:eastAsia="Arial" w:hAnsi="Arial"/>
                  <w:sz w:val="18"/>
                  <w:szCs w:val="18"/>
                  <w:color w:val="0000EE"/>
                  <w:w w:val="99"/>
                </w:rPr>
                <w:t>Form of Agreement evidencing a grant of Restricted Stock Units to Executive Officers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2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6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(incorporated by reference to Exhibit 10.41 to the Registrant’s Annual Report (File No. 001-32492) on Form 10-K filed on March 2, 2009).</w:t>
              </w:r>
            </w:hyperlink>
          </w:p>
        </w:tc>
        <w:tc>
          <w:tcPr>
            <w:tcW w:w="340" w:type="dxa"/>
            <w:vAlign w:val="bottom"/>
            <w:gridSpan w:val="12"/>
          </w:tcPr>
          <w:p>
            <w:pPr>
              <w:spacing w:after="0"/>
              <w:rPr>
                <w:sz w:val="17"/>
                <w:szCs w:val="17"/>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10.17*</w:t>
            </w:r>
          </w:p>
        </w:tc>
        <w:tc>
          <w:tcPr>
            <w:tcW w:w="10400" w:type="dxa"/>
            <w:vAlign w:val="bottom"/>
            <w:gridSpan w:val="36"/>
          </w:tcPr>
          <w:p>
            <w:pPr>
              <w:spacing w:after="0"/>
              <w:rPr>
                <w:rFonts w:ascii="Arial" w:cs="Arial" w:eastAsia="Arial" w:hAnsi="Arial"/>
                <w:sz w:val="18"/>
                <w:szCs w:val="18"/>
                <w:color w:val="0000EE"/>
                <w:w w:val="96"/>
              </w:rPr>
            </w:pPr>
            <w:hyperlink r:id="rId131">
              <w:r>
                <w:rPr>
                  <w:rFonts w:ascii="Arial" w:cs="Arial" w:eastAsia="Arial" w:hAnsi="Arial"/>
                  <w:sz w:val="18"/>
                  <w:szCs w:val="18"/>
                  <w:color w:val="0000EE"/>
                  <w:w w:val="96"/>
                </w:rPr>
                <w:t>Form of Agreement evidencing a grant of Deferred Cash Award to Executive Officers (incorporated by reference to Exhibit 10.42 to the</w:t>
              </w:r>
            </w:hyperlink>
          </w:p>
        </w:tc>
      </w:tr>
      <w:tr>
        <w:trPr>
          <w:trHeight w:val="196"/>
        </w:trPr>
        <w:tc>
          <w:tcPr>
            <w:tcW w:w="1040" w:type="dxa"/>
            <w:vAlign w:val="bottom"/>
          </w:tcPr>
          <w:p>
            <w:pPr>
              <w:spacing w:after="0"/>
              <w:rPr>
                <w:sz w:val="17"/>
                <w:szCs w:val="17"/>
                <w:color w:val="auto"/>
              </w:rPr>
            </w:pPr>
          </w:p>
        </w:tc>
        <w:tc>
          <w:tcPr>
            <w:tcW w:w="64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Registrant’s Annual Report (File No. 001-32492) on Form 10-K filed on March 2, 2009).</w:t>
              </w:r>
            </w:hyperlink>
          </w:p>
        </w:tc>
        <w:tc>
          <w:tcPr>
            <w:tcW w:w="3360" w:type="dxa"/>
            <w:vAlign w:val="bottom"/>
            <w:tcBorders>
              <w:top w:val="single" w:sz="8" w:color="0000EE"/>
            </w:tcBorders>
            <w:gridSpan w:val="6"/>
          </w:tcPr>
          <w:p>
            <w:pPr>
              <w:spacing w:after="0"/>
              <w:rPr>
                <w:sz w:val="17"/>
                <w:szCs w:val="17"/>
                <w:color w:val="auto"/>
              </w:rPr>
            </w:pPr>
          </w:p>
        </w:tc>
        <w:tc>
          <w:tcPr>
            <w:tcW w:w="600" w:type="dxa"/>
            <w:vAlign w:val="bottom"/>
            <w:gridSpan w:val="18"/>
          </w:tcPr>
          <w:p>
            <w:pPr>
              <w:spacing w:after="0"/>
              <w:rPr>
                <w:sz w:val="17"/>
                <w:szCs w:val="17"/>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10.18*</w:t>
            </w:r>
          </w:p>
        </w:tc>
        <w:tc>
          <w:tcPr>
            <w:tcW w:w="10020" w:type="dxa"/>
            <w:vAlign w:val="bottom"/>
            <w:tcBorders>
              <w:bottom w:val="single" w:sz="8" w:color="0000EE"/>
            </w:tcBorders>
            <w:gridSpan w:val="22"/>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Directors’ Fee Deferral Unit Plan (incorporated by reference to Exhibit 10.39 to the Registrant’s Quarterly Report (File No. 001-32492) on</w:t>
              </w:r>
            </w:hyperlink>
          </w:p>
        </w:tc>
        <w:tc>
          <w:tcPr>
            <w:tcW w:w="380" w:type="dxa"/>
            <w:vAlign w:val="bottom"/>
            <w:gridSpan w:val="1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Form 10-Q filed on May 11, 2006).</w:t>
              </w:r>
            </w:hyperlink>
          </w:p>
        </w:tc>
      </w:tr>
      <w:tr>
        <w:trPr>
          <w:trHeight w:val="20"/>
        </w:trPr>
        <w:tc>
          <w:tcPr>
            <w:tcW w:w="104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10.19</w:t>
            </w:r>
          </w:p>
        </w:tc>
        <w:tc>
          <w:tcPr>
            <w:tcW w:w="10040" w:type="dxa"/>
            <w:vAlign w:val="bottom"/>
            <w:tcBorders>
              <w:bottom w:val="single" w:sz="8" w:color="0000EE"/>
            </w:tcBorders>
            <w:gridSpan w:val="23"/>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Amended and Restated Credit Agreement, dated as of September 25, 2015, among Lazard Group LLC, the Banks from time to time parties</w:t>
              </w:r>
            </w:hyperlink>
          </w:p>
        </w:tc>
        <w:tc>
          <w:tcPr>
            <w:tcW w:w="36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Arial" w:cs="Arial" w:eastAsia="Arial" w:hAnsi="Arial"/>
                <w:sz w:val="18"/>
                <w:szCs w:val="18"/>
                <w:color w:val="0000EE"/>
                <w:w w:val="95"/>
              </w:rPr>
            </w:pPr>
            <w:hyperlink r:id="rId133">
              <w:r>
                <w:rPr>
                  <w:rFonts w:ascii="Arial" w:cs="Arial" w:eastAsia="Arial" w:hAnsi="Arial"/>
                  <w:sz w:val="18"/>
                  <w:szCs w:val="18"/>
                  <w:color w:val="0000EE"/>
                  <w:w w:val="95"/>
                </w:rPr>
                <w:t>thereto, and Citibank, N.A., as Administrative Agent (incorporated by reference to Exhibit 10.27 to the Registrant’s Quarterly Report (File</w:t>
              </w:r>
            </w:hyperlink>
          </w:p>
        </w:tc>
      </w:tr>
      <w:tr>
        <w:trPr>
          <w:trHeight w:val="196"/>
        </w:trPr>
        <w:tc>
          <w:tcPr>
            <w:tcW w:w="104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No. 001-32492) on Form 10-Q filed on October 28, 2015).</w:t>
              </w:r>
            </w:hyperlink>
          </w:p>
        </w:tc>
        <w:tc>
          <w:tcPr>
            <w:tcW w:w="5740" w:type="dxa"/>
            <w:vAlign w:val="bottom"/>
            <w:tcBorders>
              <w:top w:val="single" w:sz="8" w:color="0000EE"/>
            </w:tcBorders>
            <w:gridSpan w:val="12"/>
          </w:tcPr>
          <w:p>
            <w:pPr>
              <w:spacing w:after="0"/>
              <w:rPr>
                <w:sz w:val="17"/>
                <w:szCs w:val="17"/>
                <w:color w:val="auto"/>
              </w:rPr>
            </w:pPr>
          </w:p>
        </w:tc>
        <w:tc>
          <w:tcPr>
            <w:tcW w:w="420" w:type="dxa"/>
            <w:vAlign w:val="bottom"/>
            <w:gridSpan w:val="15"/>
          </w:tcPr>
          <w:p>
            <w:pPr>
              <w:spacing w:after="0"/>
              <w:rPr>
                <w:sz w:val="17"/>
                <w:szCs w:val="17"/>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10.20*</w:t>
            </w:r>
          </w:p>
        </w:tc>
        <w:tc>
          <w:tcPr>
            <w:tcW w:w="10120" w:type="dxa"/>
            <w:vAlign w:val="bottom"/>
            <w:tcBorders>
              <w:bottom w:val="single" w:sz="8" w:color="0000EE"/>
            </w:tcBorders>
            <w:gridSpan w:val="26"/>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Form of Agreement evidencing a grant of Lazard Fund Interests to Named Executive Officers (incorporated by reference to Exhibit 10.55 to</w:t>
              </w:r>
            </w:hyperlink>
          </w:p>
        </w:tc>
        <w:tc>
          <w:tcPr>
            <w:tcW w:w="28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the Registrant’s Quarterly Report (File No. 001-32492) on Form 10-Q filed on May 1, 2013).</w:t>
              </w:r>
            </w:hyperlink>
          </w:p>
        </w:tc>
      </w:tr>
      <w:tr>
        <w:trPr>
          <w:trHeight w:val="20"/>
        </w:trPr>
        <w:tc>
          <w:tcPr>
            <w:tcW w:w="1040" w:type="dxa"/>
            <w:vAlign w:val="bottom"/>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14"/>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10.21*</w:t>
            </w:r>
          </w:p>
        </w:tc>
        <w:tc>
          <w:tcPr>
            <w:tcW w:w="10400" w:type="dxa"/>
            <w:vAlign w:val="bottom"/>
            <w:gridSpan w:val="36"/>
          </w:tcPr>
          <w:p>
            <w:pPr>
              <w:spacing w:after="0"/>
              <w:rPr>
                <w:rFonts w:ascii="Arial" w:cs="Arial" w:eastAsia="Arial" w:hAnsi="Arial"/>
                <w:sz w:val="18"/>
                <w:szCs w:val="18"/>
                <w:color w:val="0000EE"/>
                <w:w w:val="93"/>
              </w:rPr>
            </w:pPr>
            <w:hyperlink r:id="rId135">
              <w:r>
                <w:rPr>
                  <w:rFonts w:ascii="Arial" w:cs="Arial" w:eastAsia="Arial" w:hAnsi="Arial"/>
                  <w:sz w:val="18"/>
                  <w:szCs w:val="18"/>
                  <w:color w:val="0000EE"/>
                  <w:w w:val="93"/>
                </w:rPr>
                <w:t>Form of Agreement evidencing a February 20, 2014 grant of Performance-Based Stock Units under the 2008 Incentive Compensation Plan</w:t>
              </w:r>
            </w:hyperlink>
          </w:p>
        </w:tc>
      </w:tr>
      <w:tr>
        <w:trPr>
          <w:trHeight w:val="196"/>
        </w:trPr>
        <w:tc>
          <w:tcPr>
            <w:tcW w:w="1040" w:type="dxa"/>
            <w:vAlign w:val="bottom"/>
          </w:tcPr>
          <w:p>
            <w:pPr>
              <w:spacing w:after="0"/>
              <w:rPr>
                <w:sz w:val="17"/>
                <w:szCs w:val="17"/>
                <w:color w:val="auto"/>
              </w:rPr>
            </w:pPr>
          </w:p>
        </w:tc>
        <w:tc>
          <w:tcPr>
            <w:tcW w:w="10020" w:type="dxa"/>
            <w:vAlign w:val="bottom"/>
            <w:tcBorders>
              <w:top w:val="single" w:sz="8" w:color="0000EE"/>
            </w:tcBorders>
            <w:gridSpan w:val="22"/>
          </w:tcPr>
          <w:p>
            <w:pPr>
              <w:spacing w:after="0" w:line="196" w:lineRule="exact"/>
              <w:rPr>
                <w:rFonts w:ascii="Arial" w:cs="Arial" w:eastAsia="Arial" w:hAnsi="Arial"/>
                <w:sz w:val="18"/>
                <w:szCs w:val="18"/>
                <w:color w:val="0000EE"/>
                <w:w w:val="93"/>
              </w:rPr>
            </w:pPr>
            <w:hyperlink r:id="rId135">
              <w:r>
                <w:rPr>
                  <w:rFonts w:ascii="Arial" w:cs="Arial" w:eastAsia="Arial" w:hAnsi="Arial"/>
                  <w:sz w:val="18"/>
                  <w:szCs w:val="18"/>
                  <w:color w:val="0000EE"/>
                  <w:w w:val="93"/>
                </w:rPr>
                <w:t>(incorporated by reference to Exhibit 10.55 to the Registrant’s Quarterly Report (File No. 001-32492) on Form 10-Q filed May 6, 2014).</w:t>
              </w:r>
            </w:hyperlink>
          </w:p>
        </w:tc>
        <w:tc>
          <w:tcPr>
            <w:tcW w:w="380" w:type="dxa"/>
            <w:vAlign w:val="bottom"/>
            <w:gridSpan w:val="1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260" w:type="dxa"/>
            <w:vAlign w:val="bottom"/>
            <w:tcBorders>
              <w:right w:val="single" w:sz="8" w:color="0000EE"/>
            </w:tcBorders>
            <w:gridSpan w:val="7"/>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16"/>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10.22*</w:t>
            </w:r>
          </w:p>
        </w:tc>
        <w:tc>
          <w:tcPr>
            <w:tcW w:w="10400" w:type="dxa"/>
            <w:vAlign w:val="bottom"/>
            <w:gridSpan w:val="36"/>
          </w:tcPr>
          <w:p>
            <w:pPr>
              <w:spacing w:after="0"/>
              <w:rPr>
                <w:rFonts w:ascii="Arial" w:cs="Arial" w:eastAsia="Arial" w:hAnsi="Arial"/>
                <w:sz w:val="18"/>
                <w:szCs w:val="18"/>
                <w:color w:val="0000EE"/>
                <w:w w:val="93"/>
              </w:rPr>
            </w:pPr>
            <w:hyperlink r:id="rId136">
              <w:r>
                <w:rPr>
                  <w:rFonts w:ascii="Arial" w:cs="Arial" w:eastAsia="Arial" w:hAnsi="Arial"/>
                  <w:sz w:val="18"/>
                  <w:szCs w:val="18"/>
                  <w:color w:val="0000EE"/>
                  <w:w w:val="93"/>
                </w:rPr>
                <w:t>Agreement between the Company and Kenneth M. Jacobs, dated as of February 20, 2014, evidencing a grant of Performance-Based Stock</w:t>
              </w:r>
            </w:hyperlink>
          </w:p>
        </w:tc>
      </w:tr>
      <w:tr>
        <w:trPr>
          <w:trHeight w:val="196"/>
        </w:trPr>
        <w:tc>
          <w:tcPr>
            <w:tcW w:w="104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Units under the 2008 Incentive Compensation Plan (incorporated by reference to Exhibit 10.56 to the Registrant’s Quarterly Report</w:t>
              </w:r>
            </w:hyperlink>
          </w:p>
        </w:tc>
        <w:tc>
          <w:tcPr>
            <w:tcW w:w="420" w:type="dxa"/>
            <w:vAlign w:val="bottom"/>
            <w:tcBorders>
              <w:top w:val="single" w:sz="8" w:color="0000EE"/>
            </w:tcBorders>
            <w:gridSpan w:val="3"/>
          </w:tcPr>
          <w:p>
            <w:pPr>
              <w:spacing w:after="0"/>
              <w:rPr>
                <w:sz w:val="17"/>
                <w:szCs w:val="17"/>
                <w:color w:val="auto"/>
              </w:rPr>
            </w:pPr>
          </w:p>
        </w:tc>
        <w:tc>
          <w:tcPr>
            <w:tcW w:w="440" w:type="dxa"/>
            <w:vAlign w:val="bottom"/>
            <w:gridSpan w:val="1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(File No. 001-32492) on Form 10-Q filed on May 6, 2014).</w:t>
              </w:r>
            </w:hyperlink>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12.1</w:t>
            </w:r>
          </w:p>
        </w:tc>
        <w:tc>
          <w:tcPr>
            <w:tcW w:w="3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Computation of Ratio of Earnings to Fixed Charges.</w:t>
              </w:r>
            </w:hyperlink>
          </w:p>
        </w:tc>
        <w:tc>
          <w:tcPr>
            <w:tcW w:w="500" w:type="dxa"/>
            <w:vAlign w:val="bottom"/>
            <w:tcBorders>
              <w:top w:val="single" w:sz="8" w:color="0000EE"/>
            </w:tcBorders>
            <w:gridSpan w:val="3"/>
          </w:tcPr>
          <w:p>
            <w:pPr>
              <w:spacing w:after="0"/>
              <w:rPr>
                <w:sz w:val="24"/>
                <w:szCs w:val="24"/>
                <w:color w:val="auto"/>
              </w:rPr>
            </w:pPr>
          </w:p>
        </w:tc>
        <w:tc>
          <w:tcPr>
            <w:tcW w:w="6120" w:type="dxa"/>
            <w:vAlign w:val="bottom"/>
            <w:gridSpan w:val="26"/>
          </w:tcPr>
          <w:p>
            <w:pPr>
              <w:spacing w:after="0"/>
              <w:rPr>
                <w:sz w:val="24"/>
                <w:szCs w:val="24"/>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31.1</w:t>
            </w:r>
          </w:p>
        </w:tc>
        <w:tc>
          <w:tcPr>
            <w:tcW w:w="37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Rule 13a-14(a) Certification of Kenneth M. Jacobs.</w:t>
              </w:r>
            </w:hyperlink>
          </w:p>
        </w:tc>
        <w:tc>
          <w:tcPr>
            <w:tcW w:w="6680" w:type="dxa"/>
            <w:vAlign w:val="bottom"/>
            <w:gridSpan w:val="30"/>
          </w:tcPr>
          <w:p>
            <w:pPr>
              <w:spacing w:after="0"/>
              <w:rPr>
                <w:sz w:val="24"/>
                <w:szCs w:val="24"/>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10400" w:type="dxa"/>
            <w:vAlign w:val="bottom"/>
            <w:gridSpan w:val="3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Rule 13a-14(a) Certification of Matthieu Bucaille</w:t>
              </w:r>
            </w:hyperlink>
            <w:r>
              <w:rPr>
                <w:rFonts w:ascii="Arial" w:cs="Arial" w:eastAsia="Arial" w:hAnsi="Arial"/>
                <w:sz w:val="18"/>
                <w:szCs w:val="18"/>
                <w:color w:val="000000"/>
              </w:rPr>
              <w:t>.</w:t>
            </w:r>
          </w:p>
        </w:tc>
      </w:tr>
      <w:tr>
        <w:trPr>
          <w:trHeight w:val="20"/>
        </w:trPr>
        <w:tc>
          <w:tcPr>
            <w:tcW w:w="1040" w:type="dxa"/>
            <w:vAlign w:val="bottom"/>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760" w:type="dxa"/>
            <w:vAlign w:val="bottom"/>
            <w:gridSpan w:val="31"/>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36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Section 1350 Certification for Kenneth M. Jacobs.</w:t>
              </w:r>
            </w:hyperlink>
          </w:p>
        </w:tc>
        <w:tc>
          <w:tcPr>
            <w:tcW w:w="6760" w:type="dxa"/>
            <w:vAlign w:val="bottom"/>
            <w:gridSpan w:val="31"/>
          </w:tcPr>
          <w:p>
            <w:pPr>
              <w:spacing w:after="0"/>
              <w:rPr>
                <w:sz w:val="24"/>
                <w:szCs w:val="24"/>
                <w:color w:val="auto"/>
              </w:rPr>
            </w:pPr>
          </w:p>
        </w:tc>
      </w:tr>
      <w:tr>
        <w:trPr>
          <w:trHeight w:val="453"/>
        </w:trPr>
        <w:tc>
          <w:tcPr>
            <w:tcW w:w="1040" w:type="dxa"/>
            <w:vAlign w:val="bottom"/>
          </w:tcPr>
          <w:p>
            <w:pPr>
              <w:spacing w:after="0"/>
              <w:rPr>
                <w:sz w:val="24"/>
                <w:szCs w:val="24"/>
                <w:color w:val="auto"/>
              </w:rPr>
            </w:pPr>
          </w:p>
        </w:tc>
        <w:tc>
          <w:tcPr>
            <w:tcW w:w="6440" w:type="dxa"/>
            <w:vAlign w:val="bottom"/>
            <w:gridSpan w:val="12"/>
          </w:tcPr>
          <w:p>
            <w:pPr>
              <w:ind w:left="458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3700" w:type="dxa"/>
            <w:vAlign w:val="bottom"/>
            <w:gridSpan w:val="2"/>
          </w:tcPr>
          <w:p>
            <w:pPr>
              <w:spacing w:after="0"/>
              <w:rPr>
                <w:rFonts w:ascii="Arial" w:cs="Arial" w:eastAsia="Arial" w:hAnsi="Arial"/>
                <w:sz w:val="18"/>
                <w:szCs w:val="18"/>
                <w:color w:val="0000EE"/>
                <w:w w:val="97"/>
              </w:rPr>
            </w:pPr>
            <w:hyperlink w:anchor="page78">
              <w:r>
                <w:rPr>
                  <w:rFonts w:ascii="Arial" w:cs="Arial" w:eastAsia="Arial" w:hAnsi="Arial"/>
                  <w:sz w:val="18"/>
                  <w:szCs w:val="18"/>
                  <w:color w:val="0000EE"/>
                  <w:w w:val="97"/>
                </w:rPr>
                <w:t>Section 1350 Certification for Matthieu Bucaille</w:t>
              </w:r>
            </w:hyperlink>
            <w:r>
              <w:rPr>
                <w:rFonts w:ascii="Arial" w:cs="Arial" w:eastAsia="Arial" w:hAnsi="Arial"/>
                <w:sz w:val="18"/>
                <w:szCs w:val="18"/>
                <w:color w:val="000000"/>
                <w:w w:val="97"/>
              </w:rPr>
              <w:t>.</w:t>
            </w:r>
          </w:p>
        </w:tc>
      </w:tr>
      <w:tr>
        <w:trPr>
          <w:trHeight w:val="358"/>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35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200" w:type="dxa"/>
            <w:vAlign w:val="bottom"/>
          </w:tcPr>
          <w:p>
            <w:pPr>
              <w:spacing w:after="0"/>
              <w:rPr>
                <w:sz w:val="24"/>
                <w:szCs w:val="24"/>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3700" w:type="dxa"/>
            <w:vAlign w:val="bottom"/>
            <w:gridSpan w:val="2"/>
          </w:tcPr>
          <w:p>
            <w:pPr>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3700" w:type="dxa"/>
            <w:vAlign w:val="bottom"/>
            <w:gridSpan w:val="2"/>
          </w:tcPr>
          <w:p>
            <w:pPr>
              <w:spacing w:after="0"/>
              <w:rPr>
                <w:sz w:val="20"/>
                <w:szCs w:val="20"/>
                <w:color w:val="auto"/>
              </w:rPr>
            </w:pPr>
            <w:r>
              <w:rPr>
                <w:rFonts w:ascii="Arial" w:cs="Arial" w:eastAsia="Arial" w:hAnsi="Arial"/>
                <w:sz w:val="18"/>
                <w:szCs w:val="18"/>
                <w:color w:val="auto"/>
                <w:w w:val="94"/>
              </w:rPr>
              <w:t>XBRL Taxonomy Extension Calculation Linkbase</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3700" w:type="dxa"/>
            <w:vAlign w:val="bottom"/>
            <w:gridSpan w:val="2"/>
          </w:tcPr>
          <w:p>
            <w:pPr>
              <w:spacing w:after="0"/>
              <w:rPr>
                <w:sz w:val="20"/>
                <w:szCs w:val="20"/>
                <w:color w:val="auto"/>
              </w:rPr>
            </w:pPr>
            <w:r>
              <w:rPr>
                <w:rFonts w:ascii="Arial" w:cs="Arial" w:eastAsia="Arial" w:hAnsi="Arial"/>
                <w:sz w:val="18"/>
                <w:szCs w:val="18"/>
                <w:color w:val="auto"/>
                <w:w w:val="97"/>
              </w:rPr>
              <w:t>XBRL Taxonomy Extension Definition Linkbase</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37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3700" w:type="dxa"/>
            <w:vAlign w:val="bottom"/>
            <w:gridSpan w:val="2"/>
          </w:tcPr>
          <w:p>
            <w:pPr>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090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4"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446" w:right="1440" w:bottom="1440" w:gutter="0" w:footer="0" w:header="0"/>
        </w:sectPr>
      </w:pPr>
    </w:p>
    <w:bookmarkStart w:id="71" w:name="page72"/>
    <w:bookmarkEnd w:id="71"/>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52" w:lineRule="exact"/>
        <w:rPr>
          <w:sz w:val="20"/>
          <w:szCs w:val="20"/>
          <w:color w:val="auto"/>
        </w:rPr>
      </w:pPr>
    </w:p>
    <w:p>
      <w:pPr>
        <w:ind w:left="6860"/>
        <w:spacing w:after="0"/>
        <w:tabs>
          <w:tab w:leader="none" w:pos="7480" w:val="left"/>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Matthieu Bucaille</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Financial Officer</w:t>
      </w:r>
    </w:p>
    <w:p>
      <w:pPr>
        <w:spacing w:after="0" w:line="238" w:lineRule="exact"/>
        <w:rPr>
          <w:sz w:val="20"/>
          <w:szCs w:val="20"/>
          <w:color w:val="auto"/>
        </w:rPr>
      </w:pPr>
    </w:p>
    <w:p>
      <w:pPr>
        <w:ind w:left="6860"/>
        <w:spacing w:after="0"/>
        <w:tabs>
          <w:tab w:leader="none" w:pos="7480" w:val="left"/>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Dominick Ragone</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Dominick Ragone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800"/>
          </w:cols>
          <w:pgMar w:left="240" w:top="337" w:right="8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Six Months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432"/>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2017</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right"/>
              <w:ind w:right="313"/>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322,698</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517,461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(16,620)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519,465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216,807</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123,885</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Add—Fixed charges</w:t>
            </w:r>
          </w:p>
        </w:tc>
        <w:tc>
          <w:tcPr>
            <w:tcW w:w="5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37,914</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73,654</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75,109</w:t>
            </w:r>
          </w:p>
        </w:tc>
        <w:tc>
          <w:tcPr>
            <w:tcW w:w="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86,066</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103,668</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106,470</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before fixed charges</w:t>
            </w:r>
          </w:p>
        </w:tc>
        <w:tc>
          <w:tcPr>
            <w:tcW w:w="5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360,612</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591,115</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58,489</w:t>
            </w: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605,531</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320,475</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230,355</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8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(b)</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26,722</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51,159</w:t>
            </w:r>
          </w:p>
        </w:tc>
        <w:tc>
          <w:tcPr>
            <w:tcW w:w="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62,570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79,381</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81,565</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(c)</w:t>
            </w:r>
          </w:p>
        </w:tc>
        <w:tc>
          <w:tcPr>
            <w:tcW w:w="5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11,192</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23,362</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23,950</w:t>
            </w:r>
          </w:p>
        </w:tc>
        <w:tc>
          <w:tcPr>
            <w:tcW w:w="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23,496</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24,287</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24,905</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fixed charges</w:t>
            </w:r>
          </w:p>
        </w:tc>
        <w:tc>
          <w:tcPr>
            <w:tcW w:w="5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37,914</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73,654</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75,109</w:t>
            </w: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86,066</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103,668</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106,470</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Ratio of earnings to fixed charges</w:t>
            </w:r>
          </w:p>
        </w:tc>
        <w:tc>
          <w:tcPr>
            <w:tcW w:w="5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w w:val="90"/>
              </w:rPr>
              <w:t>(d)</w:t>
            </w: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3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w w:val="90"/>
              </w:rPr>
              <w:t>(e)</w:t>
            </w: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(f)</w:t>
            </w: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3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w w:val="90"/>
              </w:rPr>
              <w:t>(g)</w:t>
            </w: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w w:val="90"/>
              </w:rPr>
              <w:t>(h)</w:t>
            </w:r>
          </w:p>
        </w:tc>
        <w:tc>
          <w:tcPr>
            <w:tcW w:w="0" w:type="dxa"/>
            <w:vAlign w:val="bottom"/>
          </w:tcPr>
          <w:p>
            <w:pPr>
              <w:spacing w:after="0"/>
              <w:rPr>
                <w:sz w:val="1"/>
                <w:szCs w:val="1"/>
                <w:color w:val="auto"/>
              </w:rPr>
            </w:pPr>
          </w:p>
        </w:tc>
      </w:tr>
      <w:tr>
        <w:trPr>
          <w:trHeight w:val="196"/>
        </w:trPr>
        <w:tc>
          <w:tcPr>
            <w:tcW w:w="398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Deficiency in the coverage of operating income</w:t>
            </w: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before fixed charges to total fixed charges</w:t>
            </w:r>
          </w:p>
        </w:tc>
        <w:tc>
          <w:tcPr>
            <w:tcW w:w="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16,620</w:t>
            </w: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54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17"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Operating income for the six months ended June 30, 2017 is presented after giving effect to a charge of (i) $3,180 of acquisition-related costs, (ii)</w:t>
      </w:r>
    </w:p>
    <w:p>
      <w:pPr>
        <w:spacing w:after="0" w:line="47" w:lineRule="exact"/>
        <w:rPr>
          <w:rFonts w:ascii="Arial" w:cs="Arial" w:eastAsia="Arial" w:hAnsi="Arial"/>
          <w:sz w:val="17"/>
          <w:szCs w:val="17"/>
          <w:color w:val="auto"/>
        </w:rPr>
      </w:pPr>
    </w:p>
    <w:p>
      <w:pPr>
        <w:ind w:left="520" w:right="140"/>
        <w:spacing w:after="0" w:line="277" w:lineRule="auto"/>
        <w:rPr>
          <w:rFonts w:ascii="Arial" w:cs="Arial" w:eastAsia="Arial" w:hAnsi="Arial"/>
          <w:sz w:val="17"/>
          <w:szCs w:val="17"/>
          <w:color w:val="auto"/>
        </w:rPr>
      </w:pPr>
      <w:r>
        <w:rPr>
          <w:rFonts w:ascii="Arial" w:cs="Arial" w:eastAsia="Arial" w:hAnsi="Arial"/>
          <w:sz w:val="18"/>
          <w:szCs w:val="18"/>
          <w:color w:val="auto"/>
        </w:rPr>
        <w:t>$8,861 of expenses associated with the ERP system implementation and (iii) $3,161 of expenses related to office space reorganization. Excluding the impact of such charges, the ratio of earnings to fixed charges would have been 9.72.</w:t>
      </w:r>
    </w:p>
    <w:p>
      <w:pPr>
        <w:spacing w:after="0" w:line="62" w:lineRule="exact"/>
        <w:rPr>
          <w:rFonts w:ascii="Arial" w:cs="Arial" w:eastAsia="Arial" w:hAnsi="Arial"/>
          <w:sz w:val="17"/>
          <w:szCs w:val="17"/>
          <w:color w:val="auto"/>
        </w:rPr>
      </w:pPr>
    </w:p>
    <w:p>
      <w:pPr>
        <w:ind w:left="520" w:right="40" w:hanging="512"/>
        <w:spacing w:after="0" w:line="297"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2016 is presented after giving effect to a charge of (i) $3,148 associated with the redemption of the remaining portion of the 2017 Notes, (ii) $599 excess interest expense due to the period of time between the issuance of the 2027 Notes and the settlement of the redemption of the 6.85% senior notes due June 2017 ( the “2017 Notes”), (iii) $34,092 of acquisition-related costs and (iv) $12,668 gain on the acquisition of MBA Lazard (which resulted from the increase in the fair value of the Company’s investment in MBA Lazard prior to the acquisition). Excluding the impact of such charges, the ratio of earnings to fixed charges would have been 8.43.</w:t>
      </w:r>
    </w:p>
    <w:p>
      <w:pPr>
        <w:spacing w:after="0" w:line="50" w:lineRule="exact"/>
        <w:rPr>
          <w:rFonts w:ascii="Arial" w:cs="Arial" w:eastAsia="Arial" w:hAnsi="Arial"/>
          <w:sz w:val="16"/>
          <w:szCs w:val="16"/>
          <w:color w:val="auto"/>
        </w:rPr>
      </w:pPr>
    </w:p>
    <w:p>
      <w:pPr>
        <w:ind w:left="520" w:hanging="512"/>
        <w:spacing w:after="0"/>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a charge of (i) $60,219 associated with the redemption of</w:t>
      </w:r>
    </w:p>
    <w:p>
      <w:pPr>
        <w:spacing w:after="0" w:line="46" w:lineRule="exact"/>
        <w:rPr>
          <w:rFonts w:ascii="Arial" w:cs="Arial" w:eastAsia="Arial" w:hAnsi="Arial"/>
          <w:sz w:val="16"/>
          <w:szCs w:val="16"/>
          <w:color w:val="auto"/>
        </w:rPr>
      </w:pPr>
    </w:p>
    <w:p>
      <w:pPr>
        <w:ind w:left="520" w:right="20"/>
        <w:spacing w:after="0" w:line="295" w:lineRule="auto"/>
        <w:rPr>
          <w:rFonts w:ascii="Arial" w:cs="Arial" w:eastAsia="Arial" w:hAnsi="Arial"/>
          <w:sz w:val="16"/>
          <w:szCs w:val="16"/>
          <w:color w:val="auto"/>
        </w:rPr>
      </w:pPr>
      <w:r>
        <w:rPr>
          <w:rFonts w:ascii="Arial" w:cs="Arial" w:eastAsia="Arial" w:hAnsi="Arial"/>
          <w:sz w:val="16"/>
          <w:szCs w:val="16"/>
          <w:color w:val="auto"/>
        </w:rPr>
        <w:t>$450 million of the 2017 Notes, (ii) $2,655 excess interest expense due to the period of time between the issuance of the 2025 Notes and the settlement of the redemption of the 2017 Notes, (iii) $12,203 relating to a private equity revenue adjustment and (iv) $542,270 relating to the provision pursuant to the tax receivable agreement. Excluding the impact of such items, the ratio of earnings to fixed charges would have been 8.95. The Company’s net income for the year ended December 31, 2015, which was affected by a significant income tax benefit during such period, was $992,932.</w:t>
      </w:r>
    </w:p>
    <w:p>
      <w:pPr>
        <w:spacing w:after="0" w:line="53" w:lineRule="exact"/>
        <w:rPr>
          <w:rFonts w:ascii="Arial" w:cs="Arial" w:eastAsia="Arial" w:hAnsi="Arial"/>
          <w:sz w:val="16"/>
          <w:szCs w:val="16"/>
          <w:color w:val="auto"/>
        </w:rPr>
      </w:pPr>
    </w:p>
    <w:p>
      <w:pPr>
        <w:ind w:left="520" w:right="260" w:hanging="512"/>
        <w:spacing w:after="0" w:line="259"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2013 is presented after giving effect to a charge of (i) $64,703 associated with the cost saving initiatives announced by the Company in October 2012, (ii) $54,087 pertaining to the refinancing of the 7.125% senior notes due May 2015 and the issuance of the 2020 Notes and (iii) $12,203 relating to private equity incentive compensation. Excluding the impact of such charge, the ratio of earnings to fixed charges would have been 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ind w:left="512" w:hanging="512"/>
        <w:spacing w:after="0" w:line="257" w:lineRule="auto"/>
        <w:tabs>
          <w:tab w:leader="none" w:pos="512"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3.36.</w:t>
      </w:r>
    </w:p>
    <w:p>
      <w:pPr>
        <w:sectPr>
          <w:pgSz w:w="11900" w:h="16838" w:orient="portrait"/>
          <w:cols w:equalWidth="0" w:num="1">
            <w:col w:w="11312"/>
          </w:cols>
          <w:pgMar w:left="248" w:top="12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2017 of Lazard Ltd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pacing w:after="0" w:line="25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337"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Matthieu Bucaille, certify that:</w:t>
      </w:r>
    </w:p>
    <w:p>
      <w:pPr>
        <w:spacing w:after="0" w:line="117" w:lineRule="exact"/>
        <w:rPr>
          <w:sz w:val="20"/>
          <w:szCs w:val="20"/>
          <w:color w:val="auto"/>
        </w:rPr>
      </w:pPr>
    </w:p>
    <w:p>
      <w:pPr>
        <w:ind w:left="700" w:hanging="174"/>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2017 of Lazard Ltd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June 30, 2017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June 30, 2017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decimal"/>
      <w:start w:val="2"/>
    </w:lvl>
  </w:abstractNum>
  <w:abstractNum w:abstractNumId="6">
    <w:nsid w:val="614FD4A1"/>
    <w:multiLevelType w:val="hybridMultilevel"/>
    <w:lvl w:ilvl="0">
      <w:lvlJc w:val="left"/>
      <w:lvlText w:val="%1."/>
      <w:numFmt w:val="decimal"/>
      <w:start w:val="3"/>
    </w:lvl>
  </w:abstractNum>
  <w:abstractNum w:abstractNumId="7">
    <w:nsid w:val="419AC241"/>
    <w:multiLevelType w:val="hybridMultilevel"/>
    <w:lvl w:ilvl="0">
      <w:lvlJc w:val="left"/>
      <w:lvlText w:val="%1."/>
      <w:numFmt w:val="decimal"/>
      <w:start w:val="4"/>
    </w:lvl>
  </w:abstractNum>
  <w:abstractNum w:abstractNumId="8">
    <w:nsid w:val="5577F8E1"/>
    <w:multiLevelType w:val="hybridMultilevel"/>
    <w:lvl w:ilvl="0">
      <w:lvlJc w:val="left"/>
      <w:lvlText w:val="(%1)"/>
      <w:numFmt w:val="lowerLetter"/>
      <w:start w:val="1"/>
    </w:lvl>
  </w:abstractNum>
  <w:abstractNum w:abstractNumId="9">
    <w:nsid w:val="440BADFC"/>
    <w:multiLevelType w:val="hybridMultilevel"/>
    <w:lvl w:ilvl="0">
      <w:lvlJc w:val="left"/>
      <w:lvlText w:val="%1."/>
      <w:numFmt w:val="decimal"/>
      <w:start w:val="5"/>
    </w:lvl>
  </w:abstractNum>
  <w:abstractNum w:abstractNumId="10">
    <w:nsid w:val="5072367"/>
    <w:multiLevelType w:val="hybridMultilevel"/>
    <w:lvl w:ilvl="0">
      <w:lvlJc w:val="left"/>
      <w:lvlText w:val="(%1)"/>
      <w:numFmt w:val="lowerLetter"/>
      <w:start w:val="1"/>
    </w:lvl>
  </w:abstractNum>
  <w:abstractNum w:abstractNumId="11">
    <w:nsid w:val="3804823E"/>
    <w:multiLevelType w:val="hybridMultilevel"/>
    <w:lvl w:ilvl="0">
      <w:lvlJc w:val="left"/>
      <w:lvlText w:val="(%1)"/>
      <w:numFmt w:val="lowerLetter"/>
      <w:start w:val="1"/>
    </w:lvl>
  </w:abstractNum>
  <w:abstractNum w:abstractNumId="12">
    <w:nsid w:val="77465F01"/>
    <w:multiLevelType w:val="hybridMultilevel"/>
    <w:lvl w:ilvl="0">
      <w:lvlJc w:val="left"/>
      <w:lvlText w:val="(%1)"/>
      <w:numFmt w:val="lowerLetter"/>
      <w:start w:val="1"/>
    </w:lvl>
  </w:abstractNum>
  <w:abstractNum w:abstractNumId="13">
    <w:nsid w:val="7724C67E"/>
    <w:multiLevelType w:val="hybridMultilevel"/>
    <w:lvl w:ilvl="0">
      <w:lvlJc w:val="left"/>
      <w:lvlText w:val="%1."/>
      <w:numFmt w:val="decimal"/>
      <w:start w:val="6"/>
    </w:lvl>
  </w:abstractNum>
  <w:abstractNum w:abstractNumId="14">
    <w:nsid w:val="5C482A97"/>
    <w:multiLevelType w:val="hybridMultilevel"/>
    <w:lvl w:ilvl="0">
      <w:lvlJc w:val="left"/>
      <w:lvlText w:val="(%1)"/>
      <w:numFmt w:val="lowerLetter"/>
      <w:start w:val="1"/>
    </w:lvl>
  </w:abstractNum>
  <w:abstractNum w:abstractNumId="15">
    <w:nsid w:val="2463B9EA"/>
    <w:multiLevelType w:val="hybridMultilevel"/>
    <w:lvl w:ilvl="0">
      <w:lvlJc w:val="left"/>
      <w:lvlText w:val="%1."/>
      <w:numFmt w:val="decimal"/>
      <w:start w:val="7"/>
    </w:lvl>
  </w:abstractNum>
  <w:abstractNum w:abstractNumId="16">
    <w:nsid w:val="5E884ADC"/>
    <w:multiLevelType w:val="hybridMultilevel"/>
    <w:lvl w:ilvl="0">
      <w:lvlJc w:val="left"/>
      <w:lvlText w:val="%1."/>
      <w:numFmt w:val="decimal"/>
      <w:start w:val="8"/>
    </w:lvl>
  </w:abstractNum>
  <w:abstractNum w:abstractNumId="17">
    <w:nsid w:val="51EAD36B"/>
    <w:multiLevelType w:val="hybridMultilevel"/>
    <w:lvl w:ilvl="0">
      <w:lvlJc w:val="left"/>
      <w:lvlText w:val="%1"/>
      <w:numFmt w:val="decimal"/>
      <w:start w:val="1"/>
    </w:lvl>
    <w:lvl w:ilvl="1">
      <w:lvlJc w:val="left"/>
      <w:lvlText w:val="(%2)"/>
      <w:numFmt w:val="lowerLetter"/>
      <w:start w:val="1"/>
    </w:lvl>
  </w:abstractNum>
  <w:abstractNum w:abstractNumId="18">
    <w:nsid w:val="2D517796"/>
    <w:multiLevelType w:val="hybridMultilevel"/>
    <w:lvl w:ilvl="0">
      <w:lvlJc w:val="left"/>
      <w:lvlText w:val="%1."/>
      <w:numFmt w:val="decimal"/>
      <w:start w:val="9"/>
    </w:lvl>
    <w:lvl w:ilvl="1">
      <w:lvlJc w:val="left"/>
      <w:lvlText w:val="%2"/>
      <w:numFmt w:val="lowerLetter"/>
      <w:start w:val="1"/>
    </w:lvl>
  </w:abstractNum>
  <w:abstractNum w:abstractNumId="19">
    <w:nsid w:val="580BD78F"/>
    <w:multiLevelType w:val="hybridMultilevel"/>
    <w:lvl w:ilvl="0">
      <w:lvlJc w:val="left"/>
      <w:lvlText w:val="(%1)"/>
      <w:numFmt w:val="lowerLetter"/>
      <w:start w:val="1"/>
    </w:lvl>
  </w:abstractNum>
  <w:abstractNum w:abstractNumId="20">
    <w:nsid w:val="153EA438"/>
    <w:multiLevelType w:val="hybridMultilevel"/>
    <w:lvl w:ilvl="0">
      <w:lvlJc w:val="left"/>
      <w:lvlText w:val="%1."/>
      <w:numFmt w:val="decimal"/>
      <w:start w:val="10"/>
    </w:lvl>
  </w:abstractNum>
  <w:abstractNum w:abstractNumId="21">
    <w:nsid w:val="3855585C"/>
    <w:multiLevelType w:val="hybridMultilevel"/>
    <w:lvl w:ilvl="0">
      <w:lvlJc w:val="left"/>
      <w:lvlText w:val="%1."/>
      <w:numFmt w:val="decimal"/>
      <w:start w:val="11"/>
    </w:lvl>
  </w:abstractNum>
  <w:abstractNum w:abstractNumId="22">
    <w:nsid w:val="70A64E2A"/>
    <w:multiLevelType w:val="hybridMultilevel"/>
    <w:lvl w:ilvl="0">
      <w:lvlJc w:val="left"/>
      <w:lvlText w:val="(%1)"/>
      <w:numFmt w:val="lowerLetter"/>
      <w:start w:val="1"/>
    </w:lvl>
  </w:abstractNum>
  <w:abstractNum w:abstractNumId="23">
    <w:nsid w:val="6A2342EC"/>
    <w:multiLevelType w:val="hybridMultilevel"/>
    <w:lvl w:ilvl="0">
      <w:lvlJc w:val="left"/>
      <w:lvlText w:val="%1."/>
      <w:numFmt w:val="decimal"/>
      <w:start w:val="12"/>
    </w:lvl>
  </w:abstractNum>
  <w:abstractNum w:abstractNumId="24">
    <w:nsid w:val="2A487CB0"/>
    <w:multiLevelType w:val="hybridMultilevel"/>
    <w:lvl w:ilvl="0">
      <w:lvlJc w:val="left"/>
      <w:lvlText w:val="(%1)"/>
      <w:numFmt w:val="lowerLetter"/>
      <w:start w:val="1"/>
    </w:lvl>
  </w:abstractNum>
  <w:abstractNum w:abstractNumId="25">
    <w:nsid w:val="1D4ED43B"/>
    <w:multiLevelType w:val="hybridMultilevel"/>
    <w:lvl w:ilvl="0">
      <w:lvlJc w:val="left"/>
      <w:lvlText w:val="%1."/>
      <w:numFmt w:val="decimal"/>
      <w:start w:val="13"/>
    </w:lvl>
  </w:abstractNum>
  <w:abstractNum w:abstractNumId="26">
    <w:nsid w:val="725A06FB"/>
    <w:multiLevelType w:val="hybridMultilevel"/>
    <w:lvl w:ilvl="0">
      <w:lvlJc w:val="left"/>
      <w:lvlText w:val="%1."/>
      <w:numFmt w:val="decimal"/>
      <w:start w:val="14"/>
    </w:lvl>
  </w:abstractNum>
  <w:abstractNum w:abstractNumId="27">
    <w:nsid w:val="2CD89A32"/>
    <w:multiLevelType w:val="hybridMultilevel"/>
    <w:lvl w:ilvl="0">
      <w:lvlJc w:val="left"/>
      <w:lvlText w:val="%1."/>
      <w:numFmt w:val="decimal"/>
      <w:start w:val="15"/>
    </w:lvl>
  </w:abstractNum>
  <w:abstractNum w:abstractNumId="28">
    <w:nsid w:val="57E4CCAF"/>
    <w:multiLevelType w:val="hybridMultilevel"/>
    <w:lvl w:ilvl="0">
      <w:lvlJc w:val="left"/>
      <w:lvlText w:val="%1."/>
      <w:numFmt w:val="decimal"/>
      <w:start w:val="16"/>
    </w:lvl>
  </w:abstractNum>
  <w:abstractNum w:abstractNumId="29">
    <w:nsid w:val="7A6D8D3C"/>
    <w:multiLevelType w:val="hybridMultilevel"/>
    <w:lvl w:ilvl="0">
      <w:lvlJc w:val="left"/>
      <w:lvlText w:val="(%1)"/>
      <w:numFmt w:val="lowerRoman"/>
      <w:start w:val="1"/>
    </w:lvl>
  </w:abstractNum>
  <w:abstractNum w:abstractNumId="30">
    <w:nsid w:val="4B588F54"/>
    <w:multiLevelType w:val="hybridMultilevel"/>
    <w:lvl w:ilvl="0">
      <w:lvlJc w:val="left"/>
      <w:lvlText w:val="%1."/>
      <w:numFmt w:val="decimal"/>
      <w:start w:val="17"/>
    </w:lvl>
  </w:abstractNum>
  <w:abstractNum w:abstractNumId="31">
    <w:nsid w:val="542289EC"/>
    <w:multiLevelType w:val="hybridMultilevel"/>
    <w:lvl w:ilvl="0">
      <w:lvlJc w:val="left"/>
      <w:lvlText w:val="%1."/>
      <w:numFmt w:val="decimal"/>
      <w:start w:val="18"/>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lvl w:ilvl="1">
      <w:lvlJc w:val="left"/>
      <w:lvlText w:val="(%2)"/>
      <w:numFmt w:val="lowerRoman"/>
      <w:start w:val="1"/>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1)"/>
      <w:numFmt w:val="lowerRoman"/>
      <w:start w:val="2"/>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lowerLetter"/>
      <w:start w:val="1"/>
    </w:lvl>
  </w:abstractNum>
  <w:abstractNum w:abstractNumId="46">
    <w:nsid w:val="374A3FE6"/>
    <w:multiLevelType w:val="hybridMultilevel"/>
    <w:lvl w:ilvl="0">
      <w:lvlJc w:val="left"/>
      <w:lvlText w:val="(%1)"/>
      <w:numFmt w:val="lowerLetter"/>
      <w:start w:val="2"/>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1)"/>
      <w:numFmt w:val="lowerLetter"/>
      <w:start w:val="2"/>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lowerRoman"/>
      <w:start w:val="3"/>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2"/>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lowerLetter"/>
      <w:start w:val="1"/>
    </w:lvl>
    <w:lvl w:ilvl="1">
      <w:lvlJc w:val="left"/>
      <w:lvlText w:val="•"/>
      <w:numFmt w:val="bullet"/>
      <w:start w:val="1"/>
    </w:lvl>
  </w:abstractNum>
  <w:abstractNum w:abstractNumId="58">
    <w:nsid w:val="741226BB"/>
    <w:multiLevelType w:val="hybridMultilevel"/>
    <w:lvl w:ilvl="0">
      <w:lvlJc w:val="left"/>
      <w:lvlText w:val="(%1)"/>
      <w:numFmt w:val="lowerLetter"/>
      <w:start w:val="8"/>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02" Type="http://schemas.openxmlformats.org/officeDocument/2006/relationships/hyperlink" Target="http://www.sec.gov/Archives/edgar/data/1311370/000119312505056426/dex31.htm" TargetMode="External"/><Relationship Id="rId103" Type="http://schemas.openxmlformats.org/officeDocument/2006/relationships/hyperlink" Target="http://www.sec.gov/Archives/edgar/data/1311370/000119312505056426/dex32.htm" TargetMode="External"/><Relationship Id="rId104" Type="http://schemas.openxmlformats.org/officeDocument/2006/relationships/hyperlink" Target="http://www.sec.gov/Archives/edgar/data/1311370/000119312505126336/dex33.htm" TargetMode="External"/><Relationship Id="rId105" Type="http://schemas.openxmlformats.org/officeDocument/2006/relationships/hyperlink" Target="http://www.sec.gov/Archives/edgar/data/1311370/000119312508108332/dex34.htm" TargetMode="External"/><Relationship Id="rId106" Type="http://schemas.openxmlformats.org/officeDocument/2006/relationships/hyperlink" Target="http://www.sec.gov/Archives/edgar/data/1311370/000119312510102269/dex35.htm" TargetMode="External"/><Relationship Id="rId107" Type="http://schemas.openxmlformats.org/officeDocument/2006/relationships/hyperlink" Target="http://www.sec.gov/Archives/edgar/data/1311370/000119312505073325/dex41.htm" TargetMode="External"/><Relationship Id="rId108" Type="http://schemas.openxmlformats.org/officeDocument/2006/relationships/hyperlink" Target="http://www.sec.gov/Archives/edgar/data/1326141/000119312505145683/dex41.htm" TargetMode="External"/><Relationship Id="rId109" Type="http://schemas.openxmlformats.org/officeDocument/2006/relationships/hyperlink" Target="http://www.sec.gov/Archives/edgar/data/1311370/000119312507140226/dex41.htm" TargetMode="External"/><Relationship Id="rId110" Type="http://schemas.openxmlformats.org/officeDocument/2006/relationships/hyperlink" Target="http://www.sec.gov/Archives/edgar/data/1311370/000119312513442315/d627962dex41.htm" TargetMode="External"/><Relationship Id="rId111" Type="http://schemas.openxmlformats.org/officeDocument/2006/relationships/hyperlink" Target="http://www.sec.gov/Archives/edgar/data/1311370/000119312515050385/d871111dex41.htm" TargetMode="External"/><Relationship Id="rId112" Type="http://schemas.openxmlformats.org/officeDocument/2006/relationships/hyperlink" Target="http://www.sec.gov/Archives/edgar/data/1311370/000119312516760477/d43064dex41.htm" TargetMode="External"/><Relationship Id="rId113" Type="http://schemas.openxmlformats.org/officeDocument/2006/relationships/hyperlink" Target="http://www.sec.gov/Archives/edgar/data/1311370/000119312515355042/d41332dex101.htm" TargetMode="External"/><Relationship Id="rId114" Type="http://schemas.openxmlformats.org/officeDocument/2006/relationships/hyperlink" Target="http://www.sec.gov/Archives/edgar/data/1311370/000156459016026505/laz-ex102_1418.htm" TargetMode="External"/><Relationship Id="rId115" Type="http://schemas.openxmlformats.org/officeDocument/2006/relationships/hyperlink" Target="http://www.sec.gov/Archives/edgar/data/1311370/000119312515355042/d41332dex102.htm" TargetMode="External"/><Relationship Id="rId116" Type="http://schemas.openxmlformats.org/officeDocument/2006/relationships/hyperlink" Target="http://www.sec.gov/Archives/edgar/data/1311370/000119312505025486/dex1019.htm" TargetMode="External"/><Relationship Id="rId117" Type="http://schemas.openxmlformats.org/officeDocument/2006/relationships/hyperlink" Target="http://www.sec.gov/Archives/edgar/data/1311370/000119312511117012/dex1016.htm" TargetMode="External"/><Relationship Id="rId120" Type="http://schemas.openxmlformats.org/officeDocument/2006/relationships/hyperlink" Target="http://www.sec.gov/Archives/edgar/data/1311370/000119312505025486/dex1021.htm" TargetMode="External"/><Relationship Id="rId121" Type="http://schemas.openxmlformats.org/officeDocument/2006/relationships/hyperlink" Target="http://www.sec.gov/Archives/edgar/data/1311370/000119312505091140/dex1021.htm" TargetMode="External"/><Relationship Id="rId122" Type="http://schemas.openxmlformats.org/officeDocument/2006/relationships/hyperlink" Target="http://www.sec.gov/Archives/edgar/data/1311370/000119312508063107/ddef14a.htm" TargetMode="External"/><Relationship Id="rId123" Type="http://schemas.openxmlformats.org/officeDocument/2006/relationships/hyperlink" Target="http://www.sec.gov/Archives/edgar/data/1311370/000119312516500308/d128121ddef14a.htm" TargetMode="External"/><Relationship Id="rId124" Type="http://schemas.openxmlformats.org/officeDocument/2006/relationships/hyperlink" Target="http://www.sec.gov/Archives/edgar/data/1311370/000119312516556959/d150073dex109.htm" TargetMode="External"/><Relationship Id="rId125" Type="http://schemas.openxmlformats.org/officeDocument/2006/relationships/hyperlink" Target="http://www.sec.gov/Archives/edgar/data/1311370/000119312516556959/d150073dex1010.htm" TargetMode="External"/><Relationship Id="rId126" Type="http://schemas.openxmlformats.org/officeDocument/2006/relationships/hyperlink" Target="http://www.sec.gov/Archives/edgar/data/1311370/000119312516556959/d150073dex1011.htm" TargetMode="External"/><Relationship Id="rId127" Type="http://schemas.openxmlformats.org/officeDocument/2006/relationships/hyperlink" Target="http://www.sec.gov/Archives/edgar/data/1311370/000119312516556959/d150073dex1012.htm" TargetMode="External"/><Relationship Id="rId128" Type="http://schemas.openxmlformats.org/officeDocument/2006/relationships/hyperlink" Target="http://www.sec.gov/Archives/edgar/data/1311370/000119312516556959/d150073dex1013.htm" TargetMode="External"/><Relationship Id="rId129" Type="http://schemas.openxmlformats.org/officeDocument/2006/relationships/hyperlink" Target="http://www.sec.gov/Archives/edgar/data/1311370/000089882205001180/sept9_exhibit.txt" TargetMode="External"/><Relationship Id="rId130" Type="http://schemas.openxmlformats.org/officeDocument/2006/relationships/hyperlink" Target="http://www.sec.gov/Archives/edgar/data/1311370/000119312509041325/dex1041.htm" TargetMode="External"/><Relationship Id="rId131" Type="http://schemas.openxmlformats.org/officeDocument/2006/relationships/hyperlink" Target="http://www.sec.gov/Archives/edgar/data/1311370/000119312509041325/dex1042.htm" TargetMode="External"/><Relationship Id="rId132" Type="http://schemas.openxmlformats.org/officeDocument/2006/relationships/hyperlink" Target="http://www.sec.gov/Archives/edgar/data/1311370/000119312506109044/dex1039.htm" TargetMode="External"/><Relationship Id="rId133" Type="http://schemas.openxmlformats.org/officeDocument/2006/relationships/hyperlink" Target="http://www.sec.gov/Archives/edgar/data/1311370/000119312515355042/d41332dex1027.htm" TargetMode="External"/><Relationship Id="rId134" Type="http://schemas.openxmlformats.org/officeDocument/2006/relationships/hyperlink" Target="http://www.sec.gov/Archives/edgar/data/1311370/000119312513188120/d498095dex1055.htm" TargetMode="External"/><Relationship Id="rId135" Type="http://schemas.openxmlformats.org/officeDocument/2006/relationships/hyperlink" Target="http://www.sec.gov/Archives/edgar/data/1311370/000119312514184963/d687179dex1055.htm" TargetMode="External"/><Relationship Id="rId136" Type="http://schemas.openxmlformats.org/officeDocument/2006/relationships/hyperlink" Target="http://www.sec.gov/Archives/edgar/data/1311370/000119312514184963/d687179dex105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2019-12-29T05:50:36Z</dcterms:created>
  <dcterms:modified xsi:type="dcterms:W3CDTF">2019-12-29T05:50:36Z</dcterms:modified>
</cp:coreProperties>
</file>