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3" w:lineRule="exact"/>
        <w:rPr>
          <w:sz w:val="24"/>
          <w:szCs w:val="24"/>
          <w:color w:val="auto"/>
        </w:rPr>
      </w:pPr>
    </w:p>
    <w:p>
      <w:pPr>
        <w:ind w:left="580" w:right="320" w:hanging="572"/>
        <w:spacing w:after="0" w:line="262"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32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55"/>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001-32492</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4"/>
          <w:szCs w:val="24"/>
          <w:color w:val="auto"/>
        </w:rPr>
      </w:pPr>
    </w:p>
    <w:tbl>
      <w:tblPr>
        <w:tblLayout w:type="fixed"/>
        <w:tblInd w:w="1620" w:type="dxa"/>
        <w:tblCellMar>
          <w:top w:w="0" w:type="dxa"/>
          <w:left w:w="0" w:type="dxa"/>
          <w:bottom w:w="0" w:type="dxa"/>
          <w:right w:w="0" w:type="dxa"/>
        </w:tblCellMar>
      </w:tblPr>
      <w:tr>
        <w:trPr>
          <w:trHeight w:val="534"/>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43"/>
                <w:szCs w:val="43"/>
                <w:b w:val="1"/>
                <w:bCs w:val="1"/>
                <w:color w:val="auto"/>
                <w:w w:val="99"/>
              </w:rPr>
              <w:t>LAZARD LTD</w:t>
            </w:r>
          </w:p>
        </w:tc>
        <w:tc>
          <w:tcPr>
            <w:tcW w:w="2200" w:type="dxa"/>
            <w:vAlign w:val="bottom"/>
          </w:tcPr>
          <w:p>
            <w:pPr>
              <w:spacing w:after="0"/>
              <w:rPr>
                <w:sz w:val="24"/>
                <w:szCs w:val="24"/>
                <w:color w:val="auto"/>
              </w:rPr>
            </w:pPr>
          </w:p>
        </w:tc>
      </w:tr>
      <w:tr>
        <w:trPr>
          <w:trHeight w:val="178"/>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c>
          <w:tcPr>
            <w:tcW w:w="2200" w:type="dxa"/>
            <w:vAlign w:val="bottom"/>
          </w:tcPr>
          <w:p>
            <w:pPr>
              <w:spacing w:after="0"/>
              <w:rPr>
                <w:sz w:val="15"/>
                <w:szCs w:val="15"/>
                <w:color w:val="auto"/>
              </w:rPr>
            </w:pPr>
          </w:p>
        </w:tc>
      </w:tr>
      <w:tr>
        <w:trPr>
          <w:trHeight w:val="335"/>
        </w:trPr>
        <w:tc>
          <w:tcPr>
            <w:tcW w:w="596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2200" w:type="dxa"/>
            <w:vAlign w:val="bottom"/>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200" w:type="dxa"/>
            <w:vAlign w:val="bottom"/>
          </w:tcPr>
          <w:p>
            <w:pPr>
              <w:jc w:val="center"/>
              <w:ind w:lef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5960" w:type="dxa"/>
            <w:vAlign w:val="bottom"/>
            <w:gridSpan w:val="3"/>
          </w:tcPr>
          <w:p>
            <w:pPr>
              <w:jc w:val="center"/>
              <w:ind w:right="336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2200" w:type="dxa"/>
            <w:vAlign w:val="bottom"/>
          </w:tcPr>
          <w:p>
            <w:pPr>
              <w:spacing w:after="0"/>
              <w:rPr>
                <w:sz w:val="15"/>
                <w:szCs w:val="15"/>
                <w:color w:val="auto"/>
              </w:rPr>
            </w:pPr>
          </w:p>
        </w:tc>
      </w:tr>
      <w:tr>
        <w:trPr>
          <w:trHeight w:val="230"/>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28"/>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Hamilton HM11, Bermuda</w:t>
            </w:r>
          </w:p>
        </w:tc>
        <w:tc>
          <w:tcPr>
            <w:tcW w:w="2200" w:type="dxa"/>
            <w:vAlign w:val="bottom"/>
          </w:tcPr>
          <w:p>
            <w:pPr>
              <w:spacing w:after="0"/>
              <w:rPr>
                <w:sz w:val="18"/>
                <w:szCs w:val="18"/>
                <w:color w:val="auto"/>
              </w:rPr>
            </w:pPr>
          </w:p>
        </w:tc>
      </w:tr>
      <w:tr>
        <w:trPr>
          <w:trHeight w:val="230"/>
        </w:trPr>
        <w:tc>
          <w:tcPr>
            <w:tcW w:w="5960" w:type="dxa"/>
            <w:vAlign w:val="bottom"/>
            <w:gridSpan w:val="3"/>
          </w:tcPr>
          <w:p>
            <w:pPr>
              <w:jc w:val="center"/>
              <w:ind w:left="2123"/>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2200" w:type="dxa"/>
            <w:vAlign w:val="bottom"/>
          </w:tcPr>
          <w:p>
            <w:pPr>
              <w:spacing w:after="0"/>
              <w:rPr>
                <w:sz w:val="20"/>
                <w:szCs w:val="20"/>
                <w:color w:val="auto"/>
              </w:rPr>
            </w:pPr>
          </w:p>
        </w:tc>
      </w:tr>
      <w:tr>
        <w:trPr>
          <w:trHeight w:val="351"/>
        </w:trPr>
        <w:tc>
          <w:tcPr>
            <w:tcW w:w="5960" w:type="dxa"/>
            <w:vAlign w:val="bottom"/>
            <w:gridSpan w:val="3"/>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(441) 295-1422</w:t>
            </w:r>
          </w:p>
        </w:tc>
        <w:tc>
          <w:tcPr>
            <w:tcW w:w="2200" w:type="dxa"/>
            <w:vAlign w:val="bottom"/>
          </w:tcPr>
          <w:p>
            <w:pPr>
              <w:spacing w:after="0"/>
              <w:rPr>
                <w:sz w:val="24"/>
                <w:szCs w:val="24"/>
                <w:color w:val="auto"/>
              </w:rPr>
            </w:pPr>
          </w:p>
        </w:tc>
      </w:tr>
    </w:tbl>
    <w:p>
      <w:pPr>
        <w:spacing w:after="0" w:line="123" w:lineRule="exact"/>
        <w:rPr>
          <w:sz w:val="24"/>
          <w:szCs w:val="24"/>
          <w:color w:val="auto"/>
        </w:rPr>
      </w:pPr>
    </w:p>
    <w:p>
      <w:pPr>
        <w:ind w:right="3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firstLine="3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sectPr>
      </w:pPr>
    </w:p>
    <w:p>
      <w:pPr>
        <w:spacing w:after="0" w:line="80"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3">
            <w:col w:w="5420" w:space="720"/>
            <w:col w:w="1920" w:space="80"/>
            <w:col w:w="3260"/>
          </w:cols>
          <w:pgMar w:left="240" w:top="226"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ind w:right="940" w:firstLine="342"/>
        <w:spacing w:after="0" w:line="275" w:lineRule="auto"/>
        <w:rPr>
          <w:sz w:val="20"/>
          <w:szCs w:val="20"/>
          <w:color w:val="auto"/>
        </w:rPr>
      </w:pPr>
      <w:r>
        <w:rPr>
          <w:rFonts w:ascii="Times New Roman" w:cs="Times New Roman" w:eastAsia="Times New Roman" w:hAnsi="Times New Roman"/>
          <w:sz w:val="18"/>
          <w:szCs w:val="18"/>
          <w:color w:val="auto"/>
        </w:rPr>
        <w:t>As of April 15, 2016, there were 129,766,091 shares of the Registrant’s Class A common stock outstanding (including 3,949,249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March 31, 2016 of all of the common membership interests in Lazard Group and its controlling interest in Lazard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4. 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74">
              <w:r>
                <w:rPr>
                  <w:rFonts w:ascii="Times New Roman" w:cs="Times New Roman" w:eastAsia="Times New Roman" w:hAnsi="Times New Roman"/>
                  <w:sz w:val="18"/>
                  <w:szCs w:val="18"/>
                  <w:b w:val="1"/>
                  <w:bCs w:val="1"/>
                  <w:color w:val="0000EE"/>
                  <w:w w:val="97"/>
                </w:rPr>
                <w:t>Part II. Other Information</w:t>
              </w:r>
            </w:hyperlink>
          </w:p>
        </w:tc>
        <w:tc>
          <w:tcPr>
            <w:tcW w:w="90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 Legal Proceedings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74">
              <w:r>
                <w:rPr>
                  <w:rFonts w:ascii="Times New Roman" w:cs="Times New Roman" w:eastAsia="Times New Roman" w:hAnsi="Times New Roman"/>
                  <w:sz w:val="18"/>
                  <w:szCs w:val="18"/>
                  <w:color w:val="0000EE"/>
                  <w:w w:val="96"/>
                </w:rPr>
                <w:t>Item 1A. Risk Factors</w:t>
              </w:r>
            </w:hyperlink>
          </w:p>
        </w:tc>
        <w:tc>
          <w:tcPr>
            <w:tcW w:w="280" w:type="dxa"/>
            <w:vAlign w:val="bottom"/>
            <w:tcBorders>
              <w:top w:val="single" w:sz="8" w:color="0000EE"/>
            </w:tcBorders>
            <w:gridSpan w:val="3"/>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4"/>
          </w:tcPr>
          <w:p>
            <w:pPr>
              <w:spacing w:after="0"/>
              <w:rPr>
                <w:rFonts w:ascii="Times New Roman" w:cs="Times New Roman" w:eastAsia="Times New Roman" w:hAnsi="Times New Roman"/>
                <w:sz w:val="18"/>
                <w:szCs w:val="18"/>
                <w:b w:val="1"/>
                <w:bCs w:val="1"/>
                <w:color w:val="0000EE"/>
              </w:rPr>
            </w:pPr>
            <w:hyperlink w:anchor="page81">
              <w:r>
                <w:rPr>
                  <w:rFonts w:ascii="Times New Roman" w:cs="Times New Roman" w:eastAsia="Times New Roman" w:hAnsi="Times New Roman"/>
                  <w:sz w:val="18"/>
                  <w:szCs w:val="18"/>
                  <w:b w:val="1"/>
                  <w:bCs w:val="1"/>
                  <w:color w:val="0000EE"/>
                </w:rPr>
                <w:t>Signatures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140" w:type="dxa"/>
            <w:vAlign w:val="bottom"/>
            <w:gridSpan w:val="6"/>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26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6"/>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Condensed Consolidated Statements of Financial Condition as of March 31, 2016 and December 31, 2015</w:t>
              </w:r>
            </w:hyperlink>
          </w:p>
        </w:tc>
        <w:tc>
          <w:tcPr>
            <w:tcW w:w="352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6"/>
            <w:vMerge w:val="continue"/>
          </w:tcPr>
          <w:p>
            <w:pPr>
              <w:spacing w:after="0"/>
              <w:rPr>
                <w:sz w:val="13"/>
                <w:szCs w:val="13"/>
                <w:color w:val="auto"/>
              </w:rPr>
            </w:pPr>
          </w:p>
        </w:tc>
        <w:tc>
          <w:tcPr>
            <w:tcW w:w="352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18"/>
        </w:trPr>
        <w:tc>
          <w:tcPr>
            <w:tcW w:w="60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Condensed Consolidated Statements of Operations for the three month periods ended</w:t>
              </w:r>
            </w:hyperlink>
          </w:p>
        </w:tc>
        <w:tc>
          <w:tcPr>
            <w:tcW w:w="5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March 31, 2016 and 2015</w:t>
              </w:r>
            </w:hyperlink>
          </w:p>
        </w:tc>
        <w:tc>
          <w:tcPr>
            <w:tcW w:w="89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Condensed Consolidated Statements of Comprehensive Income for the three month periods ended March 31, 2016 and 2015</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 periods ended March 31, 2016 and 2015</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Condensed Consolidated Statements of Changes in Stockholders’ Equity for the three month periods ended March 31, 2016 and 2015</w:t>
              </w:r>
            </w:hyperlink>
          </w:p>
        </w:tc>
        <w:tc>
          <w:tcPr>
            <w:tcW w:w="1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21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AND 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701,324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$ 1,132,083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387,550</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34,034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34,948</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Receivables (net of allowance for doubtful accounts of $11,230 and $12,882 at March 31, 2016 and December 31, 2015,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414,464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100,058</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460,281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541,911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Property (net of accumulated amortization and depreciation of $279,432 and $265,506 at March 31, 2016 and December 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2015, respectively)</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206,856</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207,165</w:t>
            </w:r>
          </w:p>
        </w:tc>
        <w:tc>
          <w:tcPr>
            <w:tcW w:w="0" w:type="dxa"/>
            <w:vAlign w:val="bottom"/>
          </w:tcPr>
          <w:p>
            <w:pPr>
              <w:spacing w:after="0"/>
              <w:rPr>
                <w:sz w:val="1"/>
                <w:szCs w:val="1"/>
                <w:color w:val="auto"/>
              </w:rPr>
            </w:pPr>
          </w:p>
        </w:tc>
      </w:tr>
      <w:tr>
        <w:trPr>
          <w:trHeight w:val="31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intangible assets (net of accumulated amortization of $58,205 and $57,561 at March 31, 2016 and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2015,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332,621</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326,976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1,126,019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4,011,591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$ 4,477,774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 AND DECEMBER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8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9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525,439</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Tax receivable agreement obligation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2,788,843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3,110,468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9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Series A - 7,921 shares issued and outstanding at March 31, 2016 and December 31, 2015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9"/>
              </w:rPr>
              <w:t>129,766,091 shares issued at March 31, 2016 and December 31, 2015, including shares held by subsidiaries as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indicated below)</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1,123,728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(221,572)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1,276,832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1,490,704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Class A common stock held by subsidiaries, at cost (3,002,995 and 4,253,381 shares at March 31, 2016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December 31, 2015,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(111,504)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1,165,328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1,313,455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1,222,748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1,367,306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4,011,591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4,477,774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24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60" w:type="dxa"/>
            <w:vAlign w:val="bottom"/>
            <w:tcBorders>
              <w:top w:val="single" w:sz="8" w:color="auto"/>
            </w:tcBorders>
            <w:gridSpan w:val="2"/>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20" w:type="dxa"/>
            <w:vAlign w:val="bottom"/>
            <w:gridSpan w:val="2"/>
            <w:vMerge w:val="continue"/>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management fees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510,116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498,218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pursuant to tax receivable agreement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399,841</w:t>
            </w:r>
          </w:p>
        </w:tc>
        <w:tc>
          <w:tcPr>
            <w:tcW w:w="20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503,086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27,654</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 NET INCOME ATTRIBUTABLE TO NONCONTROLLING INTERESTS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ATTRIBUTABLE TO LAZARD LTD CLASS A COMMON STOCKHOLDERS: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0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 OUTSTANDING:</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126,040,441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123,655,689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132,891,284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133,735,946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DECLARED PER SHARE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70,723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$ 62,646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 (including a tax benefit of $1,146 for the three months ended March 31, 2016)</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11,739</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(34,133)</w:t>
            </w: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280" w:type="dxa"/>
            <w:vAlign w:val="bottom"/>
            <w:shd w:val="clear" w:color="auto" w:fill="CCEEFF"/>
          </w:tcPr>
          <w:p>
            <w:pPr>
              <w:ind w:left="860"/>
              <w:spacing w:after="0" w:line="201" w:lineRule="exact"/>
              <w:rPr>
                <w:sz w:val="20"/>
                <w:szCs w:val="20"/>
                <w:color w:val="auto"/>
              </w:rPr>
            </w:pPr>
            <w:r>
              <w:rPr>
                <w:rFonts w:ascii="Times New Roman" w:cs="Times New Roman" w:eastAsia="Times New Roman" w:hAnsi="Times New Roman"/>
                <w:sz w:val="18"/>
                <w:szCs w:val="18"/>
                <w:color w:val="auto"/>
              </w:rPr>
              <w:t>Actuarial gain (loss) (net of tax expense (benefit) of $(70) and $115 for the three months ended March 31,</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2016 and 2015, respectively)</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02"/>
        </w:trPr>
        <w:tc>
          <w:tcPr>
            <w:tcW w:w="20" w:type="dxa"/>
            <w:vAlign w:val="bottom"/>
          </w:tcPr>
          <w:p>
            <w:pPr>
              <w:spacing w:after="0"/>
              <w:rPr>
                <w:sz w:val="17"/>
                <w:szCs w:val="17"/>
                <w:color w:val="auto"/>
              </w:rPr>
            </w:pPr>
          </w:p>
        </w:tc>
        <w:tc>
          <w:tcPr>
            <w:tcW w:w="92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Adjustment for items reclassified to earnings (net of tax expense of $393 and $563 for the three months ended</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92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March 31, 2016 and 2015, respectively)</w:t>
            </w:r>
          </w:p>
        </w:tc>
        <w:tc>
          <w:tcPr>
            <w:tcW w:w="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12,784</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(32,728)</w:t>
            </w:r>
          </w:p>
        </w:tc>
      </w:tr>
      <w:tr>
        <w:trPr>
          <w:trHeight w:val="222"/>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ATTRIBUTABLE TO NONCONTROLLING INTERESTS</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3,900</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6,693</w:t>
            </w:r>
          </w:p>
        </w:tc>
      </w:tr>
      <w:tr>
        <w:trPr>
          <w:trHeight w:val="223"/>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LAZARD LTD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79,607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$ 23,225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6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70,723</w:t>
            </w:r>
          </w:p>
        </w:tc>
        <w:tc>
          <w:tcPr>
            <w:tcW w:w="18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of property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deferred expenses and share-based incentive compensation</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117,140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 related to acquisitions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tax provision (benefit)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Provision pursuant to tax receivable agreement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with banks and short-term investments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Cash deposited with clearing organizations and other segregated cash</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Receivables-net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(11,757)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(46,592)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liabilities: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and other payables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(2,729)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 and other liabilities</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(354,436)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(99,891)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Additions to property</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(5,454)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Disposals of property</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(4,011)</w:t>
            </w:r>
          </w:p>
        </w:tc>
        <w:tc>
          <w:tcPr>
            <w:tcW w:w="0" w:type="dxa"/>
            <w:vAlign w:val="bottom"/>
          </w:tcPr>
          <w:p>
            <w:pPr>
              <w:spacing w:after="0"/>
              <w:rPr>
                <w:sz w:val="1"/>
                <w:szCs w:val="1"/>
                <w:color w:val="auto"/>
              </w:rPr>
            </w:pPr>
          </w:p>
        </w:tc>
      </w:tr>
      <w:tr>
        <w:trPr>
          <w:trHeight w:val="156"/>
        </w:trPr>
        <w:tc>
          <w:tcPr>
            <w:tcW w:w="9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3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Issuance of senior debt, net of expenses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396,272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Excess tax benefits from share-based incentive compensation</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Payments for:</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Senior debt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(509,098)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Capital lease obligations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Payments under tax receivable agreement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(10,086)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(83,140)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(194,382)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Settlement of vested share-based incentive compensation</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(50,455)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3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(337,705)</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(454,026)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(37,175)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(430,759)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(460,244)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EQUIVALENTS—January 1</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1,132,083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EQUIVALENTS—March 31</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701,324</w:t>
            </w:r>
          </w:p>
        </w:tc>
        <w:tc>
          <w:tcPr>
            <w:tcW w:w="180" w:type="dxa"/>
            <w:vAlign w:val="bottom"/>
          </w:tcPr>
          <w:p>
            <w:pPr>
              <w:spacing w:after="0"/>
              <w:rPr>
                <w:sz w:val="13"/>
                <w:szCs w:val="13"/>
                <w:color w:val="auto"/>
              </w:rPr>
            </w:pPr>
          </w:p>
        </w:tc>
        <w:tc>
          <w:tcPr>
            <w:tcW w:w="3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606,336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0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40" w:type="dxa"/>
            <w:vAlign w:val="bottom"/>
            <w:gridSpan w:val="5"/>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Preferred Stock</w:t>
            </w:r>
          </w:p>
        </w:tc>
        <w:tc>
          <w:tcPr>
            <w:tcW w:w="140" w:type="dxa"/>
            <w:vAlign w:val="bottom"/>
          </w:tcPr>
          <w:p>
            <w:pPr>
              <w:spacing w:after="0"/>
              <w:rPr>
                <w:sz w:val="4"/>
                <w:szCs w:val="4"/>
                <w:color w:val="auto"/>
              </w:rPr>
            </w:pPr>
          </w:p>
        </w:tc>
        <w:tc>
          <w:tcPr>
            <w:tcW w:w="1220" w:type="dxa"/>
            <w:vAlign w:val="bottom"/>
            <w:gridSpan w:val="3"/>
            <w:vMerge w:val="restart"/>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34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 Subsidiaries</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4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7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10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34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2015</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129,766,091</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$1,298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702,800</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$ 464,655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(200,766)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7,450,745</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$(261,243)</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706,744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770,057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55,953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6,693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62,646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w w:val="99"/>
              </w:rPr>
              <w:t>Other comprehensive loss - net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(32,728)</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(32,728)</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(32,728)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7"/>
              </w:rPr>
              <w:t>Amortization of share-based incentive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77,923</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77,923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22,898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(24,053)</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(158,390)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1,677,464</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(82,963)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incentive compensation and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related tax benefit of $9,495</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(294,327)</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(5,370,128)</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201,937</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(92,390)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(92,390)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Business acquisitions and related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transactions: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Class A common stock issuable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(including related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amortization)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net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(5,784)</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 March 31, 2015</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7,921</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500" w:type="dxa"/>
            <w:vAlign w:val="bottom"/>
            <w:gridSpan w:val="2"/>
            <w:shd w:val="clear" w:color="auto" w:fill="CCEEFF"/>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1,298</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509,383</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$ 338,165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(233,494)</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3,758,081</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(142,269)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473,083</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64,222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537,305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 PERIOD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500" w:type="dxa"/>
            <w:vAlign w:val="bottom"/>
            <w:gridSpan w:val="5"/>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2"/>
              </w:rPr>
              <w:t>Class A</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gridSpan w:val="4"/>
            <w:vMerge w:val="restart"/>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Series A</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00" w:type="dxa"/>
            <w:vAlign w:val="bottom"/>
            <w:gridSpan w:val="5"/>
            <w:vMerge w:val="restart"/>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50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gridSpan w:val="5"/>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40" w:type="dxa"/>
            <w:vAlign w:val="bottom"/>
          </w:tcPr>
          <w:p>
            <w:pPr>
              <w:spacing w:after="0"/>
              <w:rPr>
                <w:sz w:val="4"/>
                <w:szCs w:val="4"/>
                <w:color w:val="auto"/>
              </w:rPr>
            </w:pPr>
          </w:p>
        </w:tc>
        <w:tc>
          <w:tcPr>
            <w:tcW w:w="1240" w:type="dxa"/>
            <w:vAlign w:val="bottom"/>
            <w:gridSpan w:val="3"/>
            <w:vMerge w:val="restart"/>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340" w:type="dxa"/>
            <w:vAlign w:val="bottom"/>
            <w:gridSpan w:val="4"/>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 Subsidiaries</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2"/>
              </w:rPr>
              <w:t>Paid-In-</w:t>
            </w:r>
          </w:p>
        </w:tc>
        <w:tc>
          <w:tcPr>
            <w:tcW w:w="60" w:type="dxa"/>
            <w:vAlign w:val="bottom"/>
          </w:tcPr>
          <w:p>
            <w:pPr>
              <w:spacing w:after="0"/>
              <w:rPr>
                <w:sz w:val="11"/>
                <w:szCs w:val="11"/>
                <w:color w:val="auto"/>
              </w:rPr>
            </w:pPr>
          </w:p>
        </w:tc>
        <w:tc>
          <w:tcPr>
            <w:tcW w:w="760" w:type="dxa"/>
            <w:vAlign w:val="bottom"/>
            <w:gridSpan w:val="3"/>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34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10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6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2016</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7,921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129,766,091</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$1,298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600,034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1,123,728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(234,356)</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4,253,381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7"/>
              </w:rPr>
              <w:t>$(177,249)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1,313,455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53,851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1,367,306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66,823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66,823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70,723</w:t>
            </w:r>
          </w:p>
        </w:tc>
        <w:tc>
          <w:tcPr>
            <w:tcW w:w="0" w:type="dxa"/>
            <w:vAlign w:val="bottom"/>
          </w:tcPr>
          <w:p>
            <w:pPr>
              <w:spacing w:after="0"/>
              <w:rPr>
                <w:sz w:val="1"/>
                <w:szCs w:val="1"/>
                <w:color w:val="auto"/>
              </w:rPr>
            </w:pPr>
          </w:p>
        </w:tc>
      </w:tr>
      <w:tr>
        <w:trPr>
          <w:trHeight w:val="136"/>
        </w:trPr>
        <w:tc>
          <w:tcPr>
            <w:tcW w:w="2060" w:type="dxa"/>
            <w:vAlign w:val="bottom"/>
            <w:gridSpan w:val="2"/>
          </w:tcPr>
          <w:p>
            <w:pPr>
              <w:ind w:left="220"/>
              <w:spacing w:after="0" w:line="136" w:lineRule="exact"/>
              <w:rPr>
                <w:sz w:val="20"/>
                <w:szCs w:val="20"/>
                <w:color w:val="auto"/>
              </w:rPr>
            </w:pPr>
            <w:r>
              <w:rPr>
                <w:rFonts w:ascii="Times New Roman" w:cs="Times New Roman" w:eastAsia="Times New Roman" w:hAnsi="Times New Roman"/>
                <w:sz w:val="14"/>
                <w:szCs w:val="14"/>
                <w:color w:val="auto"/>
              </w:rPr>
              <w:t>Other comprehensive income -</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of tax</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12,784</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12,784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12,784</w:t>
            </w:r>
          </w:p>
        </w:tc>
        <w:tc>
          <w:tcPr>
            <w:tcW w:w="0" w:type="dxa"/>
            <w:vAlign w:val="bottom"/>
          </w:tcPr>
          <w:p>
            <w:pPr>
              <w:spacing w:after="0"/>
              <w:rPr>
                <w:sz w:val="1"/>
                <w:szCs w:val="1"/>
                <w:color w:val="auto"/>
              </w:rPr>
            </w:pPr>
          </w:p>
        </w:tc>
      </w:tr>
      <w:tr>
        <w:trPr>
          <w:trHeight w:val="136"/>
        </w:trPr>
        <w:tc>
          <w:tcPr>
            <w:tcW w:w="2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Amortization of share-based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incentive compensation</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94,638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94,638</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94,638</w:t>
            </w: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Dividend-equivalents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23,793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(25,361)</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(194,382)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(194,382)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(194,382)</w:t>
            </w:r>
          </w:p>
        </w:tc>
        <w:tc>
          <w:tcPr>
            <w:tcW w:w="0" w:type="dxa"/>
            <w:vAlign w:val="bottom"/>
          </w:tcPr>
          <w:p>
            <w:pPr>
              <w:spacing w:after="0"/>
              <w:rPr>
                <w:sz w:val="1"/>
                <w:szCs w:val="1"/>
                <w:color w:val="auto"/>
              </w:rPr>
            </w:pPr>
          </w:p>
        </w:tc>
      </w:tr>
      <w:tr>
        <w:trPr>
          <w:trHeight w:val="149"/>
        </w:trPr>
        <w:tc>
          <w:tcPr>
            <w:tcW w:w="2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Purchase of Class A common stock</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2,424,571</w:t>
            </w:r>
          </w:p>
        </w:tc>
        <w:tc>
          <w:tcPr>
            <w:tcW w:w="760" w:type="dxa"/>
            <w:vAlign w:val="bottom"/>
            <w:gridSpan w:val="3"/>
          </w:tcPr>
          <w:p>
            <w:pPr>
              <w:jc w:val="right"/>
              <w:ind w:right="81"/>
              <w:spacing w:after="0" w:line="149" w:lineRule="exact"/>
              <w:rPr>
                <w:sz w:val="20"/>
                <w:szCs w:val="20"/>
                <w:color w:val="auto"/>
              </w:rPr>
            </w:pPr>
            <w:r>
              <w:rPr>
                <w:rFonts w:ascii="Times New Roman" w:cs="Times New Roman" w:eastAsia="Times New Roman" w:hAnsi="Times New Roman"/>
                <w:sz w:val="14"/>
                <w:szCs w:val="14"/>
                <w:color w:val="auto"/>
              </w:rPr>
              <w:t>(83,140)</w:t>
            </w: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(83,140)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(83,140)</w:t>
            </w:r>
          </w:p>
        </w:tc>
        <w:tc>
          <w:tcPr>
            <w:tcW w:w="0" w:type="dxa"/>
            <w:vAlign w:val="bottom"/>
          </w:tcPr>
          <w:p>
            <w:pPr>
              <w:spacing w:after="0"/>
              <w:rPr>
                <w:sz w:val="1"/>
                <w:szCs w:val="1"/>
                <w:color w:val="auto"/>
              </w:rPr>
            </w:pPr>
          </w:p>
        </w:tc>
      </w:tr>
      <w:tr>
        <w:trPr>
          <w:trHeight w:val="136"/>
        </w:trPr>
        <w:tc>
          <w:tcPr>
            <w:tcW w:w="2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Delivery of Class A 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 connection with share-based</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incentive compensation and</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related tax benefit of $7,219</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(192,121)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(3,674,957)</w:t>
            </w:r>
          </w:p>
        </w:tc>
        <w:tc>
          <w:tcPr>
            <w:tcW w:w="7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4"/>
                <w:szCs w:val="14"/>
                <w:color w:val="auto"/>
              </w:rPr>
              <w:t>148,885</w:t>
            </w: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(43,236)</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(43,236)</w:t>
            </w:r>
          </w:p>
        </w:tc>
        <w:tc>
          <w:tcPr>
            <w:tcW w:w="0" w:type="dxa"/>
            <w:vAlign w:val="bottom"/>
          </w:tcPr>
          <w:p>
            <w:pPr>
              <w:spacing w:after="0"/>
              <w:rPr>
                <w:sz w:val="1"/>
                <w:szCs w:val="1"/>
                <w:color w:val="auto"/>
              </w:rPr>
            </w:pPr>
          </w:p>
        </w:tc>
      </w:tr>
      <w:tr>
        <w:trPr>
          <w:trHeight w:val="136"/>
        </w:trPr>
        <w:tc>
          <w:tcPr>
            <w:tcW w:w="206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interests, net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9"/>
        </w:trPr>
        <w:tc>
          <w:tcPr>
            <w:tcW w:w="2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9"/>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 March 31, 2016</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7,921</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129,766,091</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1,298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526,298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970,808</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(221,572)</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3,002,995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88"/>
              </w:rPr>
              <w:t>$</w:t>
            </w:r>
            <w:r>
              <w:rPr>
                <w:rFonts w:ascii="Times New Roman" w:cs="Times New Roman" w:eastAsia="Times New Roman" w:hAnsi="Times New Roman"/>
                <w:sz w:val="14"/>
                <w:szCs w:val="14"/>
                <w:b w:val="1"/>
                <w:bCs w:val="1"/>
                <w:color w:val="auto"/>
                <w:w w:val="88"/>
              </w:rPr>
              <w:t xml:space="preserve"> (111,504</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1,165,328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57,420</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1,222,748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95" w:lineRule="exact"/>
        <w:rPr>
          <w:sz w:val="20"/>
          <w:szCs w:val="20"/>
          <w:color w:val="auto"/>
        </w:rPr>
      </w:pPr>
    </w:p>
    <w:p>
      <w:pPr>
        <w:ind w:right="7040" w:firstLine="8"/>
        <w:spacing w:after="0" w:line="346" w:lineRule="auto"/>
        <w:tabs>
          <w:tab w:leader="none" w:pos="446"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spacing w:after="0" w:line="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March 31, 2016 and December 31, 2015. Lazard Ltd, through its control of the managing members of Lazard Group, controls Lazard Group, which is governed by an Amended and Restated Operating Agreement dated as of October 26, 2015 (the “Operating Agreement”).</w:t>
      </w:r>
    </w:p>
    <w:p>
      <w:pPr>
        <w:spacing w:after="0" w:line="13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39" w:lineRule="exact"/>
        <w:rPr>
          <w:sz w:val="20"/>
          <w:szCs w:val="20"/>
          <w:color w:val="auto"/>
        </w:rPr>
      </w:pPr>
    </w:p>
    <w:p>
      <w:pPr>
        <w:jc w:val="both"/>
        <w:ind w:left="900" w:right="120" w:hanging="325"/>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20" w:hanging="325"/>
        <w:spacing w:after="0" w:line="26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20"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2015 (the “Form 10-K”). The accompanying December 31, 2015 unaudited condensed consolidated statement of financial condition data was derived from audited consolidated financial statements, but does not include all disclosures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32" w:lineRule="exact"/>
        <w:rPr>
          <w:sz w:val="20"/>
          <w:szCs w:val="20"/>
          <w:color w:val="auto"/>
        </w:rPr>
      </w:pPr>
    </w:p>
    <w:p>
      <w:pPr>
        <w:jc w:val="both"/>
        <w:ind w:right="20" w:firstLine="456"/>
        <w:spacing w:after="0" w:line="287" w:lineRule="auto"/>
        <w:rPr>
          <w:sz w:val="20"/>
          <w:szCs w:val="20"/>
          <w:color w:val="auto"/>
        </w:rPr>
      </w:pPr>
      <w:r>
        <w:rPr>
          <w:rFonts w:ascii="Times New Roman" w:cs="Times New Roman" w:eastAsia="Times New Roman" w:hAnsi="Times New Roman"/>
          <w:sz w:val="16"/>
          <w:szCs w:val="16"/>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these estimates are based on management’s knowledge of current events and actions that Lazard may undertake in the future, actual results may differ materially from the estimates.</w:t>
      </w:r>
    </w:p>
    <w:p>
      <w:pPr>
        <w:spacing w:after="0" w:line="132"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consolidated results of operations for the three month period ended March 31, 2016 are not indicative of the results to be expected for any future interim or annual period.</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it has a controlling financial interest. The Company consolidates:</w:t>
      </w:r>
    </w:p>
    <w:p>
      <w:pPr>
        <w:spacing w:after="0" w:line="9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where the Company holds a majority of the voting interest in such VOEs and,</w:t>
      </w:r>
    </w:p>
    <w:p>
      <w:pPr>
        <w:spacing w:after="0" w:line="90" w:lineRule="exact"/>
        <w:rPr>
          <w:rFonts w:ascii="Times New Roman" w:cs="Times New Roman" w:eastAsia="Times New Roman" w:hAnsi="Times New Roman"/>
          <w:sz w:val="18"/>
          <w:szCs w:val="18"/>
          <w:color w:val="auto"/>
        </w:rPr>
      </w:pPr>
    </w:p>
    <w:p>
      <w:pPr>
        <w:ind w:left="900" w:right="540" w:hanging="325"/>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32" w:lineRule="exact"/>
        <w:rPr>
          <w:sz w:val="20"/>
          <w:szCs w:val="20"/>
          <w:color w:val="auto"/>
        </w:rPr>
      </w:pPr>
    </w:p>
    <w:p>
      <w:pPr>
        <w:ind w:right="560" w:firstLine="456"/>
        <w:spacing w:after="0" w:line="339" w:lineRule="auto"/>
        <w:rPr>
          <w:sz w:val="20"/>
          <w:szCs w:val="20"/>
          <w:color w:val="auto"/>
        </w:rPr>
      </w:pPr>
      <w:r>
        <w:rPr>
          <w:rFonts w:ascii="Times New Roman" w:cs="Times New Roman" w:eastAsia="Times New Roman" w:hAnsi="Times New Roman"/>
          <w:sz w:val="16"/>
          <w:szCs w:val="16"/>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19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92" w:lineRule="exact"/>
        <w:rPr>
          <w:sz w:val="20"/>
          <w:szCs w:val="20"/>
          <w:color w:val="auto"/>
        </w:rPr>
      </w:pPr>
    </w:p>
    <w:p>
      <w:pPr>
        <w:jc w:val="both"/>
        <w:ind w:right="42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—In May 2014, the Financial Accounting Standards Board (the “FASB”) issued comprehensive new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—In February 2015, the FASB issued updated guidance for the consolidation of certain legal entities.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guidance eliminates the deferral of certain consolidation standards for entities considered to be investment companies and modifies the evaluation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limited partnerships and similar legal entities are VIEs or VOEs. The new guidance is effective for annual reporting periods beginning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15, 2015, with early adoption permitted. The Company adopted this guidance using the modified retrospective method with an effective adoption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January 1, 2016. The adoption of this guidance did not have a material impact on our consolidated financial statements or related disclosures.</w:t>
      </w:r>
    </w:p>
    <w:p>
      <w:pPr>
        <w:spacing w:after="0" w:line="157"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—In April 2015, the FASB issued updated guidance which requires a company to classify debt issuance costs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34" w:lineRule="exact"/>
        <w:rPr>
          <w:sz w:val="20"/>
          <w:szCs w:val="20"/>
          <w:color w:val="auto"/>
        </w:rPr>
      </w:pPr>
    </w:p>
    <w:p>
      <w:pPr>
        <w:ind w:right="8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Intangibles—Goodwill and Other—Internal-Use Software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Customers Accounting for Fees Paid in a Cloud Computing Arrangement</w:t>
      </w:r>
      <w:r>
        <w:rPr>
          <w:rFonts w:ascii="Times New Roman" w:cs="Times New Roman" w:eastAsia="Times New Roman" w:hAnsi="Times New Roman"/>
          <w:sz w:val="16"/>
          <w:szCs w:val="16"/>
          <w:color w:val="auto"/>
        </w:rPr>
        <w:t>—In April 2015,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0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—In May 2015, the FASB issued updated guidance for the classification and disclosure of certain investments using the net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3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In February 2016, the FASB issued updated guidance for leases. The guidance requires a lessee to (i) recognize a right-of-use asset and a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20"/>
          </w:cols>
          <w:pgMar w:left="240" w:top="455"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In March 2016, the FASB issued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254"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fee receivables, amounts due from customers and other receivables.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2016 and 2015 was as follows:</w:t>
      </w:r>
    </w:p>
    <w:p>
      <w:pPr>
        <w:spacing w:after="0" w:line="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78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$12,882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 adjustments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w:t>
            </w:r>
          </w:p>
        </w:tc>
      </w:tr>
      <w:tr>
        <w:trPr>
          <w:trHeight w:val="22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18,459</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2016 and December 31, 2015, the Company had receivables past due or deemed uncollectible of $16,038 and $19,923, respectively.</w:t>
      </w:r>
    </w:p>
    <w:p>
      <w:pPr>
        <w:spacing w:after="0" w:line="171"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Of the Company’s fee receivables at March 31, 2016 and December 31, 2015, $78,271 and $81,774,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$436,251 and $415,439 at March 31, 2016 and December 31, 2015, respectively, approximates fair value.</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20"/>
          </w:cols>
          <w:pgMar w:left="240" w:top="455"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March 31, 2016 and December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Debt (a)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137,132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104,224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355,278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460,281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method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394,759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4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0" w:hanging="452"/>
        <w:spacing w:after="0" w:line="301"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in alternative investment funds, debt funds and equity funds include investments with fair values of $11,715, $22,628 and $99,898, respectively, at March 31,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10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Debt securities primarily consist of seed investments invested in debt securities held within separately managed accounts related to our Asset Management business.</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funds of funds and mutual funds.</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w:t>
      </w:r>
    </w:p>
    <w:p>
      <w:pPr>
        <w:spacing w:after="0" w:line="13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 periods ended March 31, 2016 and 2015, the Company reported in “revenue-other” on its condensed consolidated statements of operations net unrealized investment gains and losses pertaining to “trading” securities still held as of the reporting date as follows:</w:t>
      </w:r>
    </w:p>
    <w:p>
      <w:pPr>
        <w:spacing w:after="0" w:line="158" w:lineRule="exact"/>
        <w:rPr>
          <w:sz w:val="20"/>
          <w:szCs w:val="20"/>
          <w:color w:val="auto"/>
        </w:rPr>
      </w:pPr>
    </w:p>
    <w:p>
      <w:pPr>
        <w:jc w:val="center"/>
        <w:ind w:left="9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620"/>
        <w:spacing w:after="0" w:line="227"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investment gains</w:t>
            </w:r>
          </w:p>
        </w:tc>
        <w:tc>
          <w:tcPr>
            <w:tcW w:w="3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$ 5,315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$ 2,193</w:t>
            </w:r>
          </w:p>
        </w:tc>
        <w:tc>
          <w:tcPr>
            <w:tcW w:w="100" w:type="dxa"/>
            <w:vAlign w:val="bottom"/>
            <w:shd w:val="clear" w:color="auto" w:fill="CCEEFF"/>
          </w:tcPr>
          <w:p>
            <w:pPr>
              <w:spacing w:after="0"/>
              <w:rPr>
                <w:sz w:val="18"/>
                <w:szCs w:val="18"/>
                <w:color w:val="auto"/>
              </w:rPr>
            </w:pPr>
          </w:p>
        </w:tc>
      </w:tr>
    </w:tbl>
    <w:p>
      <w:pPr>
        <w:spacing w:after="0" w:line="26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Fair Value Hierarchy of Investments and Certain Other Assets and Liabilities</w:t>
      </w:r>
      <w:r>
        <w:rPr>
          <w:rFonts w:ascii="Times New Roman" w:cs="Times New Roman" w:eastAsia="Times New Roman" w:hAnsi="Times New Roman"/>
          <w:sz w:val="18"/>
          <w:szCs w:val="18"/>
          <w:color w:val="auto"/>
        </w:rPr>
        <w:t>—Lazard categorizes its investments and certain other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at fair value into a three-level fair value hierarchy as follows:</w:t>
      </w:r>
    </w:p>
    <w:p>
      <w:pPr>
        <w:spacing w:after="0" w:line="32"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39" w:lineRule="exact"/>
        <w:rPr>
          <w:sz w:val="20"/>
          <w:szCs w:val="20"/>
          <w:color w:val="auto"/>
        </w:rPr>
      </w:pPr>
    </w:p>
    <w:p>
      <w:pPr>
        <w:ind w:left="920" w:right="140" w:hanging="904"/>
        <w:spacing w:after="0" w:line="262"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1" w:lineRule="exact"/>
        <w:rPr>
          <w:sz w:val="20"/>
          <w:szCs w:val="20"/>
          <w:color w:val="auto"/>
        </w:rPr>
      </w:pPr>
    </w:p>
    <w:p>
      <w:pPr>
        <w:ind w:left="920" w:right="140" w:hanging="904"/>
        <w:spacing w:after="0" w:line="25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Company’s investments in debt securities are classified as Level 1 when their respective fair values are based on unadjusted quoted prices in active markets.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private equity funds were classified as Level 3 for certain investments that were valued based on a potential transaction value as of March 31, 2015.</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35" w:lineRule="exact"/>
        <w:rPr>
          <w:sz w:val="20"/>
          <w:szCs w:val="20"/>
          <w:color w:val="auto"/>
        </w:rPr>
      </w:pPr>
    </w:p>
    <w:p>
      <w:pPr>
        <w:ind w:right="50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Investments Measured at Net Asset Value</w:t>
      </w:r>
      <w:r>
        <w:rPr>
          <w:rFonts w:ascii="Times New Roman" w:cs="Times New Roman" w:eastAsia="Times New Roman" w:hAnsi="Times New Roman"/>
          <w:sz w:val="18"/>
          <w:szCs w:val="18"/>
          <w:color w:val="auto"/>
        </w:rPr>
        <w:t>—As a practical expedient, the Company uses NAV or its equivalent to measure the fair value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33" w:lineRule="exact"/>
        <w:rPr>
          <w:sz w:val="20"/>
          <w:szCs w:val="20"/>
          <w:color w:val="auto"/>
        </w:rPr>
      </w:pPr>
    </w:p>
    <w:p>
      <w:pPr>
        <w:ind w:right="420" w:firstLine="456"/>
        <w:spacing w:after="0" w:line="339" w:lineRule="auto"/>
        <w:rPr>
          <w:sz w:val="20"/>
          <w:szCs w:val="20"/>
          <w:color w:val="auto"/>
        </w:rPr>
      </w:pPr>
      <w:r>
        <w:rPr>
          <w:rFonts w:ascii="Times New Roman" w:cs="Times New Roman" w:eastAsia="Times New Roman" w:hAnsi="Times New Roman"/>
          <w:sz w:val="16"/>
          <w:szCs w:val="16"/>
          <w:color w:val="auto"/>
        </w:rPr>
        <w:t>The following tables present, as of March 31,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March 31, 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82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1"/>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38,180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1,301</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39,481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54,907</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59,009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137,094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137,132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104,224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104,224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263,908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129,550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395,303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189,457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189,457</w:t>
            </w:r>
          </w:p>
        </w:tc>
        <w:tc>
          <w:tcPr>
            <w:tcW w:w="0" w:type="dxa"/>
            <w:vAlign w:val="bottom"/>
          </w:tcPr>
          <w:p>
            <w:pPr>
              <w:spacing w:after="0"/>
              <w:rPr>
                <w:sz w:val="1"/>
                <w:szCs w:val="1"/>
                <w:color w:val="auto"/>
              </w:rPr>
            </w:pPr>
          </w:p>
        </w:tc>
      </w:tr>
      <w:tr>
        <w:trPr>
          <w:trHeight w:val="222"/>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189,457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192,333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1"/>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67,128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67,134</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197,787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100,219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354,101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122,732</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479,157</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195,689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195,689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198,928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80" w:hanging="452"/>
        <w:spacing w:after="0" w:line="275"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provide a summary of changes in fair value of the Company’s Level 3 assets for the three month periods ended March 31, 2016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Three Months Ended March 31, 2016</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6"/>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2"/>
              </w:rPr>
              <w:t>Beginning</w:t>
            </w:r>
          </w:p>
        </w:tc>
        <w:tc>
          <w:tcPr>
            <w:tcW w:w="180" w:type="dxa"/>
            <w:vAlign w:val="bottom"/>
          </w:tcPr>
          <w:p>
            <w:pPr>
              <w:spacing w:after="0"/>
              <w:rPr>
                <w:sz w:val="12"/>
                <w:szCs w:val="12"/>
                <w:color w:val="auto"/>
              </w:rPr>
            </w:pPr>
          </w:p>
        </w:tc>
        <w:tc>
          <w:tcPr>
            <w:tcW w:w="1320" w:type="dxa"/>
            <w:vAlign w:val="bottom"/>
            <w:gridSpan w:val="6"/>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520" w:type="dxa"/>
            <w:vAlign w:val="bottom"/>
          </w:tcPr>
          <w:p>
            <w:pPr>
              <w:spacing w:after="0"/>
              <w:rPr>
                <w:sz w:val="12"/>
                <w:szCs w:val="12"/>
                <w:color w:val="auto"/>
              </w:rPr>
            </w:pPr>
          </w:p>
        </w:tc>
        <w:tc>
          <w:tcPr>
            <w:tcW w:w="110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gridSpan w:val="3"/>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Other (b)</w:t>
            </w:r>
          </w:p>
        </w:tc>
        <w:tc>
          <w:tcPr>
            <w:tcW w:w="5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4"/>
                <w:szCs w:val="14"/>
                <w:color w:val="auto"/>
              </w:rPr>
            </w:pPr>
          </w:p>
        </w:tc>
        <w:tc>
          <w:tcPr>
            <w:tcW w:w="1120" w:type="dxa"/>
            <w:vAlign w:val="bottom"/>
            <w:gridSpan w:val="5"/>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3"/>
              </w:rPr>
              <w:t>Dispositions</w:t>
            </w:r>
          </w:p>
        </w:tc>
        <w:tc>
          <w:tcPr>
            <w:tcW w:w="18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3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6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1,301</w:t>
            </w:r>
          </w:p>
        </w:tc>
        <w:tc>
          <w:tcPr>
            <w:tcW w:w="100" w:type="dxa"/>
            <w:vAlign w:val="bottom"/>
          </w:tcPr>
          <w:p>
            <w:pPr>
              <w:spacing w:after="0"/>
              <w:rPr>
                <w:sz w:val="18"/>
                <w:szCs w:val="18"/>
                <w:color w:val="auto"/>
              </w:rPr>
            </w:pP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3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6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2"/>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March 31, 2015 (a)</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3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Gains (Losses)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Included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4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2"/>
                <w:szCs w:val="12"/>
                <w:color w:val="auto"/>
              </w:rPr>
            </w:pPr>
          </w:p>
        </w:tc>
        <w:tc>
          <w:tcPr>
            <w:tcW w:w="10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2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Other (b)</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Transfers (c)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8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3"/>
              </w:rPr>
              <w:t>1,315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$ 1,289</w:t>
            </w: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3"/>
              </w:rPr>
              <w:t>1,315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6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1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23,414</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6"/>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right="20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for the three month period ended March 31, 2015 reflects the retrospective application of new disclosure guidance adopted by the Company for investments using NAV or its equivalent as a practical expedient when measuring fair value. See Note 2.</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three month periods ended March 31, 2016 and 2015 include net unrealized gains of $3 and $2,631, respectively.</w:t>
      </w:r>
    </w:p>
    <w:p>
      <w:pPr>
        <w:spacing w:after="0" w:line="90"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investments that were valued at NAV as of December 31, 2014 of $19,255 were transferred to Level 3 from the NAV category in the three months ended March 31, 2015 as these investments were valued based on potential transaction value as of March 31, 2015.</w:t>
      </w:r>
    </w:p>
    <w:p>
      <w:pPr>
        <w:spacing w:after="0" w:line="120"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three month periods ended March 31, 2016 and 2015.</w:t>
      </w:r>
    </w:p>
    <w:p>
      <w:pPr>
        <w:spacing w:after="0" w:line="120"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tables present, at March 31, 2016 and December 31, 2015, certain investments that are valued using NAV or its equivalent as a practical expedient in determining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gridSpan w:val="6"/>
          </w:tcPr>
          <w:p>
            <w:pPr>
              <w:ind w:left="180"/>
              <w:spacing w:after="0" w:line="125"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11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00" w:type="dxa"/>
            <w:vAlign w:val="bottom"/>
          </w:tcPr>
          <w:p>
            <w:pPr>
              <w:spacing w:after="0"/>
              <w:rPr>
                <w:sz w:val="14"/>
                <w:szCs w:val="14"/>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Commitments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NA</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9,183(f)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129,550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(34%), monthly (57%) and quarterly (9%)</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(30%) and monthly (70%)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(18%), monthly (52%) and quarterly (30%)</w:t>
      </w:r>
    </w:p>
    <w:p>
      <w:pPr>
        <w:spacing w:after="0" w:line="9"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$5,013 are excluded. Such commitments are required to be funded by capital contributions from noncontrolling interest holders.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6"/>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10,242(f)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122,732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(23%), monthly (69%) and quarterly (8%)</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(20%) and monthly (80%)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(18%), monthly (54%) and quarterly (28%)</w:t>
      </w:r>
    </w:p>
    <w:p>
      <w:pPr>
        <w:spacing w:after="0" w:line="9"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28"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March 31, 2016, the Company’s maximum unfunded commitments for capital contributions to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primarily arose from commitments to EGCP III, which amounted to $8,613, through the earlier of October 12,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51"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4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LFI and other similar deferred compensation arrangements, the fair value of which is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March 31, 2016 and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1,846</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180,479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193,574</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189,457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total return swaps, amounts represent the netting of gross derivative assets and liabilities of $58 and $7,144 as of March 31, 2016, respectively, and</w:t>
      </w:r>
    </w:p>
    <w:p>
      <w:pPr>
        <w:spacing w:after="0" w:line="21" w:lineRule="exact"/>
        <w:rPr>
          <w:rFonts w:ascii="Times New Roman" w:cs="Times New Roman" w:eastAsia="Times New Roman" w:hAnsi="Times New Roman"/>
          <w:sz w:val="18"/>
          <w:szCs w:val="18"/>
          <w:color w:val="auto"/>
        </w:rPr>
      </w:pPr>
    </w:p>
    <w:p>
      <w:pPr>
        <w:jc w:val="both"/>
        <w:ind w:left="46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 and $958 as of December 31, 2015, respectively, for contracts with the same counterparty under legally enforceable master netting agreements. Such amounts are recorded “net” in “other assets”, with receivables for net cash collateral under such contracts of $13,436 and $9,636 as of March 31, 2016 and December 31, 2015, respectively.</w:t>
      </w:r>
    </w:p>
    <w:p>
      <w:pPr>
        <w:spacing w:after="0" w:line="13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2016 and 2015,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4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$(7,300)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5860" w:type="dxa"/>
            <w:vAlign w:val="bottom"/>
            <w:gridSpan w:val="3"/>
          </w:tcPr>
          <w:p>
            <w:pPr>
              <w:jc w:val="right"/>
              <w:ind w:right="378"/>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5860" w:type="dxa"/>
            <w:vAlign w:val="bottom"/>
            <w:gridSpan w:val="3"/>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(5,485</w:t>
            </w:r>
          </w:p>
        </w:tc>
        <w:tc>
          <w:tcPr>
            <w:tcW w:w="46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60" w:type="dxa"/>
            <w:vAlign w:val="bottom"/>
            <w:vMerge w:val="restart"/>
          </w:tcPr>
          <w:p>
            <w:pPr>
              <w:jc w:val="right"/>
              <w:ind w:right="3852"/>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March 31, 2016 and December 31, 2015, property consists of the following: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7"/>
        </w:trPr>
        <w:tc>
          <w:tcPr>
            <w:tcW w:w="5160" w:type="dxa"/>
            <w:vAlign w:val="bottom"/>
          </w:tcPr>
          <w:p>
            <w:pPr>
              <w:spacing w:after="0"/>
              <w:rPr>
                <w:sz w:val="8"/>
                <w:szCs w:val="8"/>
                <w:color w:val="auto"/>
              </w:rPr>
            </w:pPr>
          </w:p>
        </w:tc>
        <w:tc>
          <w:tcPr>
            <w:tcW w:w="128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Depreciable</w:t>
            </w: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5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$143,456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279,432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206,856</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March 31, 2016 and December 31, 2015 are presented below:</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$327,050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332,621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326,976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At March 31, 2016 and December 31, 2015, goodwill of $262,509 and $256,220, respectively, was attributable to the Company’s Financial Advisory segment and, at each such respective date, $64,541 of goodwill was attributable to the Company’s Asset Management segment.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 periods ended March 31, 2016 and 2015 are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$320,761</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4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327,050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324,963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All changes in the carrying amount of goodwill for the three month periods ended March 31, 2016 and 2015 are attributable to the Company’s Financial Advisory segment.</w:t>
      </w:r>
    </w:p>
    <w:p>
      <w:pPr>
        <w:spacing w:after="0" w:line="1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24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March 31, 2016 and December 31, 2015, by major intangible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r>
      <w:tr>
        <w:trPr>
          <w:trHeight w:val="149"/>
        </w:trPr>
        <w:tc>
          <w:tcPr>
            <w:tcW w:w="598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58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598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$ 5,234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32,369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63,776</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$ 5,571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63,776</w:t>
            </w: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57,561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$ 6,215</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of intangible assets for the three month periods ended March 31, 2016 and 2015 was $644 and $1,033, respectively. Estimated future amortization expense is as follows: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52"/>
        </w:trPr>
        <w:tc>
          <w:tcPr>
            <w:tcW w:w="5640" w:type="dxa"/>
            <w:vAlign w:val="bottom"/>
            <w:gridSpan w:val="4"/>
            <w:vMerge w:val="continue"/>
          </w:tcPr>
          <w:p>
            <w:pPr>
              <w:spacing w:after="0"/>
              <w:rPr>
                <w:sz w:val="13"/>
                <w:szCs w:val="13"/>
                <w:color w:val="auto"/>
              </w:rPr>
            </w:pPr>
          </w:p>
        </w:tc>
        <w:tc>
          <w:tcPr>
            <w:tcW w:w="2840" w:type="dxa"/>
            <w:vAlign w:val="bottom"/>
          </w:tcPr>
          <w:p>
            <w:pPr>
              <w:spacing w:after="0"/>
              <w:rPr>
                <w:sz w:val="13"/>
                <w:szCs w:val="13"/>
                <w:color w:val="auto"/>
              </w:rPr>
            </w:pPr>
          </w:p>
        </w:tc>
        <w:tc>
          <w:tcPr>
            <w:tcW w:w="88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2016 (April 1 through December 31)</w:t>
            </w:r>
          </w:p>
        </w:tc>
        <w:tc>
          <w:tcPr>
            <w:tcW w:w="2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8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67"/>
        <w:spacing w:after="0"/>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47% of intangible asset amortization is attributable to a noncontrolling interest.</w:t>
      </w:r>
    </w:p>
    <w:p>
      <w:pPr>
        <w:spacing w:after="0" w:line="2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March 31, 2016 and December 31, 2015: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Initial</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8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940" w:type="dxa"/>
            <w:vAlign w:val="bottom"/>
            <w:gridSpan w:val="2"/>
          </w:tcPr>
          <w:p>
            <w:pPr>
              <w:jc w:val="right"/>
              <w:ind w:right="340"/>
              <w:spacing w:after="0" w:line="125"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20" w:type="dxa"/>
            <w:vAlign w:val="bottom"/>
            <w:gridSpan w:val="2"/>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6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0"/>
                <w:szCs w:val="10"/>
                <w:color w:val="auto"/>
              </w:rPr>
            </w:pPr>
          </w:p>
        </w:tc>
      </w:tr>
      <w:tr>
        <w:trPr>
          <w:trHeight w:val="165"/>
        </w:trPr>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Rate(b)</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r>
      <w:tr>
        <w:trPr>
          <w:trHeight w:val="210"/>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Lazard Group 2017</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600,000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98,191</w:t>
            </w: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Lazard Group 2020</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500,000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11/14/20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495,740</w:t>
            </w:r>
          </w:p>
        </w:tc>
        <w:tc>
          <w:tcPr>
            <w:tcW w:w="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495,509</w:t>
            </w:r>
          </w:p>
        </w:tc>
        <w:tc>
          <w:tcPr>
            <w:tcW w:w="100" w:type="dxa"/>
            <w:vAlign w:val="bottom"/>
          </w:tcPr>
          <w:p>
            <w:pPr>
              <w:spacing w:after="0"/>
              <w:rPr>
                <w:sz w:val="18"/>
                <w:szCs w:val="18"/>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Lazard Group 2025</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(a)</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400,000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2/13/25</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400,000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395,777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395,658</w:t>
            </w:r>
          </w:p>
        </w:tc>
        <w:tc>
          <w:tcPr>
            <w:tcW w:w="100" w:type="dxa"/>
            <w:vAlign w:val="bottom"/>
            <w:shd w:val="clear" w:color="auto" w:fill="CCEEFF"/>
          </w:tcPr>
          <w:p>
            <w:pPr>
              <w:spacing w:after="0"/>
              <w:rPr>
                <w:sz w:val="18"/>
                <w:szCs w:val="18"/>
                <w:color w:val="auto"/>
              </w:rPr>
            </w:pPr>
          </w:p>
        </w:tc>
      </w:tr>
      <w:tr>
        <w:trPr>
          <w:trHeight w:val="223"/>
        </w:trPr>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998,350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989,735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998,350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989,358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60" w:hanging="452"/>
        <w:spacing w:after="0" w:line="25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three month period ended March 31, 2015.</w:t>
      </w:r>
    </w:p>
    <w:p>
      <w:pPr>
        <w:spacing w:after="0" w:line="4" w:lineRule="exact"/>
        <w:rPr>
          <w:rFonts w:ascii="Times New Roman" w:cs="Times New Roman" w:eastAsia="Times New Roman" w:hAnsi="Times New Roman"/>
          <w:sz w:val="18"/>
          <w:szCs w:val="18"/>
          <w:color w:val="auto"/>
        </w:rPr>
      </w:pPr>
    </w:p>
    <w:p>
      <w:pPr>
        <w:ind w:left="460" w:right="460" w:hanging="452"/>
        <w:spacing w:after="0" w:line="261"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rates of the 2017 Notes, Lazard Group’s 4.25% senior notes due November 14, 2020 (the “2020 Notes”) and the 2025 Notes are 6.96%, 4.43% and 3.87%, respectively.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table, as of December 31, 2015, reflects the retrospective application of new guidance adopted by the Company for debt issuance costs. See Note 2.</w:t>
      </w:r>
    </w:p>
    <w:p>
      <w:pPr>
        <w:spacing w:after="0" w:line="194"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2016 and December 31, 2015, no amounts were outstanding under the Amended and Restated Credit Agreement.</w:t>
      </w:r>
    </w:p>
    <w:p>
      <w:pPr>
        <w:spacing w:after="0" w:line="108"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2016, the Company was in compliance with such provisions. All of the Company’s senior debt obligations are unsecured.</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2016, the Company had approximately $241,000 in unused lines of credit available to it, including the credit facility provided under the Amended and Restated Credit Agreement, and unused lines of credit available to LFB of approximately $34,000 (at March 31, 2016 exchange rates) and Edgewater of $55,000. In addition, LFB has access to the Eurosystem Covered Bond Purchase Program of the Banque de France.</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Company’s senior debt at March 31, 2016 and December 31, 2015 is carried at historical amounts. At those dates, the fair value of such senior debt was approximately $984,000 and $994,000, respectively. The fair value of the Company’s senior debt is based on market quotations. The Company’s senior debt would be categorized within Level 2 of the hierarchy of fair value measurements if carried at fair value.</w:t>
      </w:r>
    </w:p>
    <w:p>
      <w:pPr>
        <w:spacing w:after="0" w:line="250"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9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March 31, 2016, LFB had $5,822 of such indemnifications and held $5,473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29" w:lineRule="exact"/>
        <w:rPr>
          <w:sz w:val="20"/>
          <w:szCs w:val="20"/>
          <w:color w:val="auto"/>
        </w:rPr>
      </w:pPr>
    </w:p>
    <w:p>
      <w:pPr>
        <w:ind w:right="8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Certain Business Transactions</w:t>
      </w:r>
      <w:r>
        <w:rPr>
          <w:rFonts w:ascii="Times New Roman" w:cs="Times New Roman" w:eastAsia="Times New Roman" w:hAnsi="Times New Roman"/>
          <w:sz w:val="16"/>
          <w:szCs w:val="16"/>
          <w:color w:val="auto"/>
        </w:rPr>
        <w:t>—On July 15, 2009, the Company established a private equity business with Edgewater. Edgewater manages funds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0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aggregate fair value of the consideration recognized by the Company at the acquisition date was $61,624. Such consideration consisted of (i) a one-time cash payment, (ii) 1,142,857 shares of Class A common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 (the “Initial Shares”) and (iii) up to 1,142,857 additional shares of Class A common stock (the “Earnout Shares”) that are subject to earnout criteria and payable over time. The Earnout Shares will be issued only if certain performance thresholds are met. As of March 31, 2016 and December 31, 2015, 913,722 shares are issuable on a contingent basis, and 1,371,992 shares have been earned because applicable performance thresholds have been satisfied. As of March 31, 2016 and December 31, 2015, 1,371,992 of the earned shares have been settled.</w:t>
      </w:r>
    </w:p>
    <w:p>
      <w:pPr>
        <w:spacing w:after="0" w:line="132"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Contingent Consideration Relating To Other Business Acquisitions</w:t>
      </w:r>
      <w:r>
        <w:rPr>
          <w:rFonts w:ascii="Times New Roman" w:cs="Times New Roman" w:eastAsia="Times New Roman" w:hAnsi="Times New Roman"/>
          <w:sz w:val="18"/>
          <w:szCs w:val="18"/>
          <w:color w:val="auto"/>
        </w:rPr>
        <w:t>—For a business acquired in 2012, at December 31, 2012, 170,988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29" w:lineRule="exact"/>
        <w:rPr>
          <w:sz w:val="20"/>
          <w:szCs w:val="20"/>
          <w:color w:val="auto"/>
        </w:rPr>
      </w:pPr>
    </w:p>
    <w:p>
      <w:pPr>
        <w:jc w:val="both"/>
        <w:ind w:right="2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—The Company has various other contractual commitments arising in the ordinary course of business. In addition, from time to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LFB and LFNY may enter into underwriting commitments in which it will participate as an underwriter. At March 31, 2016, LFB and LFNY had no such underwriting commitments.</w:t>
      </w:r>
    </w:p>
    <w:p>
      <w:pPr>
        <w:spacing w:after="0" w:line="12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See Notes 5 and 13 for information regarding commitments relating to investment capital funding commitments and obligations to fund our pension plans, respectively.</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1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17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three month period ended March 31, 2016 and the years ended December 31, 2015, 2014 and 2013,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Lazard authorized the repurchase of Class A common stock as set forth in the table below.</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940" w:type="dxa"/>
            <w:vAlign w:val="bottom"/>
            <w:vMerge w:val="restart"/>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Repurchase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Authorization</w:t>
            </w:r>
          </w:p>
        </w:tc>
        <w:tc>
          <w:tcPr>
            <w:tcW w:w="1780" w:type="dxa"/>
            <w:vAlign w:val="bottom"/>
            <w:gridSpan w:val="2"/>
          </w:tcPr>
          <w:p>
            <w:pPr>
              <w:ind w:left="520"/>
              <w:spacing w:after="0" w:line="152"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2013</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228"/>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primarily be used to offset a portion of the shares that have been or will be issued under the Lazard Ltd 2008 Incentive Compensation Plan (the “2008</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18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18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18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15"/>
        </w:trPr>
        <w:tc>
          <w:tcPr>
            <w:tcW w:w="964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2015</w:t>
            </w:r>
          </w:p>
        </w:tc>
        <w:tc>
          <w:tcPr>
            <w:tcW w:w="77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1,677,464</w:t>
            </w:r>
          </w:p>
        </w:tc>
        <w:tc>
          <w:tcPr>
            <w:tcW w:w="5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top w:val="single" w:sz="8" w:color="CCEEFF"/>
            </w:tcBorders>
          </w:tcPr>
          <w:p>
            <w:pPr>
              <w:spacing w:after="0"/>
              <w:rPr>
                <w:sz w:val="24"/>
                <w:szCs w:val="24"/>
                <w:color w:val="auto"/>
              </w:rPr>
            </w:pPr>
          </w:p>
        </w:tc>
      </w:tr>
      <w:tr>
        <w:trPr>
          <w:trHeight w:val="21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77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2,424,571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During the three month periods ended March 31, 2016 and 2015,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the estimated amount of such tax. The aggregate value of such purchases during the three month periods ended March 31, 2016 and 2015 was approximately $3,100 and $17,700, respectively.</w:t>
      </w:r>
    </w:p>
    <w:p>
      <w:pPr>
        <w:spacing w:after="0" w:line="13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2016, a total of $223,021 of share repurchase authorization remained available under the Company’s share repurchase program, $23,021 of which will expire on December 31, 2016 and $200,000 of which will expire on December 31, 2017.</w:t>
      </w:r>
    </w:p>
    <w:p>
      <w:pPr>
        <w:spacing w:after="0" w:line="120"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In addition, on April 20, 2016, the Board of Directors of Lazard authorized the repurchase of additional shares of Class A common stock, which authorization will expire on December 31, 2017, bringing the total share repurchase authorization to $300,000.</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 period ended March 31, 2016, the Company had in place trading plans under Rule 10b5-1 of the Securities Exchange Act of 1934, pursuant to which it effected stock repurchases in the open market.</w:t>
      </w:r>
    </w:p>
    <w:p>
      <w:pPr>
        <w:spacing w:after="0" w:line="116"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and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A and Series B preferred shares were issued in connection with certain prior year business acquisitions and are each non-participating securities convertible into Class A common stock, and have no voting or dividend rights. As of both March 31, 2016 and December 31, 2015, 7,921 shares of Series A preferred stock were outstanding, and no shares of Series B preferred stock were outstanding. At March 31, 2016 and December 31, 2015, no shares of Series A preferred stock were convertible into shares of Class A common stock on a contingent or a non-contingent basis.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Accumulated Other Comprehensive Income (Loss), Net of Tax </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—The tables below reflect the balances of each component of AOCI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and 2015 and activity during the three month periods then ended: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12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12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14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0" w:type="dxa"/>
            <w:vAlign w:val="bottom"/>
          </w:tcPr>
          <w:p>
            <w:pPr>
              <w:spacing w:after="0"/>
              <w:rPr>
                <w:sz w:val="1"/>
                <w:szCs w:val="1"/>
                <w:color w:val="auto"/>
              </w:rPr>
            </w:pPr>
          </w:p>
        </w:tc>
      </w:tr>
      <w:tr>
        <w:trPr>
          <w:trHeight w:val="165"/>
        </w:trPr>
        <w:tc>
          <w:tcPr>
            <w:tcW w:w="59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14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2"/>
              </w:rPr>
              <w:t>AOCI</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AOCI</w:t>
            </w:r>
          </w:p>
        </w:tc>
        <w:tc>
          <w:tcPr>
            <w:tcW w:w="0" w:type="dxa"/>
            <w:vAlign w:val="bottom"/>
          </w:tcPr>
          <w:p>
            <w:pPr>
              <w:spacing w:after="0"/>
              <w:rPr>
                <w:sz w:val="1"/>
                <w:szCs w:val="1"/>
                <w:color w:val="auto"/>
              </w:rPr>
            </w:pPr>
          </w:p>
        </w:tc>
      </w:tr>
      <w:tr>
        <w:trPr>
          <w:trHeight w:val="20"/>
        </w:trPr>
        <w:tc>
          <w:tcPr>
            <w:tcW w:w="59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4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(137,073</w:t>
            </w:r>
          </w:p>
        </w:tc>
        <w:tc>
          <w:tcPr>
            <w:tcW w:w="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(234,357</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(234,356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March 31, 2016:</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11,598</w:t>
            </w:r>
          </w:p>
        </w:tc>
        <w:tc>
          <w:tcPr>
            <w:tcW w:w="0" w:type="dxa"/>
            <w:vAlign w:val="bottom"/>
          </w:tcPr>
          <w:p>
            <w:pPr>
              <w:spacing w:after="0"/>
              <w:rPr>
                <w:sz w:val="1"/>
                <w:szCs w:val="1"/>
                <w:color w:val="auto"/>
              </w:rPr>
            </w:pPr>
          </w:p>
        </w:tc>
      </w:tr>
      <w:tr>
        <w:trPr>
          <w:trHeight w:val="223"/>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8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02"/>
        </w:trPr>
        <w:tc>
          <w:tcPr>
            <w:tcW w:w="5900" w:type="dxa"/>
            <w:vAlign w:val="bottom"/>
            <w:tcBorders>
              <w:right w:val="single" w:sz="8" w:color="CCEEFF"/>
            </w:tcBorders>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other comprehensive</w:t>
            </w: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Borders>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4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4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(85,545</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(136,028</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(221,573</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(221,572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12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Employee</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12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14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Lazard Ltd</w:t>
            </w:r>
          </w:p>
        </w:tc>
        <w:tc>
          <w:tcPr>
            <w:tcW w:w="0" w:type="dxa"/>
            <w:vAlign w:val="bottom"/>
          </w:tcPr>
          <w:p>
            <w:pPr>
              <w:spacing w:after="0"/>
              <w:rPr>
                <w:sz w:val="1"/>
                <w:szCs w:val="1"/>
                <w:color w:val="auto"/>
              </w:rPr>
            </w:pPr>
          </w:p>
        </w:tc>
      </w:tr>
      <w:tr>
        <w:trPr>
          <w:trHeight w:val="165"/>
        </w:trPr>
        <w:tc>
          <w:tcPr>
            <w:tcW w:w="590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114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2"/>
              </w:rPr>
              <w:t>AOCI</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4"/>
                <w:szCs w:val="14"/>
                <w:color w:val="auto"/>
              </w:rPr>
            </w:pPr>
          </w:p>
        </w:tc>
        <w:tc>
          <w:tcPr>
            <w:tcW w:w="84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2"/>
              </w:rPr>
              <w:t>AOCI</w:t>
            </w:r>
          </w:p>
        </w:tc>
        <w:tc>
          <w:tcPr>
            <w:tcW w:w="0" w:type="dxa"/>
            <w:vAlign w:val="bottom"/>
          </w:tcPr>
          <w:p>
            <w:pPr>
              <w:spacing w:after="0"/>
              <w:rPr>
                <w:sz w:val="1"/>
                <w:szCs w:val="1"/>
                <w:color w:val="auto"/>
              </w:rPr>
            </w:pPr>
          </w:p>
        </w:tc>
      </w:tr>
      <w:tr>
        <w:trPr>
          <w:trHeight w:val="20"/>
        </w:trPr>
        <w:tc>
          <w:tcPr>
            <w:tcW w:w="59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90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4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(154,665</w:t>
            </w:r>
          </w:p>
        </w:tc>
        <w:tc>
          <w:tcPr>
            <w:tcW w:w="4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(200,767</w:t>
            </w:r>
          </w:p>
        </w:tc>
        <w:tc>
          <w:tcPr>
            <w:tcW w:w="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(200,766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March 31, 2015:</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(34,133)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(33,914)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(34,133)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(32,728)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(32,728)</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(80,235</w:t>
            </w:r>
          </w:p>
        </w:tc>
        <w:tc>
          <w:tcPr>
            <w:tcW w:w="42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(153,260</w:t>
            </w:r>
          </w:p>
        </w:tc>
        <w:tc>
          <w:tcPr>
            <w:tcW w:w="4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(233,495</w:t>
            </w:r>
          </w:p>
        </w:tc>
        <w:tc>
          <w:tcPr>
            <w:tcW w:w="4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(233,494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three month periods ended March 31, 2016 and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$ 1,579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$ 1,186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7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13). Such amounts are included in “compensation and benefits” expense on the condensed consolidated statements of operations.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control, but does not own.</w:t>
      </w:r>
    </w:p>
    <w:p>
      <w:pPr>
        <w:spacing w:after="0" w:line="115"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three month periods ended March 31, 2016 and 2015 and noncontrolling interests as of March 31, 2016 and December 31, 2015 in the Company’s condensed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7"/>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Attributable to Noncontrolling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4"/>
          </w:tcPr>
          <w:p>
            <w:pPr>
              <w:jc w:val="center"/>
              <w:ind w:left="303"/>
              <w:spacing w:after="0" w:line="125" w:lineRule="exact"/>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9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40" w:type="dxa"/>
            <w:vAlign w:val="bottom"/>
            <w:shd w:val="clear" w:color="auto" w:fill="CCEEFF"/>
          </w:tcPr>
          <w:p>
            <w:pPr>
              <w:spacing w:after="0"/>
              <w:rPr>
                <w:sz w:val="18"/>
                <w:szCs w:val="18"/>
                <w:color w:val="auto"/>
              </w:rPr>
            </w:pPr>
          </w:p>
        </w:tc>
        <w:tc>
          <w:tcPr>
            <w:tcW w:w="260" w:type="dxa"/>
            <w:vAlign w:val="bottom"/>
            <w:tcBorders>
              <w:left w:val="single" w:sz="8" w:color="CCEEFF"/>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Noncontrolling Interests As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8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3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56,702</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57,420</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Dividends Declared, April 20, 2016</w:t>
      </w:r>
      <w:r>
        <w:rPr>
          <w:rFonts w:ascii="Times New Roman" w:cs="Times New Roman" w:eastAsia="Times New Roman" w:hAnsi="Times New Roman"/>
          <w:sz w:val="18"/>
          <w:szCs w:val="18"/>
          <w:color w:val="auto"/>
        </w:rPr>
        <w:t>— On April 20, 2016, the Board of Directors of Lazard declared a quarterly dividend of $0.38 per share on our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payable on May 13, 2016, to stockholders of record on May 3, 2016.</w:t>
      </w:r>
    </w:p>
    <w:p>
      <w:pPr>
        <w:spacing w:after="0" w:line="233"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2008 Plan and 2005 Plan and activity with respect thereto during the three month periods ended March 31, 2016 and 2015 is presented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2008 Plan and 2005 Plan</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36"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periods ended March 31, 2016 and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incentive awards: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54,408</w:t>
            </w: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59,071</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PRSUs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16,689</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DSUs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94,638</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77,923</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share-based incentive plans and awards are described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2016 and 2015, issuances of RSUs pertaining to such dividend participation rights and respective charges to “retained earnings”, net of estimated forfeitures (with corresponding credits to “additional paid-in-capital”),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1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9440" w:type="dxa"/>
            <w:vAlign w:val="bottom"/>
          </w:tcPr>
          <w:p>
            <w:pPr>
              <w:spacing w:after="0"/>
              <w:rPr>
                <w:sz w:val="14"/>
                <w:szCs w:val="14"/>
                <w:color w:val="auto"/>
              </w:rPr>
            </w:pPr>
          </w:p>
        </w:tc>
        <w:tc>
          <w:tcPr>
            <w:tcW w:w="1300" w:type="dxa"/>
            <w:vAlign w:val="bottom"/>
            <w:tcBorders>
              <w:bottom w:val="single" w:sz="8" w:color="auto"/>
            </w:tcBorders>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RSUs issued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700,651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453,751</w:t>
            </w:r>
          </w:p>
        </w:tc>
        <w:tc>
          <w:tcPr>
            <w:tcW w:w="100" w:type="dxa"/>
            <w:vAlign w:val="bottom"/>
            <w:shd w:val="clear" w:color="auto" w:fill="CCEEFF"/>
          </w:tcPr>
          <w:p>
            <w:pPr>
              <w:spacing w:after="0"/>
              <w:rPr>
                <w:sz w:val="18"/>
                <w:szCs w:val="18"/>
                <w:color w:val="auto"/>
              </w:rPr>
            </w:pPr>
          </w:p>
        </w:tc>
      </w:tr>
      <w:tr>
        <w:trPr>
          <w:trHeight w:val="228"/>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Charges to retained earnings, net of estimated forfeitures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$ 23,793</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Non-executive members of the Board of Directors (“Non-Executive Directors”) receive approximately 55% of their annual compensation for service on the Board of Directors and its committees in the form of DSUs. No such DSUs were granted in connection with annual compensation during the three month periods ended March 31, 2016 and 2015.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41"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2016 and 2015, 2,110 and 619 DSUs, respectively, had been granted pursuant to such Plan.</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 month periods ended March 31, 2016 and 2015:</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9,599,658</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700,651 RSUs relating to dividend participation)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6,140,020</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(55,826)</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(4,100,192)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11,583,660</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314,780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13,529,116</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(including 453,751 RSUs relating to dividend participation)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3,865,598</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(110,530)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(6,608,777)</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10,675,407</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RSUs that vested during the three month periods ended March 31, 2016 and 2015, the Company satisfied its minimum statutory tax withholding requirements in lieu of delivering 1,327,399 and 1,892,454 shares of Class A common stock during such respective three month periods. Accordingly, 2,772,793 and 4,716,323 shares of Class A common stock held by the Company were delivered during the three month periods ended March 31, 2016 and 2015, respectively.</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2016, estimated unrecognized RSU compensation expense was approximately $244,292, with such expense expected to be recognized over a weighted average period of approximately 1.1 years subsequent to March 31, 2016.</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 month periods ended March 31, 2016 and 2015:</w:t>
      </w:r>
    </w:p>
    <w:p>
      <w:pPr>
        <w:spacing w:after="0" w:line="1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39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1,795,258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(25,662)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9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(627,110)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39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1,856,224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4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gridSpan w:val="2"/>
            <w:vMerge w:val="continue"/>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729,827</w:t>
            </w: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576,886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5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(438,743)</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39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866,670</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940" w:type="dxa"/>
            <w:vAlign w:val="bottom"/>
            <w:vMerge w:val="restart"/>
          </w:tcPr>
          <w:p>
            <w:pPr>
              <w:jc w:val="right"/>
              <w:ind w:right="2332"/>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vested during the three month periods ended March 31, 2016 and 2015, the Company satisfied its minimum statutory tax withholding requirements in lieu of delivering 77,795 and 88,492 shares of Class A common stock during such respective three month periods. Accordingly, 549,315 and 350,251 shares of Class A common stock held by the Company were delivered during the three month periods ended March 31, 2016 and 2015, respectively.</w:t>
      </w:r>
    </w:p>
    <w:p>
      <w:pPr>
        <w:spacing w:after="0" w:line="136" w:lineRule="exact"/>
        <w:rPr>
          <w:sz w:val="20"/>
          <w:szCs w:val="20"/>
          <w:color w:val="auto"/>
        </w:rPr>
      </w:pPr>
    </w:p>
    <w:p>
      <w:pPr>
        <w:ind w:right="420" w:firstLine="456"/>
        <w:spacing w:after="0" w:line="310" w:lineRule="auto"/>
        <w:rPr>
          <w:sz w:val="20"/>
          <w:szCs w:val="20"/>
          <w:color w:val="auto"/>
        </w:rPr>
      </w:pPr>
      <w:r>
        <w:rPr>
          <w:rFonts w:ascii="Times New Roman" w:cs="Times New Roman" w:eastAsia="Times New Roman" w:hAnsi="Times New Roman"/>
          <w:sz w:val="16"/>
          <w:szCs w:val="16"/>
          <w:color w:val="auto"/>
        </w:rPr>
        <w:t>The restricted stock awards include a cash dividend participation right equivalent to any ordinary dividends paid on Class A common stock during the period, which will vest concurrently with the underlying restricted stock award. At March 31, 2016, estimated unrecognized restricted stock expense was approximately $52,971, with such expense to be recognized over a weighted average period of approximately 1.2 years subsequent to March 31, 2016.</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94"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three month periods ended March 31, 2016 and 2015: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627,956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(417,018)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1,229,976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1,347,148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368,389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(328,793)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1,386,744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3"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 awards granted during the relevant year at the target payout level.</w:t>
      </w:r>
    </w:p>
    <w:p>
      <w:pPr>
        <w:spacing w:after="0" w:line="171" w:lineRule="exact"/>
        <w:rPr>
          <w:sz w:val="20"/>
          <w:szCs w:val="20"/>
          <w:color w:val="auto"/>
        </w:rPr>
      </w:pPr>
    </w:p>
    <w:p>
      <w:pPr>
        <w:ind w:right="220"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PRSUs that vested during the three month periods ended March 31, 2016 and 2015, the Company satisfied its minimum statutory tax withholding requirements in lieu of delivering 64,169 and 25,239 shares of Class A common stock during such respective three month periods. Accordingly, 352,849 and 303,554 shares of Class A common stock held by the Company were delivered during the three month periods ended March 31, 2016 and 2015.</w:t>
      </w:r>
    </w:p>
    <w:p>
      <w:pPr>
        <w:spacing w:after="0" w:line="9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2016, the total estimated unrecognized compensation expense was approximately $21,330, and the Company expects to amortize such expense over a weighted-average period of approximately 0.9 years subsequent to March 31, 2016.</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three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and 2015:</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Prepaid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51,871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51,871</w:t>
            </w:r>
          </w:p>
        </w:tc>
      </w:tr>
      <w:tr>
        <w:trPr>
          <w:trHeight w:val="230"/>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(64,488)</w:t>
            </w:r>
          </w:p>
        </w:tc>
      </w:tr>
      <w:tr>
        <w:trPr>
          <w:trHeight w:val="22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r>
      <w:tr>
        <w:trPr>
          <w:trHeight w:val="217"/>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(19,436)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r>
      <w:tr>
        <w:trPr>
          <w:trHeight w:val="216"/>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2016</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180,479</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6"/>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89,965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89,965</w:t>
            </w:r>
          </w:p>
        </w:tc>
      </w:tr>
      <w:tr>
        <w:trPr>
          <w:trHeight w:val="230"/>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(75,002)</w:t>
            </w:r>
          </w:p>
        </w:tc>
      </w:tr>
      <w:tr>
        <w:trPr>
          <w:trHeight w:val="229"/>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17"/>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(24,614)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226,107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1.0 years subsequent to March 31, 2016.</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2016 and 2015:</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$20,899</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29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(2,514)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18,385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00" w:type="dxa"/>
            <w:vAlign w:val="bottom"/>
            <w:vMerge w:val="restart"/>
          </w:tcPr>
          <w:p>
            <w:pPr>
              <w:jc w:val="right"/>
              <w:ind w:right="2292"/>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9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35"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upon an agreement with the plans’ trustees (the “Trustees”). Management also evaluates from time to time whether to make voluntary contributions to the plans.</w:t>
      </w:r>
    </w:p>
    <w:p>
      <w:pPr>
        <w:spacing w:after="0" w:line="12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related to the Company’s post-retirement plans for the three month periods ended March 31, 2016 and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Medical Plan</w:t>
            </w:r>
          </w:p>
        </w:tc>
      </w:tr>
      <w:tr>
        <w:trPr>
          <w:trHeight w:val="142"/>
        </w:trPr>
        <w:tc>
          <w:tcPr>
            <w:tcW w:w="7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8"/>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5"/>
              </w:rPr>
              <w:t>(7,166)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(7,071)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Prior service cost</w:t>
            </w: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36"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The Company recorded income tax provisions of $27,654 and $12,017 for the three month periods ended March 31, 2016 and 2015, respectively, representing effective tax rates of 28.1% and 16.1%,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and (iv) U.S. state and local taxes (primarily UBT), which are incremental to the U.S. federal statutory tax rate.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13" w:lineRule="exact"/>
        <w:rPr>
          <w:sz w:val="20"/>
          <w:szCs w:val="20"/>
          <w:color w:val="auto"/>
        </w:rPr>
      </w:pPr>
    </w:p>
    <w:p>
      <w:pPr>
        <w:ind w:right="340" w:firstLine="456"/>
        <w:spacing w:after="0" w:line="256" w:lineRule="auto"/>
        <w:rPr>
          <w:sz w:val="20"/>
          <w:szCs w:val="20"/>
          <w:color w:val="auto"/>
        </w:rPr>
      </w:pPr>
      <w:r>
        <w:rPr>
          <w:rFonts w:ascii="Times New Roman" w:cs="Times New Roman" w:eastAsia="Times New Roman" w:hAnsi="Times New Roman"/>
          <w:sz w:val="18"/>
          <w:szCs w:val="18"/>
          <w:color w:val="auto"/>
        </w:rPr>
        <w:t>As a result, during the year ended December 31, 2015, we recorded a deferred tax benefit of approximately $878,000. In addition, included in basis adjustments, we also recorded (i) a separate deferred tax benefit of approximately $378,000 that reflected the tax deductibility of payments under the tax receivable agreement and (ii) a deferred tax expense of approximately $161,000 relating to the reduction of a deferred tax asset as a result of the partial extinguishment of our tax receivable agreement obligation. See Note 16 for more information regarding our accrual under the tax receivable agreement in the second quarter of 2015 and the partial extinguishment of our tax receivable agreement obligation in the third quarter of 2015.</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250"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94" w:lineRule="exact"/>
        <w:rPr>
          <w:sz w:val="20"/>
          <w:szCs w:val="20"/>
          <w:color w:val="auto"/>
        </w:rPr>
      </w:pPr>
    </w:p>
    <w:p>
      <w:pPr>
        <w:jc w:val="both"/>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three month periods ended March 31, 2016 and 2015 are computed as described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92"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plus applicable adjustments to such net income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of shares of Class A common stock issuable on a non-contingent basis.</w:t>
      </w:r>
    </w:p>
    <w:p>
      <w:pPr>
        <w:spacing w:after="0" w:line="116" w:lineRule="exact"/>
        <w:rPr>
          <w:sz w:val="20"/>
          <w:szCs w:val="20"/>
          <w:color w:val="auto"/>
        </w:rPr>
      </w:pPr>
    </w:p>
    <w:p>
      <w:pPr>
        <w:ind w:right="86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plus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such shares associated with shares of Class A common stock issuable on a non-contingent basis.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92" w:lineRule="exact"/>
        <w:rPr>
          <w:sz w:val="20"/>
          <w:szCs w:val="20"/>
          <w:color w:val="auto"/>
        </w:rPr>
      </w:pPr>
    </w:p>
    <w:p>
      <w:pPr>
        <w:jc w:val="both"/>
        <w:ind w:right="6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periods as in the basic net income per share calculation described above,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applicable and dilutive, (i) changes in net income attributable to noncontrolling interests resulting from assumed Class A common stock issuances in connection with share-based incentive compensation and (ii) income tax related to (i) above.</w:t>
      </w:r>
    </w:p>
    <w:p>
      <w:pPr>
        <w:spacing w:after="0" w:line="127" w:lineRule="exact"/>
        <w:rPr>
          <w:sz w:val="20"/>
          <w:szCs w:val="20"/>
          <w:color w:val="auto"/>
        </w:rPr>
      </w:pPr>
    </w:p>
    <w:p>
      <w:pPr>
        <w:ind w:right="14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periods as in the basic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calculation described above, plus, to the extent dilutive, the incremental number of shares of Class A common stock required to settle share-based incentive compensation.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three month periods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and 2015 are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Adjustments to income relating to interest expense and changes in net income attributable to noncontrolling</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interests resulting from assumed Class A common stock issuances in connection with share-based incentive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net of tax</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125,968,430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 - adjustment for shares of Class A common stock issuable on a non-contingent basis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basic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126,040,441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123,655,689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Weighted average number of incremental shares of Class A common stock issuable from share-based</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incentive compensation</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6,850,843</w:t>
            </w:r>
          </w:p>
        </w:tc>
        <w:tc>
          <w:tcPr>
            <w:tcW w:w="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10,080,257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outstanding - diluted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132,891,284</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133,735,946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Lazard Ltd per share of Class A common stock:</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right="9580" w:hanging="232"/>
        <w:spacing w:after="0" w:line="390" w:lineRule="auto"/>
        <w:tabs>
          <w:tab w:leader="none" w:pos="275"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RELATED PARTIES Sponsored Funds</w:t>
      </w: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$118,910 and $135,346 for the three month periods ended March 31, 2016 and 2015, respectively, and are included in “asset management fees” on the condensed consolidated statements of operations. Of such amounts, $48,291 and $42,002 remained as a receivable at March 31, 2016 and December 31, 2015, respectively, and is included in “fees receivable” on the condensed consolidated statements of financial condition.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 (i) approximately 45% (following the July 2015 purchase described below) of the amount of cash savings, if any, in U.S. federal, state and local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income tax or franchise tax that we actually realize as a result of the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39" w:lineRule="exact"/>
        <w:rPr>
          <w:sz w:val="20"/>
          <w:szCs w:val="20"/>
          <w:color w:val="auto"/>
        </w:rPr>
      </w:pPr>
    </w:p>
    <w:p>
      <w:pPr>
        <w:ind w:right="420" w:firstLine="456"/>
        <w:spacing w:after="0" w:line="256" w:lineRule="auto"/>
        <w:rPr>
          <w:sz w:val="20"/>
          <w:szCs w:val="20"/>
          <w:color w:val="auto"/>
        </w:rPr>
      </w:pPr>
      <w:r>
        <w:rPr>
          <w:rFonts w:ascii="Times New Roman" w:cs="Times New Roman" w:eastAsia="Times New Roman" w:hAnsi="Times New Roman"/>
          <w:sz w:val="18"/>
          <w:szCs w:val="18"/>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3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As described in Note 14,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32" w:lineRule="exact"/>
        <w:rPr>
          <w:sz w:val="20"/>
          <w:szCs w:val="20"/>
          <w:color w:val="auto"/>
        </w:rPr>
      </w:pPr>
    </w:p>
    <w:p>
      <w:pPr>
        <w:ind w:right="300" w:firstLine="456"/>
        <w:spacing w:after="0" w:line="296" w:lineRule="auto"/>
        <w:rPr>
          <w:sz w:val="20"/>
          <w:szCs w:val="20"/>
          <w:color w:val="auto"/>
        </w:rPr>
      </w:pPr>
      <w:r>
        <w:rPr>
          <w:rFonts w:ascii="Times New Roman" w:cs="Times New Roman" w:eastAsia="Times New Roman" w:hAnsi="Times New Roman"/>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08"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1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For the three month period ended March 31, 2015, the Company recorded a “provision pursuant to tax receivable agreement” on the condensed consolidated statements of operations of $6,535. The cumulative liability relating to our obligations under the Amended and Restated Tax Receivable Agreement as of March 31, 2016 and December 31, 2015 was $513,648 and $523,962, respectively, and is recorded in “tax receivable agreement obligation” on the condensed consolidated statements of financial condition. The balance at March 31, 2016 reflects a payment made under the Amended and Restated Tax Receivable Agreement in the first quarter of 2016 of $10,086.</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11 for information regarding related party transactions pertaining to shares repurchased from certain of our executive officers.</w:t>
      </w:r>
    </w:p>
    <w:p>
      <w:pPr>
        <w:spacing w:after="0" w:line="289"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2016, LFNY’s regulatory net capital was $90,470, which exceeded the minimum requirement by $87,155. LFNY’s aggregate indebtedness to net capital ratio was 0.55:1 as of March 31, 2016.</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March 31, 2016, the aggregate regulatory net capital of the U.K. Subsidiaries was $149,828, which exceeded the minimum requirement by $132,962.</w:t>
      </w:r>
    </w:p>
    <w:p>
      <w:pPr>
        <w:spacing w:after="0" w:line="132" w:lineRule="exact"/>
        <w:rPr>
          <w:sz w:val="20"/>
          <w:szCs w:val="20"/>
          <w:color w:val="auto"/>
        </w:rPr>
      </w:pPr>
    </w:p>
    <w:p>
      <w:pPr>
        <w:ind w:right="120" w:firstLine="456"/>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2016, the consolidated regulatory net capital of CFLF was $136,054, which exceeded the minimum requirement set for regulatory capital levels by $90,432.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2015, the regulatory net capital of the combined European regulated group was $165,662, which exceeded the minimum requirement set for regulatory capital levels by $91,445.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46"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March 31, 2016, for those subsidiaries with regulatory capital requirements, their aggregate net capital was $100,172, which exceeded the minimum required capital by $74,113.</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2016,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237"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segment information for the three month periods ended March 31, 2016 and 2015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90" w:lineRule="exact"/>
        <w:rPr>
          <w:rFonts w:ascii="Times New Roman" w:cs="Times New Roman" w:eastAsia="Times New Roman" w:hAnsi="Times New Roman"/>
          <w:sz w:val="18"/>
          <w:szCs w:val="18"/>
          <w:color w:val="auto"/>
        </w:rPr>
      </w:pPr>
    </w:p>
    <w:p>
      <w:pPr>
        <w:ind w:left="900" w:right="16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20"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14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1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$ 266,014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$ 301,519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227,078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242,935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38,936</w:t>
            </w:r>
          </w:p>
        </w:tc>
        <w:tc>
          <w:tcPr>
            <w:tcW w:w="1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2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$ 245,759</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$ 279,807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175,161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181,792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70,598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26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(13,555)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gridSpan w:val="2"/>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Loss</w:t>
            </w:r>
          </w:p>
        </w:tc>
        <w:tc>
          <w:tcPr>
            <w:tcW w:w="264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(11,157)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(81,936)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00" w:type="dxa"/>
            <w:vAlign w:val="bottom"/>
            <w:gridSpan w:val="2"/>
            <w:vMerge w:val="continue"/>
          </w:tcPr>
          <w:p>
            <w:pPr>
              <w:spacing w:after="0"/>
              <w:rPr>
                <w:sz w:val="24"/>
                <w:szCs w:val="24"/>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Net Revenue</w:t>
            </w:r>
          </w:p>
        </w:tc>
        <w:tc>
          <w:tcPr>
            <w:tcW w:w="2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$ 498,218</w:t>
            </w: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$ 577,749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4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Operating Expenses</w:t>
            </w:r>
          </w:p>
        </w:tc>
        <w:tc>
          <w:tcPr>
            <w:tcW w:w="24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399,841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503,086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Operating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98,377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gridSpan w:val="5"/>
          </w:tcPr>
          <w:p>
            <w:pPr>
              <w:jc w:val="right"/>
              <w:ind w:right="52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0"/>
                <w:szCs w:val="10"/>
                <w:color w:val="auto"/>
              </w:rPr>
            </w:pPr>
          </w:p>
        </w:tc>
        <w:tc>
          <w:tcPr>
            <w:tcW w:w="840" w:type="dxa"/>
            <w:vAlign w:val="bottom"/>
            <w:gridSpan w:val="4"/>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40" w:type="dxa"/>
            <w:vAlign w:val="bottom"/>
            <w:gridSpan w:val="3"/>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4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Advisory</w:t>
            </w:r>
          </w:p>
        </w:tc>
        <w:tc>
          <w:tcPr>
            <w:tcW w:w="4420" w:type="dxa"/>
            <w:vAlign w:val="bottom"/>
          </w:tcPr>
          <w:p>
            <w:pPr>
              <w:spacing w:after="0"/>
              <w:rPr>
                <w:sz w:val="18"/>
                <w:szCs w:val="18"/>
                <w:color w:val="auto"/>
              </w:rPr>
            </w:pPr>
          </w:p>
        </w:tc>
        <w:tc>
          <w:tcPr>
            <w:tcW w:w="24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  714,484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763,374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Asset Management</w:t>
            </w:r>
          </w:p>
        </w:tc>
        <w:tc>
          <w:tcPr>
            <w:tcW w:w="4420" w:type="dxa"/>
            <w:vAlign w:val="bottom"/>
            <w:shd w:val="clear" w:color="auto" w:fill="CCEEFF"/>
          </w:tcPr>
          <w:p>
            <w:pPr>
              <w:spacing w:after="0"/>
              <w:rPr>
                <w:sz w:val="18"/>
                <w:szCs w:val="18"/>
                <w:color w:val="auto"/>
              </w:rPr>
            </w:pPr>
          </w:p>
        </w:tc>
        <w:tc>
          <w:tcPr>
            <w:tcW w:w="24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598,382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640,034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w:t>
            </w:r>
          </w:p>
        </w:tc>
        <w:tc>
          <w:tcPr>
            <w:tcW w:w="4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2,698,725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3,074,366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w:t>
            </w:r>
          </w:p>
        </w:tc>
        <w:tc>
          <w:tcPr>
            <w:tcW w:w="4420" w:type="dxa"/>
            <w:vAlign w:val="bottom"/>
            <w:shd w:val="clear" w:color="auto" w:fill="CCEEFF"/>
          </w:tcPr>
          <w:p>
            <w:pPr>
              <w:spacing w:after="0"/>
              <w:rPr>
                <w:sz w:val="18"/>
                <w:szCs w:val="18"/>
                <w:color w:val="auto"/>
              </w:rPr>
            </w:pPr>
          </w:p>
        </w:tc>
        <w:tc>
          <w:tcPr>
            <w:tcW w:w="24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$ 4,011,591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$ 4,477,774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2015, reflects the retrospective application of new disclosure guidance adopted by the Company for debt issuance costs. See Note 2.</w:t>
      </w:r>
    </w:p>
    <w:p>
      <w:pPr>
        <w:spacing w:after="0" w:line="180"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2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“first quarter”, “three months” or “the period” refer to, as the context requires, the three month periods ended March 31, 2016 and March 31, 2015.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Certain Factors that May Affect Our Business</w:t>
      </w:r>
    </w:p>
    <w:p>
      <w:pPr>
        <w:spacing w:after="0" w:line="92"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1"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global or regional financial markets;</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mergers and acquisitions (“M&amp;A”) activity, our share of the M&amp;A market or our assets under management (“AUM”);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9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3"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the ratio of awarded compensation and benefits expense to operating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offset stockholder dilution through share repurchases;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including awarded compensation and benefits expense and adjusted compensation and benefits expense, and non-compensation expense;</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certain tax benefits, including certain potential deductions;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certain events or circumstances on our financial statements;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7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the information contained therein or connected thereto shall not be deemed to be incorporated into this Form 10-Q.</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00"/>
          </w:cols>
          <w:pgMar w:left="24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80" w:hanging="325"/>
        <w:spacing w:after="0" w:line="26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20" w:hanging="325"/>
        <w:spacing w:after="0" w:line="26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2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2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7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Equity market indices for developed markets at March 31, 2016 generally decreased as compared to such indices at March 31, 2015. Emerging markets equity indices at March 31, 2016 decreased as compared to March 31, 2015, but increased in the first quarter of 2016 compared to December 31, 2015. In the global M&amp;A markets during the first quarter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quarter of 2016, global restructuring activity, as measured by the number of corporate defaults, increased as compared to the first quarter of 2015. The aggregate value of debt defaults (measured on a global basis) remained consistent with the 2015 period.</w:t>
      </w:r>
    </w:p>
    <w:p>
      <w:pPr>
        <w:spacing w:after="0" w:line="141" w:lineRule="exact"/>
        <w:rPr>
          <w:sz w:val="20"/>
          <w:szCs w:val="20"/>
          <w:color w:val="auto"/>
        </w:rPr>
      </w:pPr>
    </w:p>
    <w:p>
      <w:pPr>
        <w:ind w:right="260" w:firstLine="456"/>
        <w:spacing w:after="0" w:line="301" w:lineRule="auto"/>
        <w:rPr>
          <w:sz w:val="20"/>
          <w:szCs w:val="20"/>
          <w:color w:val="auto"/>
        </w:rPr>
      </w:pPr>
      <w:r>
        <w:rPr>
          <w:rFonts w:ascii="Times New Roman" w:cs="Times New Roman" w:eastAsia="Times New Roman" w:hAnsi="Times New Roman"/>
          <w:sz w:val="16"/>
          <w:szCs w:val="16"/>
          <w:color w:val="auto"/>
        </w:rPr>
        <w:t>In the first quarter of 2016, volatile market conditions continued. On an ongoing basis, volatile conditions may persist, and regional macroeconomic and geopolitical factors, including the United Kingdom’s consideration of whether to exit, or significantly change, its relationship with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86" w:lineRule="exact"/>
        <w:rPr>
          <w:sz w:val="20"/>
          <w:szCs w:val="20"/>
          <w:color w:val="auto"/>
        </w:rPr>
      </w:pPr>
    </w:p>
    <w:p>
      <w:pPr>
        <w:ind w:left="920" w:hanging="345"/>
        <w:spacing w:after="0" w:line="257" w:lineRule="auto"/>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Advisory </w:t>
      </w:r>
      <w:r>
        <w:rPr>
          <w:rFonts w:ascii="Times New Roman" w:cs="Times New Roman" w:eastAsia="Times New Roman" w:hAnsi="Times New Roman"/>
          <w:sz w:val="18"/>
          <w:szCs w:val="18"/>
          <w:color w:val="auto"/>
        </w:rPr>
        <w:t>– The fundamentals for continued M&amp;A activity appear to remain in place. Demand continues for expert, independent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other economies.</w:t>
      </w:r>
    </w:p>
    <w:p>
      <w:pPr>
        <w:spacing w:after="0" w:line="53" w:lineRule="exact"/>
        <w:rPr>
          <w:rFonts w:ascii="Times New Roman" w:cs="Times New Roman" w:eastAsia="Times New Roman" w:hAnsi="Times New Roman"/>
          <w:sz w:val="18"/>
          <w:szCs w:val="18"/>
          <w:color w:val="auto"/>
        </w:rPr>
      </w:pPr>
    </w:p>
    <w:p>
      <w:pPr>
        <w:ind w:left="920" w:right="80" w:hanging="345"/>
        <w:spacing w:after="0" w:line="289" w:lineRule="auto"/>
        <w:tabs>
          <w:tab w:leader="none" w:pos="9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Asset Management </w:t>
      </w:r>
      <w:r>
        <w:rPr>
          <w:rFonts w:ascii="Times New Roman" w:cs="Times New Roman" w:eastAsia="Times New Roman" w:hAnsi="Times New Roman"/>
          <w:sz w:val="16"/>
          <w:szCs w:val="16"/>
          <w:color w:val="auto"/>
        </w:rPr>
        <w:t>– In the short to intermediate term, we expect most investor demand will come from defined benefit and defined contribution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and Middle East North African Equities.</w:t>
      </w:r>
    </w:p>
    <w:p>
      <w:pPr>
        <w:spacing w:after="0" w:line="117"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39"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and number of all completed transactions, including completed transactions with values greater than $500 million, decreased in the first quarter of 2016 as compared to 2015. With respect to announced M&amp;A transactions, the value and number of all transactions, including announced transactions with values greater than $500 million, also decreased in the first quarter of 2016 as compared to 2015.</w:t>
      </w:r>
    </w:p>
    <w:p>
      <w:pPr>
        <w:spacing w:after="0" w:line="26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4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jc w:val="right"/>
              <w:ind w:right="216"/>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r>
      <w:tr>
        <w:trPr>
          <w:trHeight w:val="165"/>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780" w:type="dxa"/>
            <w:vAlign w:val="bottom"/>
          </w:tcPr>
          <w:p>
            <w:pPr>
              <w:spacing w:after="0"/>
              <w:rPr>
                <w:sz w:val="14"/>
                <w:szCs w:val="14"/>
                <w:color w:val="auto"/>
              </w:rPr>
            </w:pPr>
          </w:p>
        </w:tc>
        <w:tc>
          <w:tcPr>
            <w:tcW w:w="128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Incr / (Decr)</w:t>
            </w:r>
          </w:p>
        </w:tc>
      </w:tr>
      <w:tr>
        <w:trPr>
          <w:trHeight w:val="156"/>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2"/>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 in billions)</w:t>
            </w: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900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93"/>
              </w:rPr>
              <w:t>8,389</w:t>
            </w:r>
          </w:p>
        </w:tc>
        <w:tc>
          <w:tcPr>
            <w:tcW w:w="780" w:type="dxa"/>
            <w:vAlign w:val="bottom"/>
          </w:tcPr>
          <w:p>
            <w:pPr>
              <w:spacing w:after="0"/>
              <w:rPr>
                <w:sz w:val="18"/>
                <w:szCs w:val="18"/>
                <w:color w:val="auto"/>
              </w:rPr>
            </w:pP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92"/>
              </w:rPr>
              <w:t>10,153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633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694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281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934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93"/>
              </w:rPr>
              <w:t>9,243</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92"/>
              </w:rPr>
              <w:t>10,317</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723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28"/>
        </w:trPr>
        <w:tc>
          <w:tcPr>
            <w:tcW w:w="4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252</w:t>
            </w:r>
          </w:p>
        </w:tc>
        <w:tc>
          <w:tcPr>
            <w:tcW w:w="780" w:type="dxa"/>
            <w:vAlign w:val="bottom"/>
          </w:tcPr>
          <w:p>
            <w:pPr>
              <w:spacing w:after="0"/>
              <w:rPr>
                <w:sz w:val="19"/>
                <w:szCs w:val="19"/>
                <w:color w:val="auto"/>
              </w:rPr>
            </w:pP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278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Source:Dealogic as of April 1, 2016.</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Global restructuring activity during the first quarter of 2016, as measured by the number of corporate defaults, increased as compared to the first quarter of</w:t>
      </w:r>
    </w:p>
    <w:p>
      <w:pPr>
        <w:spacing w:after="0" w:line="4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2015. The number of defaulting issuers increased to 33 in the first quarter of 2016, according to Moody’s Investors Service, Inc., as compared to 16 in the first quarter of 2015. The aggregate value of debt defaults (measured on a global basis) remained consistent with the 2015 period.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percentage change in major equity market indices at March 31, 2016, as compared to such indices at December 31, 2015, and at March 31, 2015, is shown in the table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Changes</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674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 2016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5"/>
        </w:trPr>
        <w:tc>
          <w:tcPr>
            <w:tcW w:w="6740" w:type="dxa"/>
            <w:vAlign w:val="bottom"/>
          </w:tcPr>
          <w:p>
            <w:pPr>
              <w:spacing w:after="0"/>
              <w:rPr>
                <w:sz w:val="10"/>
                <w:szCs w:val="10"/>
                <w:color w:val="auto"/>
              </w:rPr>
            </w:pPr>
          </w:p>
        </w:tc>
        <w:tc>
          <w:tcPr>
            <w:tcW w:w="2000" w:type="dxa"/>
            <w:vAlign w:val="bottom"/>
            <w:gridSpan w:val="2"/>
          </w:tcPr>
          <w:p>
            <w:pPr>
              <w:jc w:val="center"/>
              <w:ind w:right="11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260" w:type="dxa"/>
            <w:vAlign w:val="bottom"/>
          </w:tcPr>
          <w:p>
            <w:pPr>
              <w:spacing w:after="0"/>
              <w:rPr>
                <w:sz w:val="10"/>
                <w:szCs w:val="10"/>
                <w:color w:val="auto"/>
              </w:rPr>
            </w:pPr>
          </w:p>
        </w:tc>
      </w:tr>
      <w:tr>
        <w:trPr>
          <w:trHeight w:val="165"/>
        </w:trPr>
        <w:tc>
          <w:tcPr>
            <w:tcW w:w="6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20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Euro Stoxx</w:t>
            </w:r>
          </w:p>
        </w:tc>
        <w:tc>
          <w:tcPr>
            <w:tcW w:w="20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200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0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3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2016 increased 2% versus AUM at December 31, 2015, primarily due to foreign exchange and market appreciation, partially offset by net outflows. Average AUM for the first quarter of 2016 decreased 7% as compared to average AUM in the first quarter of 2015 and 2% as compared to the fourth quarter of 2015.</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3"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331"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3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339" w:lineRule="auto"/>
        <w:rPr>
          <w:sz w:val="20"/>
          <w:szCs w:val="20"/>
          <w:color w:val="auto"/>
        </w:rPr>
      </w:pPr>
      <w:r>
        <w:rPr>
          <w:rFonts w:ascii="Times New Roman" w:cs="Times New Roman" w:eastAsia="Times New Roman" w:hAnsi="Times New Roman"/>
          <w:sz w:val="16"/>
          <w:szCs w:val="16"/>
          <w:color w:val="auto"/>
        </w:rPr>
        <w:t>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7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Although Corporate segment net revenue during 2016 represented (2)% of Lazard’s net revenue, total assets in the Corporate segment represented 67% of Lazard’s consolidated total assets as of March 31, 2016, which are attributable to cash and cash equivalents, investments in debt and equity securities, interests in alternative investment, debt, equity and private equity funds, deferred tax assets and certain assets associated with LFB.</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ind w:right="260" w:firstLine="456"/>
        <w:spacing w:after="0" w:line="289" w:lineRule="auto"/>
        <w:rPr>
          <w:sz w:val="20"/>
          <w:szCs w:val="20"/>
          <w:color w:val="auto"/>
        </w:rPr>
      </w:pPr>
      <w:r>
        <w:rPr>
          <w:rFonts w:ascii="Times New Roman" w:cs="Times New Roman" w:eastAsia="Times New Roman" w:hAnsi="Times New Roman"/>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w:t>
      </w:r>
    </w:p>
    <w:p>
      <w:pPr>
        <w:spacing w:after="0" w:line="1" w:lineRule="exact"/>
        <w:rPr>
          <w:sz w:val="20"/>
          <w:szCs w:val="20"/>
          <w:color w:val="auto"/>
        </w:rPr>
      </w:pPr>
    </w:p>
    <w:p>
      <w:pPr>
        <w:ind w:left="240" w:hanging="232"/>
        <w:spacing w:after="0"/>
        <w:tabs>
          <w:tab w:leader="none" w:pos="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incentive compensation under the Lazard Ltd 2008 Incentive Compensation Plan (the “2008 Plan”) and the Lazard Ltd 2005 Equity Incentive</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3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55" w:lineRule="exact"/>
        <w:rPr>
          <w:sz w:val="20"/>
          <w:szCs w:val="20"/>
          <w:color w:val="auto"/>
        </w:rPr>
      </w:pPr>
    </w:p>
    <w:p>
      <w:pPr>
        <w:ind w:left="900" w:right="140" w:hanging="325"/>
        <w:spacing w:after="0" w:line="27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incentive compensation with respect to the fiscal year, which is comprised of:</w:t>
      </w:r>
    </w:p>
    <w:p>
      <w:pPr>
        <w:spacing w:after="0" w:line="88" w:lineRule="exact"/>
        <w:rPr>
          <w:rFonts w:ascii="Times New Roman" w:cs="Times New Roman" w:eastAsia="Times New Roman" w:hAnsi="Times New Roman"/>
          <w:sz w:val="18"/>
          <w:szCs w:val="18"/>
          <w:color w:val="auto"/>
        </w:rPr>
      </w:pPr>
    </w:p>
    <w:p>
      <w:pPr>
        <w:ind w:left="1480" w:right="60" w:hanging="567"/>
        <w:spacing w:after="0" w:line="264"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incentive compensation awards granted in the year-end compensation process with respect to the fiscal year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2016 related to the 2015 year-end compensation process), including Performance-based restricted stock unit (“PRSU”) awards (based on the target payout level);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480" w:right="100" w:hanging="567"/>
        <w:spacing w:after="0" w:line="277" w:lineRule="auto"/>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“sign-on” bonuses or retention awards) and other special deferred incentive compensation awards that is applicable to the fiscal year the award becomes effective; and</w:t>
      </w:r>
    </w:p>
    <w:p>
      <w:pPr>
        <w:spacing w:after="0" w:line="15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excess of the target payout level for PRSU awards at the end of their respective performance periods;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 the amounts in (i), (ii) and (iii) above by an estimate of future forfeitures with respect to such awards;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adjust for year-end foreign exchange fluctuations.</w:t>
      </w:r>
    </w:p>
    <w:p>
      <w:pPr>
        <w:spacing w:after="0" w:line="171"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 55.8% and 55.4%, respectively,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12"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that “adjusted non-compensation expense,” a non-U.S. GAAP measure, provides a more meaningful basis for assessing our operating results.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calculations with respect to “adjusted non-compensation expense,” see the table under “Consolidated Results of Operations” below.</w:t>
      </w:r>
    </w:p>
    <w:p>
      <w:pPr>
        <w:spacing w:after="0" w:line="159" w:lineRule="exact"/>
        <w:rPr>
          <w:sz w:val="20"/>
          <w:szCs w:val="20"/>
          <w:color w:val="auto"/>
        </w:rPr>
      </w:pPr>
    </w:p>
    <w:p>
      <w:pPr>
        <w:ind w:right="680" w:firstLine="456"/>
        <w:spacing w:after="0" w:line="339" w:lineRule="auto"/>
        <w:rPr>
          <w:sz w:val="20"/>
          <w:szCs w:val="20"/>
          <w:color w:val="auto"/>
        </w:rPr>
      </w:pPr>
      <w:r>
        <w:rPr>
          <w:rFonts w:ascii="Times New Roman" w:cs="Times New Roman" w:eastAsia="Times New Roman" w:hAnsi="Times New Roman"/>
          <w:sz w:val="16"/>
          <w:szCs w:val="16"/>
          <w:color w:val="auto"/>
        </w:rPr>
        <w:t>Our operating expenses also include our “provision pursuant to the tax receivable agreement” and the “amortization of intangible assets related to acquisitions”. For all periods, the amortization of intangible assets related to acquisitions pertains primarily to the acquisition of Edgewater.</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the second quarter of 2015, we released substantially all of our valuation allowance related to the deferred tax assets. When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firstLine="456"/>
        <w:spacing w:after="0" w:line="339" w:lineRule="auto"/>
        <w:rPr>
          <w:sz w:val="20"/>
          <w:szCs w:val="20"/>
          <w:color w:val="auto"/>
        </w:rPr>
      </w:pPr>
      <w:r>
        <w:rPr>
          <w:rFonts w:ascii="Times New Roman" w:cs="Times New Roman" w:eastAsia="Times New Roman" w:hAnsi="Times New Roman"/>
          <w:sz w:val="16"/>
          <w:szCs w:val="16"/>
          <w:color w:val="auto"/>
        </w:rPr>
        <w:t>See “Critical Accounting Policies and Estimates—Income Taxes” below and Notes 14 and 16 of Notes to Condensed Consolidated Financial Statements for additional information regarding income taxes, our deferred tax assets, the valuation allowance release in 2015 and the tax receivable agreement obligation.</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condensed consolidated statements of operations.</w:t>
      </w:r>
    </w:p>
    <w:p>
      <w:pPr>
        <w:spacing w:after="0" w:line="14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months ended March 31,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36" w:lineRule="exact"/>
        <w:rPr>
          <w:sz w:val="20"/>
          <w:szCs w:val="20"/>
          <w:color w:val="auto"/>
        </w:rPr>
      </w:pPr>
    </w:p>
    <w:p>
      <w:pPr>
        <w:ind w:right="340" w:firstLine="456"/>
        <w:spacing w:after="0" w:line="339" w:lineRule="auto"/>
        <w:rPr>
          <w:sz w:val="20"/>
          <w:szCs w:val="20"/>
          <w:color w:val="auto"/>
        </w:rPr>
      </w:pPr>
      <w:r>
        <w:rPr>
          <w:rFonts w:ascii="Times New Roman" w:cs="Times New Roman" w:eastAsia="Times New Roman" w:hAnsi="Times New Roman"/>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13"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-7620</wp:posOffset>
            </wp:positionV>
            <wp:extent cx="12007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498,218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577,749</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297,210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328,502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Non-compensation</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101,987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167,016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pursuant to tax receivable agreement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399,841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503,086</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27,654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12,017</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70,723</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4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vMerge w:val="restart"/>
          </w:tcPr>
          <w:p>
            <w:pPr>
              <w:jc w:val="right"/>
              <w:ind w:right="34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$ 498,218</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$ 577,749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(a)</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39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(6,212)</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(Gains) losses on investments pertaining to LFI (c)</w:t>
            </w:r>
          </w:p>
        </w:tc>
        <w:tc>
          <w:tcPr>
            <w:tcW w:w="2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5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$ 506,066</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$ 580,956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40" w:hanging="452"/>
        <w:spacing w:after="0" w:line="257"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1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11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Compensation and Benefits Expense: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3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$297,210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$328,502</w:t>
            </w: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32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(1,752)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7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credits pertaining to LFI (b)</w:t>
            </w:r>
          </w:p>
        </w:tc>
        <w:tc>
          <w:tcPr>
            <w:tcW w:w="3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2,514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w:t>
            </w:r>
          </w:p>
        </w:tc>
      </w:tr>
      <w:tr>
        <w:trPr>
          <w:trHeight w:val="223"/>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20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297,972</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323,149</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 as a % of operating revenue</w:t>
            </w:r>
          </w:p>
        </w:tc>
        <w:tc>
          <w:tcPr>
            <w:tcW w:w="3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21" w:lineRule="exact"/>
        <w:rPr>
          <w:rFonts w:ascii="Times New Roman" w:cs="Times New Roman" w:eastAsia="Times New Roman" w:hAnsi="Times New Roman"/>
          <w:sz w:val="18"/>
          <w:szCs w:val="18"/>
          <w:color w:val="auto"/>
        </w:rPr>
      </w:pPr>
    </w:p>
    <w:p>
      <w:pPr>
        <w:ind w:left="460" w:right="200" w:hanging="452"/>
        <w:spacing w:after="0" w:line="261"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1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65"/>
        </w:trPr>
        <w:tc>
          <w:tcPr>
            <w:tcW w:w="1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586"/>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bottom w:val="single" w:sz="8" w:color="auto"/>
            </w:tcBorders>
          </w:tcPr>
          <w:p>
            <w:pPr>
              <w:jc w:val="right"/>
              <w:ind w:right="12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$101,987</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$167,016</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3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pertaining to senior debt refinancing (b)</w:t>
            </w:r>
          </w:p>
        </w:tc>
        <w:tc>
          <w:tcPr>
            <w:tcW w:w="23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(60,219)</w:t>
            </w:r>
          </w:p>
        </w:tc>
      </w:tr>
      <w:tr>
        <w:trPr>
          <w:trHeight w:val="223"/>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2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101,589</w:t>
            </w:r>
          </w:p>
        </w:tc>
        <w:tc>
          <w:tcPr>
            <w:tcW w:w="5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106,434</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3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1" w:lineRule="exact"/>
        <w:rPr>
          <w:rFonts w:ascii="Times New Roman" w:cs="Times New Roman" w:eastAsia="Times New Roman" w:hAnsi="Times New Roman"/>
          <w:sz w:val="18"/>
          <w:szCs w:val="18"/>
          <w:color w:val="auto"/>
        </w:rPr>
      </w:pPr>
    </w:p>
    <w:p>
      <w:pPr>
        <w:ind w:left="460" w:right="520" w:hanging="452"/>
        <w:spacing w:after="0" w:line="261"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10"/>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9"/>
          </w:tcPr>
          <w:p>
            <w:pPr>
              <w:jc w:val="center"/>
              <w:ind w:right="4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$ 506,066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$ 580,956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5"/>
          </w:tcPr>
          <w:p>
            <w:pPr>
              <w:jc w:val="right"/>
              <w:ind w:right="52"/>
              <w:spacing w:after="0"/>
              <w:rPr>
                <w:sz w:val="20"/>
                <w:szCs w:val="20"/>
                <w:color w:val="auto"/>
              </w:rPr>
            </w:pPr>
            <w:r>
              <w:rPr>
                <w:rFonts w:ascii="Times New Roman" w:cs="Times New Roman" w:eastAsia="Times New Roman" w:hAnsi="Times New Roman"/>
                <w:sz w:val="18"/>
                <w:szCs w:val="18"/>
                <w:color w:val="auto"/>
              </w:rPr>
              <w:t>(297,972)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(323,149)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(101,589)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(106,434)</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$ 106,505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$ 151,373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Headcount information is set forth below:</w:t>
            </w: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As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gridSpan w:val="3"/>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6"/>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0"/>
                <w:szCs w:val="10"/>
                <w:color w:val="auto"/>
              </w:rPr>
            </w:pPr>
          </w:p>
        </w:tc>
        <w:tc>
          <w:tcPr>
            <w:tcW w:w="940" w:type="dxa"/>
            <w:vAlign w:val="bottom"/>
            <w:gridSpan w:val="4"/>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37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4"/>
                <w:szCs w:val="14"/>
                <w:color w:val="auto"/>
              </w:rPr>
            </w:pPr>
          </w:p>
        </w:tc>
        <w:tc>
          <w:tcPr>
            <w:tcW w:w="1080" w:type="dxa"/>
            <w:vAlign w:val="bottom"/>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40" w:type="dxa"/>
            <w:vAlign w:val="bottom"/>
            <w:vMerge w:val="continue"/>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Advisory</w:t>
            </w:r>
          </w:p>
        </w:tc>
        <w:tc>
          <w:tcPr>
            <w:tcW w:w="40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Management</w:t>
            </w:r>
          </w:p>
        </w:tc>
        <w:tc>
          <w:tcPr>
            <w:tcW w:w="40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40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Managing Directors</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40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1,174</w:t>
            </w:r>
          </w:p>
        </w:tc>
        <w:tc>
          <w:tcPr>
            <w:tcW w:w="11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33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00" w:type="dxa"/>
            <w:vAlign w:val="bottom"/>
          </w:tcPr>
          <w:p>
            <w:pPr>
              <w:spacing w:after="0"/>
              <w:rPr>
                <w:sz w:val="18"/>
                <w:szCs w:val="18"/>
                <w:color w:val="auto"/>
              </w:rPr>
            </w:pPr>
          </w:p>
        </w:tc>
        <w:tc>
          <w:tcPr>
            <w:tcW w:w="62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vMerge w:val="restart"/>
          </w:tcPr>
          <w:p>
            <w:pPr>
              <w:jc w:val="right"/>
              <w:ind w:right="1876"/>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90"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versus March 31, 2015</w:t>
      </w:r>
    </w:p>
    <w:p>
      <w:pPr>
        <w:spacing w:after="0" w:line="9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$67 million, as compared to net income of $56 million in the 2015 period. The changes in the Company’s operating results during these periods are described below.</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Net revenue decreased $80 million, or 14%, with operating revenue decreasing $75 million, or 13%, as compared to the 2015 period. Fee revenue from investment banking and other advisory activities decreased $36 million, or 12%, primarily due to decreases in M&amp;A and Other Advisory fees. The decrease in M&amp;A and Other Advisory fee revenue primarily reflected a lower level of closings and a decrease in the average transaction fee with respect to completed transactions involving fees greater than $1 million as compared to the 2015 period. Asset management fees, including incentive fees, decreased $28 million, or 11%, as compared to the 2015 period, due to a decrease in average AUM, a change in the mix of AUM and a decrease in incentive fees relating to traditional investment products. In the aggregate, interest income, other revenue and interest expense decreased $15 million as compared to the 2015 period, primarily due to investment losses, partially offset by a decrease in interest expense.</w:t>
      </w:r>
    </w:p>
    <w:p>
      <w:pPr>
        <w:spacing w:after="0" w:line="141"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Compensation and benefits expense decreased $31 million, or 10%, as compared to the 2015 period, primarily due to a decrease in discretionary compensation associated with decreased operating revenue.</w:t>
      </w:r>
    </w:p>
    <w:p>
      <w:pPr>
        <w:spacing w:after="0" w:line="12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 periods, as described above) was $298 million, a decrease of $25 million, or 8%, as compared to $323 million in the 2015 period. The ratio of adjusted compensation and benefits expense to operating revenue was 58.9% for the 2016 period, as compared to 55.6% for the 2015 period and 55.4% for full-year 2015. The ratio of adjusted compensation and benefits expense in the 2016 period generally reflected lower operating revenue in the 2016 period and seasonally high amortization expense.</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Non-compensation expense decreased $65 million, or 39%,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decreased $5 million, or 5%, as compared to the 2015 period. The ratio of adjusted non-compensation expense to operating revenue was 20.1%, as compared to 18.3% in the 2015 period.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remained substantially unchanged as compared to the 2015 period.</w:t>
      </w:r>
    </w:p>
    <w:p>
      <w:pPr>
        <w:spacing w:after="0" w:line="171" w:lineRule="exact"/>
        <w:rPr>
          <w:sz w:val="20"/>
          <w:szCs w:val="20"/>
          <w:color w:val="auto"/>
        </w:rPr>
      </w:pPr>
    </w:p>
    <w:p>
      <w:pPr>
        <w:ind w:right="440" w:firstLine="456"/>
        <w:spacing w:after="0" w:line="339" w:lineRule="auto"/>
        <w:rPr>
          <w:sz w:val="20"/>
          <w:szCs w:val="20"/>
          <w:color w:val="auto"/>
        </w:rPr>
      </w:pPr>
      <w:r>
        <w:rPr>
          <w:rFonts w:ascii="Times New Roman" w:cs="Times New Roman" w:eastAsia="Times New Roman" w:hAnsi="Times New Roman"/>
          <w:sz w:val="16"/>
          <w:szCs w:val="16"/>
          <w:color w:val="auto"/>
        </w:rPr>
        <w:t>As a result of the possible utilization of certain deferred tax assets that are subject to the tax receivable agreement, the provision pursuant to the tax receivable agreement in the 2015 period was $7 million (see Note 16 of Notes to Condensed Consolidated Financial Statements for additional information).</w:t>
      </w:r>
    </w:p>
    <w:p>
      <w:pPr>
        <w:spacing w:after="0" w:line="7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Operating income increased $24 million as compared to the 2015 period, which included a charge relating to the redemption of a significant portion of the Company’s 2017 Notes, as well as the impact of the provision pursuant to the tax receivable agreement described above.</w:t>
      </w:r>
    </w:p>
    <w:p>
      <w:pPr>
        <w:spacing w:after="0" w:line="120"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Earnings from operations decreased $45 million, or 30%, as compared to the 2015 period, which excluded the charge related to the redemption of a significant portion of the Company’s 2017 Notes, as well as the impact of the provision pursuant to the tax receivable agreement described above, and, as a percentage of operating revenue, was 21.0%, as compared to 26.1% in the 2015 period.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28.1%, as compared to 16.1% for the 2015 period. The increase in the effective tax rate is primarily the result of a change in our valuation allowance related to the deferred tax assets in the 2015 period and a change in the geographic mix of earnings. See Note 14 of Notes to Condensed Consolidated Financial Statements.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decreased $3 million, or 42%, as compared to the 2015 period.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reported operating results attributable to the Financial Advisory segment: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Other Advisory</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214,591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Capital Raising</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Strategic Advisory</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223,464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278,373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42,550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266,014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301,519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227,078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242,935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38,936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58,584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18% in 2016 as compared to 2015. The industry statistics for global M&amp;A transactions described above reflect a 10% and 17% decrease in the value and number, respectively, of all completed transactions in the 2016 period as compared to the 2015 period. For M&amp;A deals with values greater than $500 million, the value and number of completed transactions in the 2016 period decreased 9% and 21%, respectively, as compared to the 2015 period.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Lazard fee and transaction statistics are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42"/>
        </w:trPr>
        <w:tc>
          <w:tcPr>
            <w:tcW w:w="924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Financial Advisory</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15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M&amp;A and Other Advisory</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 clients</w:t>
            </w: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0"/>
              </w:rPr>
              <w:t>35%</w:t>
            </w:r>
          </w:p>
        </w:tc>
        <w:tc>
          <w:tcPr>
            <w:tcW w:w="15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 $500 million (a)</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Source: Dealogic as of April 1, 2016.</w:t>
      </w:r>
    </w:p>
    <w:p>
      <w:pPr>
        <w:spacing w:after="0" w:line="171"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66%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92"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versus March 31, 2015</w:t>
      </w:r>
    </w:p>
    <w:p>
      <w:pPr>
        <w:spacing w:after="0" w:line="94"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net revenue decreased $36 million, or 12%, as compared to the 2015 period. Total Strategic Advisory net revenue, representing fees from our M&amp;A and Other Advisory and Capital Raising businesses, decreased $55 million, or 20%, and Restructuring revenue increased $19 million, or 84%, as compared to the 2015 period.</w:t>
      </w:r>
    </w:p>
    <w:p>
      <w:pPr>
        <w:spacing w:after="0" w:line="13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M&amp;A and Other Advisory revenue decreased $46 million, or 18%, while Capital Raising revenue decreased $9 million, or 50%, as compared to the 2015 period. The decrease in M&amp;A and Other Advisory revenue primarily reflected a lower level of closings and a decrease in the average transaction fee with respect to completed transactions involving fees greater than $1 million as compared to the 2015 period. Our major clients,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which in the aggregate represented a significant portion of our M&amp;A and Other Advisory revenue in the 2016 period, included Kraton Polymers, PartnerRe, Pepco Holdings, Reynolds American, Shell and Whiting Petroleum.</w:t>
      </w:r>
    </w:p>
    <w:p>
      <w:pPr>
        <w:spacing w:after="0" w:line="120"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Restructuring revenue in the 2016 period primarily reflected the closing of several large assignments, as well as a higher level of activity in the U.S. energy sector in the 2016 period. Our major clients, which in the aggregate represented a significant portion of our Restructuring revenue in the 2016 period, included Hovensa, Paragon Offshore, Vantage Drilling and Walter Energy.</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Operating expenses decreased $16 million, or 7%, as compared to the 2015 period, primarily due to a decrease in compensation and benefits expense.</w:t>
      </w:r>
    </w:p>
    <w:p>
      <w:pPr>
        <w:spacing w:after="0" w:line="17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Financial Advisory operating income was $39 million, a decrease of $20 million, or 34%, as compared to operating income of $59 million in the 2015 period and, as a percentage of net revenue, was 14.6%, as compared to 19.4% in the 2015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942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0"/>
                <w:szCs w:val="10"/>
                <w:color w:val="auto"/>
              </w:rPr>
            </w:pPr>
          </w:p>
        </w:tc>
        <w:tc>
          <w:tcPr>
            <w:tcW w:w="80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100" w:type="dxa"/>
            <w:vAlign w:val="bottom"/>
          </w:tcPr>
          <w:p>
            <w:pPr>
              <w:spacing w:after="0"/>
              <w:rPr>
                <w:sz w:val="10"/>
                <w:szCs w:val="10"/>
                <w:color w:val="auto"/>
              </w:rPr>
            </w:pPr>
          </w:p>
        </w:tc>
      </w:tr>
      <w:tr>
        <w:trPr>
          <w:trHeight w:val="165"/>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38,823</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31,407</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155,812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151,495</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AUM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190,554</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186,380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Total AUM at March 31, 2016 was $191 billion, an increase of $5 billion, or 2%, as compared to total AUM of $186 billion at December 31, 2015, primarily due to foreign exchange and market appreciation, partially offset by net outflows. Average AUM for the three months ended March 31, 2016 decreased 7% as compared to the first quarter of 2015 and 2% as compared to the fourth quarter of 2015.</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As of March 31,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March 31, 2016, approximately 12% of our AUM was managed on behalf of individual client relationships, which are principally with family offices and individuals, compared to approximately 11% at December 31, 2015.</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2016, AUM with foreign currency exposure represented approximately 71% of our total AUM, as compared to 72% at December 31,</w:t>
      </w:r>
    </w:p>
    <w:p>
      <w:pPr>
        <w:spacing w:after="0" w:line="2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2015. AUM with foreign currency exposure generally declines in value with the strengthening of the U.S. Dollar and increases in value as the U.S. Dollar weakens, with all other factors held constant.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three months ended March 31, 2016 and 2015: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 2016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4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4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4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Inflows</w:t>
            </w:r>
          </w:p>
        </w:tc>
        <w:tc>
          <w:tcPr>
            <w:tcW w:w="200" w:type="dxa"/>
            <w:vAlign w:val="bottom"/>
          </w:tcPr>
          <w:p>
            <w:pPr>
              <w:spacing w:after="0"/>
              <w:rPr>
                <w:sz w:val="14"/>
                <w:szCs w:val="14"/>
                <w:color w:val="auto"/>
              </w:rPr>
            </w:pPr>
          </w:p>
        </w:tc>
        <w:tc>
          <w:tcPr>
            <w:tcW w:w="88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4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Flows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4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$151,495</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$8,042</w:t>
            </w:r>
          </w:p>
        </w:tc>
        <w:tc>
          <w:tcPr>
            <w:tcW w:w="10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(6,989)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$ 1,053</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$155,812</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08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(2,719)</w:t>
            </w:r>
          </w:p>
        </w:tc>
        <w:tc>
          <w:tcPr>
            <w:tcW w:w="8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0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186,380</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(10,169</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190,554</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Inflows in the Equity asset class were primarily attributable to the Multi-Regional and Global equity platforms, and inflows in the Fixed Income asset class were primarily attributable to the Emerging Markets and Multi-Regional platforms. Outflows in the Equity asset class were primarily attributable to the Emerging Markets and Global equity platforms, and outflows in the Fixed Income asset class were primarily attributable to the Emerging Markets and Multi-Regional platforms.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358"/>
              <w:spacing w:after="0" w:line="125"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180" w:type="dxa"/>
            <w:vAlign w:val="bottom"/>
            <w:gridSpan w:val="3"/>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Appreciation/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4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Inflows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Outflows</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4"/>
              </w:rPr>
              <w:t>(Depreciation)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$160,912</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$6,150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(6,930)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(780)</w:t>
            </w:r>
          </w:p>
        </w:tc>
        <w:tc>
          <w:tcPr>
            <w:tcW w:w="40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(5,815)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$162,852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3,403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(1,231)</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10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(2,077)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shd w:val="clear" w:color="auto" w:fill="CCEEFF"/>
          </w:tcPr>
          <w:p>
            <w:pPr>
              <w:spacing w:after="0"/>
              <w:rPr>
                <w:sz w:val="18"/>
                <w:szCs w:val="18"/>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197,103</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9,636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199,181</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As of April 14, 2016, AUM was $192.5 billion, a $1.9 billion increase since March 31, 2016. The increase in AUM was due to market appreciation of $2.6 billion, partially offset by net outflows of $0.2 billion and foreign exchange depreciation of $0.5 billion.</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three month periods ended March 31, 2016 and 2015 for each significant asset class is set forth below. Average AUM generally represents the average of the monthly ending AUM balances for the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76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5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$ 149,969</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$ 161,440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Fixed Income</w:t>
            </w:r>
          </w:p>
        </w:tc>
        <w:tc>
          <w:tcPr>
            <w:tcW w:w="6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32,180</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Alternative Investments</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w:t>
            </w:r>
          </w:p>
        </w:tc>
        <w:tc>
          <w:tcPr>
            <w:tcW w:w="6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Management</w:t>
            </w:r>
          </w:p>
        </w:tc>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Average AUM</w:t>
            </w:r>
          </w:p>
        </w:tc>
        <w:tc>
          <w:tcPr>
            <w:tcW w:w="6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$ 184,801</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$ 198,406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600" w:type="dxa"/>
            <w:vAlign w:val="bottom"/>
            <w:vMerge w:val="restart"/>
          </w:tcPr>
          <w:p>
            <w:pPr>
              <w:jc w:val="right"/>
              <w:ind w:right="3672"/>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226,450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252,087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245,759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279,807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175,161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181,792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98,015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92" w:lineRule="exact"/>
        <w:rPr>
          <w:sz w:val="20"/>
          <w:szCs w:val="20"/>
          <w:color w:val="auto"/>
        </w:rPr>
      </w:pPr>
    </w:p>
    <w:p>
      <w:pPr>
        <w:jc w:val="both"/>
        <w:ind w:right="20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versus March 31, 2015</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Asset Management net revenue decreased $34 million, or 12%, as compared to the 2015 period. Management fees decreased $26 million, or 10%, as compared to the 2015 period, primarily due to a decrease in average AUM and a change in the mix of AUM. Incentive fees decreased $4 million, or 71%, as compared to the 2015 period, primarily due to incentive fees related to traditional investment products. Other revenue decreased $4 million, or 18%, as compared to the 2015 period, principally due to lower revenue attributable to noncontrolling interests from the 2015 period.</w:t>
      </w:r>
    </w:p>
    <w:p>
      <w:pPr>
        <w:spacing w:after="0" w:line="136"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decreased $7 million, or 4%,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32" w:lineRule="exact"/>
        <w:rPr>
          <w:sz w:val="20"/>
          <w:szCs w:val="20"/>
          <w:color w:val="auto"/>
        </w:rPr>
      </w:pPr>
    </w:p>
    <w:p>
      <w:pPr>
        <w:jc w:val="both"/>
        <w:ind w:right="400" w:firstLine="456"/>
        <w:spacing w:after="0" w:line="275" w:lineRule="auto"/>
        <w:rPr>
          <w:sz w:val="20"/>
          <w:szCs w:val="20"/>
          <w:color w:val="auto"/>
        </w:rPr>
      </w:pPr>
      <w:r>
        <w:rPr>
          <w:rFonts w:ascii="Times New Roman" w:cs="Times New Roman" w:eastAsia="Times New Roman" w:hAnsi="Times New Roman"/>
          <w:sz w:val="18"/>
          <w:szCs w:val="18"/>
          <w:color w:val="auto"/>
        </w:rPr>
        <w:t>Asset Management operating income was $71 million, a decrease of $27 million, or 28%, as compared to operating income of $98 million in the 2015 period and, as a percentage of net revenue, was 28.7%, as compared to 35.0% in the 2015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left="358"/>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w w:val="97"/>
              </w:rPr>
              <w:t>(11,869)</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(16,120)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Interest (Expense)</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7"/>
              </w:rPr>
              <w:t>(11,037)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(2,518)</w:t>
            </w: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7"/>
              </w:rPr>
              <w:t>(13,555)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(Credit) (a)</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97"/>
              </w:rPr>
              <w:t>(11,157)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(81,936)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80" w:hanging="452"/>
        <w:spacing w:after="0" w:line="275"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2015 period, includes $60,219 relating to the redemption of a significant portion of the Company’s 2017 Notes and $6,535 relating to the provision pursuant to the tax receivable agreement.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92" w:lineRule="exact"/>
        <w:rPr>
          <w:sz w:val="20"/>
          <w:szCs w:val="20"/>
          <w:color w:val="auto"/>
        </w:rPr>
      </w:pPr>
    </w:p>
    <w:p>
      <w:pPr>
        <w:jc w:val="both"/>
        <w:ind w:right="30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2016 versus March 31, 2015</w:t>
      </w:r>
    </w:p>
    <w:p>
      <w:pPr>
        <w:spacing w:after="0" w:line="94"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Net interest expense decreased $4 million, or 28%, as compared to the 2015 period, primarily due to the redemption of $450 million of the 2017 Notes and the issuance of $400 million aggregate principal amount of 3.75% senior notes due 2025 (the “2025 Notes”).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Other revenue decreased $14 million as compared to the 2015 period, primarily due to investment losses mainly from investments held in connection 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LFI.</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Operating expenses decreased $81 million as compared to the 2015 period, including, in the 2015 period, (i) a charge of $60 million related to the redemption of a significant portion of the Company’s 2017 Notes and (ii) a $7 million provision pursuant to the tax receivable agreement (see Note 16 of Notes to Condensed Consolidated Financial Statements). Excluding the impact of such charges, operating expenses decreased $14 million compared to the 2015 period, primarily due to decreased compensation and benefits expense.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February 2016 and February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color w:val="auto"/>
              </w:rPr>
              <w:t>137.7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(308.3)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rPr>
              <w:t>(99.9)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rPr>
              <w:t>(337.7)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672"/>
              <w:spacing w:after="0"/>
              <w:rPr>
                <w:sz w:val="20"/>
                <w:szCs w:val="20"/>
                <w:color w:val="auto"/>
              </w:rPr>
            </w:pPr>
            <w:r>
              <w:rPr>
                <w:rFonts w:ascii="Times New Roman" w:cs="Times New Roman" w:eastAsia="Times New Roman" w:hAnsi="Times New Roman"/>
                <w:sz w:val="18"/>
                <w:szCs w:val="18"/>
                <w:color w:val="auto"/>
              </w:rPr>
              <w:t>(430.8)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17"/>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701.3</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Consists of the following: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2016</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870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gridSpan w:val="2"/>
          </w:tcPr>
          <w:p>
            <w:pPr>
              <w:spacing w:after="0"/>
              <w:rPr>
                <w:sz w:val="7"/>
                <w:szCs w:val="7"/>
                <w:color w:val="auto"/>
              </w:rPr>
            </w:pPr>
          </w:p>
        </w:tc>
        <w:tc>
          <w:tcPr>
            <w:tcW w:w="7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deferred expenses and stock units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pursuant to tax receivable agreement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1" w:lineRule="exact"/>
        <w:rPr>
          <w:rFonts w:ascii="Times New Roman" w:cs="Times New Roman" w:eastAsia="Times New Roman" w:hAnsi="Times New Roman"/>
          <w:sz w:val="18"/>
          <w:szCs w:val="18"/>
          <w:color w:val="auto"/>
        </w:rPr>
      </w:pPr>
    </w:p>
    <w:p>
      <w:pPr>
        <w:ind w:left="460" w:right="280" w:hanging="452"/>
        <w:spacing w:after="0" w:line="25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 and activity relating to borrowings, including, in 2015, the redemption of a majority of the Company’s 2017 Notes and issuance of the 2025 Notes.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74"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Lazard’s condensed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39"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March 31, 2016, Lazard had approximately $701 million of cash, with such amount including approximately $421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08"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maintain lines of credit in excess of anticipated liquidity requirements. As of March 31, 2016, Lazard had approximately $241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$34 million (at March 31, 2016 exchange rates) and Edgewater of $55 million. In addition, LFB has access to the Eurosystem Covered Bond Purchase Program of the Banque de France.</w:t>
      </w:r>
    </w:p>
    <w:p>
      <w:pPr>
        <w:spacing w:after="0" w:line="10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March 31,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March 31, 2016</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center"/>
              <w:ind w:left="62"/>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 2015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9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3"/>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Unamortized</w:t>
            </w:r>
          </w:p>
        </w:tc>
        <w:tc>
          <w:tcPr>
            <w:tcW w:w="5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tcPr>
          <w:p>
            <w:pPr>
              <w:jc w:val="right"/>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Unamortized</w:t>
            </w:r>
          </w:p>
        </w:tc>
        <w:tc>
          <w:tcPr>
            <w:tcW w:w="140" w:type="dxa"/>
            <w:vAlign w:val="bottom"/>
          </w:tcPr>
          <w:p>
            <w:pPr>
              <w:spacing w:after="0"/>
              <w:rPr>
                <w:sz w:val="10"/>
                <w:szCs w:val="10"/>
                <w:color w:val="auto"/>
              </w:rPr>
            </w:pPr>
          </w:p>
        </w:tc>
        <w:tc>
          <w:tcPr>
            <w:tcW w:w="5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continue"/>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0"/>
              </w:rPr>
              <w:t>Principal</w:t>
            </w:r>
          </w:p>
        </w:tc>
        <w:tc>
          <w:tcPr>
            <w:tcW w:w="44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Principal</w:t>
            </w:r>
          </w:p>
        </w:tc>
        <w:tc>
          <w:tcPr>
            <w:tcW w:w="44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0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2017 Senior Notes</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7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98.2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7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2020 Senior Notes</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2025 Senior Notes</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400.0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998.4</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$ 989.7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998.4</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3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7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2016, Lazard Group was in compliance with such ratios, with its Consolidated Leverage Ratio being 1.10 to 1.00 and its Consolidated Interest Coverage Ratio being 21.22 to 1.00. In any event, no amounts were outstanding under the Amended and Restated Credit Agreement as of March 31, 2016.</w:t>
      </w:r>
    </w:p>
    <w:p>
      <w:pPr>
        <w:spacing w:after="0" w:line="14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2016, total stockholders’ equity was $1,223 million, as compared to $1,367 million at December 31, 2015, including $1,165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$1,313 million attributable to Lazard Ltd on the respective dates. The net activity in stockholders’ equity during the three month period ended March 31, 2016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in the table below (in millions of dollars):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Equity—January 1, 2016</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83"/>
        </w:trPr>
        <w:tc>
          <w:tcPr>
            <w:tcW w:w="86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Increase (decrease) due to:</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2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 of share-based incentive compensation, net of related tax benefit of $7(a)</w:t>
            </w:r>
          </w:p>
        </w:tc>
        <w:tc>
          <w:tcPr>
            <w:tcW w:w="2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2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2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Other—net</w:t>
            </w:r>
          </w:p>
        </w:tc>
        <w:tc>
          <w:tcPr>
            <w:tcW w:w="17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Equity—March 31, 2016</w:t>
            </w:r>
          </w:p>
        </w:tc>
        <w:tc>
          <w:tcPr>
            <w:tcW w:w="2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8800" w:type="dxa"/>
            <w:vAlign w:val="bottom"/>
            <w:gridSpan w:val="3"/>
          </w:tcPr>
          <w:p>
            <w:pPr>
              <w:ind w:left="7680"/>
              <w:spacing w:after="0"/>
              <w:rPr>
                <w:sz w:val="20"/>
                <w:szCs w:val="20"/>
                <w:color w:val="auto"/>
              </w:rPr>
            </w:pPr>
            <w:r>
              <w:rPr>
                <w:rFonts w:ascii="Times New Roman" w:cs="Times New Roman" w:eastAsia="Times New Roman" w:hAnsi="Times New Roman"/>
                <w:sz w:val="18"/>
                <w:szCs w:val="18"/>
                <w:color w:val="auto"/>
              </w:rPr>
              <w:t>1,677,464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8800" w:type="dxa"/>
            <w:vAlign w:val="bottom"/>
            <w:gridSpan w:val="3"/>
            <w:shd w:val="clear" w:color="auto" w:fill="CCEEFF"/>
          </w:tcPr>
          <w:p>
            <w:pPr>
              <w:ind w:left="7680"/>
              <w:spacing w:after="0"/>
              <w:rPr>
                <w:sz w:val="20"/>
                <w:szCs w:val="20"/>
                <w:color w:val="auto"/>
              </w:rPr>
            </w:pPr>
            <w:r>
              <w:rPr>
                <w:rFonts w:ascii="Times New Roman" w:cs="Times New Roman" w:eastAsia="Times New Roman" w:hAnsi="Times New Roman"/>
                <w:sz w:val="18"/>
                <w:szCs w:val="18"/>
                <w:color w:val="auto"/>
              </w:rPr>
              <w:t>2,424,571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2016, a total of $223 million of share repurchase authorization remained available under the Company’s share repurchase program, $23 million of which will expire on December 31, 2016 and $200 million of which will expire on December 31, 2017.</w:t>
      </w:r>
    </w:p>
    <w:p>
      <w:pPr>
        <w:spacing w:after="0" w:line="120"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In addition, on April 20, 2016, the Board of Directors of Lazard authorized the repurchase of additional shares of Class A common stock, which authorization will expire on December 31, 2017, bringing the total share repurchase authorization to $300 million.</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During the three month period ended March 31, 2016, the Company had in place trading plans under Rule 10b5-1 of the Securities Exchange Act of 1934, pursuant to which it effected stock repurchases in the open market.</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See Notes 11 and 12 of Notes to Condensed Consolidated Financial Statements for additional information regarding Lazard’s stockholders’ equity and incentive plans,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March 31,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$ 1,248,997</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42,987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$ 174,218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$ 572,500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$ 459,292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$59,743 of committed sublease income)</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851,500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77,763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140,391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121,066</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(including interest)</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9,522</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capital funding commitments (b)</w:t>
            </w:r>
          </w:p>
        </w:tc>
        <w:tc>
          <w:tcPr>
            <w:tcW w:w="9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9,183</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$ 2,119,202</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$ 132,063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$ 321,981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$ 693,586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$ 971,572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of Notes to Condensed Consolidated Financial Statements.</w:t>
      </w:r>
    </w:p>
    <w:p>
      <w:pPr>
        <w:spacing w:after="0" w:line="21" w:lineRule="exact"/>
        <w:rPr>
          <w:rFonts w:ascii="Times New Roman" w:cs="Times New Roman" w:eastAsia="Times New Roman" w:hAnsi="Times New Roman"/>
          <w:sz w:val="18"/>
          <w:szCs w:val="18"/>
          <w:color w:val="auto"/>
        </w:rPr>
      </w:pPr>
    </w:p>
    <w:p>
      <w:pPr>
        <w:jc w:val="both"/>
        <w:ind w:left="460" w:right="60" w:hanging="452"/>
        <w:spacing w:after="0" w:line="250"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$5,013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Times New Roman" w:cs="Times New Roman" w:eastAsia="Times New Roman" w:hAnsi="Times New Roman"/>
          <w:sz w:val="18"/>
          <w:szCs w:val="18"/>
          <w:color w:val="auto"/>
        </w:rPr>
      </w:pPr>
    </w:p>
    <w:p>
      <w:pPr>
        <w:ind w:left="460" w:right="40" w:hanging="452"/>
        <w:spacing w:after="0" w:line="292" w:lineRule="auto"/>
        <w:tabs>
          <w:tab w:leader="none" w:pos="4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March 31, 2016, a tax receivable agreement obligation of $513,648 was recorded on the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80" w:firstLine="456"/>
        <w:spacing w:after="0" w:line="291" w:lineRule="auto"/>
        <w:rPr>
          <w:sz w:val="20"/>
          <w:szCs w:val="20"/>
          <w:color w:val="auto"/>
        </w:rPr>
      </w:pPr>
      <w:r>
        <w:rPr>
          <w:rFonts w:ascii="Times New Roman" w:cs="Times New Roman" w:eastAsia="Times New Roman" w:hAnsi="Times New Roman"/>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39"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Liabilities</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$1.28 billion, with such amount partially offset by a valuation allowance of approximately $89.3 million.</w:t>
      </w:r>
    </w:p>
    <w:p>
      <w:pPr>
        <w:spacing w:after="0" w:line="136"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3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13"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As a result, during the year ended December 31, 2015, we recorded a deferred tax benefit of approximately $878 million. We also recorded a separate deferred tax benefit of $378 million that reflected the tax deductibility of payments under the tax receivable agreement. In addition, we recorded a deferred tax expense of approximately $161 million relating to the reduction of a deferred tax asset as a result of the partial extinguishment of our tax</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auto"/>
        </w:rPr>
        <w:t>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7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a result of the release of our valuation allowance during 2015, we expect that, beginning in 2016, our effective tax rate, with all other factors being held constant, could be significantly higher than our effective tax rate for the year ended December 31, 2014. In such a situation, with all other factors being held constant, an increase in our effective tax rate as a result of the reduction in the valuation allowance would not impact the amount of cash income taxes we would pay to taxing authorities. However, as described below, payments under the Amended and Restated Tax Receivable Agreement may be required in subsequent periods.</w:t>
      </w:r>
    </w:p>
    <w:p>
      <w:pPr>
        <w:spacing w:after="0" w:line="139"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08"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See Item 1A, “Risk Factors” in our Form 10-K and Note 14 of Notes to Condensed Consolidated Financial Statements for additional information related to income taxes.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Amended and Restated Tax Receivable Agreement</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In addition, in the third quarter of 2015, we purchased a portion of our obligation relating to the tax receivable agreement, which had the effect of reducing such liability. See Note 16 of Notes to Condensed Consolidated Financial Statements for additional information regarding the Amended and Restated Tax Receivable Agreement.</w:t>
      </w:r>
    </w:p>
    <w:p>
      <w:pPr>
        <w:spacing w:after="0" w:line="139" w:lineRule="exact"/>
        <w:rPr>
          <w:sz w:val="20"/>
          <w:szCs w:val="20"/>
          <w:color w:val="auto"/>
        </w:rPr>
      </w:pPr>
    </w:p>
    <w:p>
      <w:pPr>
        <w:ind w:right="260" w:firstLine="456"/>
        <w:spacing w:after="0" w:line="296" w:lineRule="auto"/>
        <w:rPr>
          <w:sz w:val="20"/>
          <w:szCs w:val="20"/>
          <w:color w:val="auto"/>
        </w:rPr>
      </w:pPr>
      <w:r>
        <w:rPr>
          <w:rFonts w:ascii="Times New Roman" w:cs="Times New Roman" w:eastAsia="Times New Roman" w:hAnsi="Times New Roman"/>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08"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recorded as of March 31, 2016 and December 31, 2015 was $514 million and $524 million, respectively, and is recorded in “tax receivable agreement obligation” on the condensed consolidated statements of financial condition.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3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3"/>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Equities (a)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8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85,419</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134,857</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157,343</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Interest-bearing deposits (c)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 and other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6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166,411</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160,486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301,268</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317,829</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 (d)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Private equity consolidated, not owned (e)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LFI (f)</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134,241</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198,675</w:t>
            </w:r>
          </w:p>
        </w:tc>
        <w:tc>
          <w:tcPr>
            <w:tcW w:w="100" w:type="dxa"/>
            <w:vAlign w:val="bottom"/>
            <w:shd w:val="clear" w:color="auto" w:fill="CCEEFF"/>
          </w:tcPr>
          <w:p>
            <w:pPr>
              <w:spacing w:after="0"/>
              <w:rPr>
                <w:sz w:val="18"/>
                <w:szCs w:val="18"/>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460,281</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541,911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2016 and December 31, 2015, seed investments in directly owned equity securities were invested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88"/>
              </w:rPr>
              <w:t>March</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December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90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860" w:type="dxa"/>
            <w:vAlign w:val="bottom"/>
          </w:tcPr>
          <w:p>
            <w:pPr>
              <w:spacing w:after="0"/>
              <w:rPr>
                <w:sz w:val="12"/>
                <w:szCs w:val="12"/>
                <w:color w:val="auto"/>
              </w:rPr>
            </w:pPr>
          </w:p>
        </w:tc>
        <w:tc>
          <w:tcPr>
            <w:tcW w:w="62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4"/>
                <w:szCs w:val="14"/>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60" w:type="dxa"/>
            <w:vAlign w:val="bottom"/>
          </w:tcPr>
          <w:p>
            <w:pPr>
              <w:spacing w:after="0"/>
              <w:rPr>
                <w:sz w:val="14"/>
                <w:szCs w:val="14"/>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1040"/>
              <w:spacing w:after="0" w:line="196" w:lineRule="exact"/>
              <w:rPr>
                <w:sz w:val="20"/>
                <w:szCs w:val="20"/>
                <w:color w:val="auto"/>
              </w:rPr>
            </w:pPr>
            <w:r>
              <w:rPr>
                <w:rFonts w:ascii="Times New Roman" w:cs="Times New Roman" w:eastAsia="Times New Roman" w:hAnsi="Times New Roman"/>
                <w:sz w:val="18"/>
                <w:szCs w:val="18"/>
                <w:color w:val="auto"/>
              </w:rPr>
              <w:t>Percentage invested in:</w:t>
            </w:r>
          </w:p>
        </w:tc>
        <w:tc>
          <w:tcPr>
            <w:tcW w:w="4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Financials</w:t>
            </w:r>
          </w:p>
        </w:tc>
        <w:tc>
          <w:tcPr>
            <w:tcW w:w="57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Consumer</w:t>
            </w:r>
          </w:p>
        </w:tc>
        <w:tc>
          <w:tcPr>
            <w:tcW w:w="57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Industrial</w:t>
            </w:r>
          </w:p>
        </w:tc>
        <w:tc>
          <w:tcPr>
            <w:tcW w:w="57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Technology</w:t>
            </w:r>
          </w:p>
        </w:tc>
        <w:tc>
          <w:tcPr>
            <w:tcW w:w="57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Other</w:t>
            </w:r>
          </w:p>
        </w:tc>
        <w:tc>
          <w:tcPr>
            <w:tcW w:w="4480" w:type="dxa"/>
            <w:vAlign w:val="bottom"/>
          </w:tcPr>
          <w:p>
            <w:pPr>
              <w:spacing w:after="0"/>
              <w:rPr>
                <w:sz w:val="18"/>
                <w:szCs w:val="18"/>
                <w:color w:val="auto"/>
              </w:rPr>
            </w:pPr>
          </w:p>
        </w:tc>
        <w:tc>
          <w:tcPr>
            <w:tcW w:w="12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Total</w:t>
            </w:r>
          </w:p>
        </w:tc>
        <w:tc>
          <w:tcPr>
            <w:tcW w:w="4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80" w:type="dxa"/>
            <w:vAlign w:val="bottom"/>
            <w:vMerge w:val="restart"/>
          </w:tcPr>
          <w:p>
            <w:pPr>
              <w:jc w:val="right"/>
              <w:ind w:right="2978"/>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500" w:hanging="452"/>
        <w:spacing w:after="0" w:line="334" w:lineRule="auto"/>
        <w:tabs>
          <w:tab w:leader="none" w:pos="4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 equity investments include investments related to certain legacy businesses and co-investments in private equity funds managed by our Asset Management business. Co-investments owned were $32 million and $30 million as of March 31, 2016 and December 31, 2015, respectively.</w:t>
      </w:r>
    </w:p>
    <w:p>
      <w:pPr>
        <w:spacing w:after="0" w:line="1" w:lineRule="exact"/>
        <w:rPr>
          <w:rFonts w:ascii="Times New Roman" w:cs="Times New Roman" w:eastAsia="Times New Roman" w:hAnsi="Times New Roman"/>
          <w:sz w:val="16"/>
          <w:szCs w:val="16"/>
          <w:color w:val="auto"/>
        </w:rPr>
      </w:pPr>
    </w:p>
    <w:p>
      <w:pPr>
        <w:ind w:left="460" w:right="160" w:hanging="452"/>
        <w:spacing w:after="0" w:line="258"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accounted for under the equity method of accounting.</w:t>
      </w:r>
    </w:p>
    <w:p>
      <w:pPr>
        <w:spacing w:after="0" w:line="90"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51" w:lineRule="exact"/>
        <w:rPr>
          <w:rFonts w:ascii="Times New Roman" w:cs="Times New Roman" w:eastAsia="Times New Roman" w:hAnsi="Times New Roman"/>
          <w:sz w:val="18"/>
          <w:szCs w:val="18"/>
          <w:color w:val="auto"/>
        </w:rPr>
      </w:pPr>
    </w:p>
    <w:p>
      <w:pPr>
        <w:ind w:left="460" w:right="100" w:hanging="452"/>
        <w:spacing w:after="0" w:line="258"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3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At March 31, 2016 and December 31, 2015, total investments with a fair value of $395 million and $478 million, respectively, included $1 million at each such date, or less than 1%, respectively, of investments that were classified as Level 3 investments and $130 million and $123 million, respectively, or 33% and 26%,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As of March 31, 2016 and December 31, 2015, the Company held seed investments of approximately $135 million and $157 million, respectively. Seed investments held in entities in which the Company maintained a controlling interest were $33 million in nine entities as of March 31, 2016, as compared to $60 million in twelve entities as of December 31, 2015.</w:t>
      </w:r>
    </w:p>
    <w:p>
      <w:pPr>
        <w:spacing w:after="0" w:line="132"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As of March 31, 2016 and December 31, 2015, the Company did not consolidate or deconsolidate any seed investment entities. As such, 100% of the recorded balance of seed investments as of March 31, 2016 and December 31, 2015 represented the Company’s economic interest in the seed investments. See “—Consolidation of Variable Interest Entities” below for more information on the Company’s policy regarding the consolidation of seed investment entities.</w:t>
      </w:r>
    </w:p>
    <w:p>
      <w:pPr>
        <w:spacing w:after="0" w:line="9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94"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1" w:lineRule="exact"/>
        <w:rPr>
          <w:sz w:val="20"/>
          <w:szCs w:val="20"/>
          <w:color w:val="auto"/>
        </w:rPr>
      </w:pPr>
    </w:p>
    <w:p>
      <w:pPr>
        <w:ind w:left="900" w:right="340" w:hanging="325"/>
        <w:spacing w:after="0" w:line="26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1" w:lineRule="exact"/>
        <w:rPr>
          <w:rFonts w:ascii="Times New Roman" w:cs="Times New Roman" w:eastAsia="Times New Roman" w:hAnsi="Times New Roman"/>
          <w:sz w:val="18"/>
          <w:szCs w:val="18"/>
          <w:color w:val="auto"/>
        </w:rPr>
      </w:pPr>
    </w:p>
    <w:p>
      <w:pPr>
        <w:ind w:left="900" w:hanging="325"/>
        <w:spacing w:after="0" w:line="287" w:lineRule="auto"/>
        <w:tabs>
          <w:tab w:leader="none" w:pos="9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w:t>
      </w: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 the obligation to absorb losses of, or receive benefits from, the VIE that could be potentially significant to the VIE.</w:t>
      </w:r>
    </w:p>
    <w:p>
      <w:pPr>
        <w:spacing w:after="0" w:line="159"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39"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6" w:lineRule="exact"/>
        <w:rPr>
          <w:sz w:val="20"/>
          <w:szCs w:val="20"/>
          <w:color w:val="auto"/>
        </w:rPr>
      </w:pPr>
    </w:p>
    <w:p>
      <w:pPr>
        <w:ind w:right="180" w:firstLine="456"/>
        <w:spacing w:after="0" w:line="296" w:lineRule="auto"/>
        <w:rPr>
          <w:sz w:val="20"/>
          <w:szCs w:val="20"/>
          <w:color w:val="auto"/>
        </w:rPr>
      </w:pPr>
      <w:r>
        <w:rPr>
          <w:rFonts w:ascii="Times New Roman" w:cs="Times New Roman" w:eastAsia="Times New Roman" w:hAnsi="Times New Roman"/>
          <w:sz w:val="16"/>
          <w:szCs w:val="16"/>
          <w:color w:val="auto"/>
        </w:rPr>
        <w:t>Equity Market Price Risk—At March 31, 2016 and December 31, 2015, the Company’s exposure to equity market price risk in its investment portfolio, which primarily relates to investments in equity securities, equity funds and hedge funds, was approximately $105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$0.3 million and $1.8 million in the carrying value of such investments as of March 31, 2016 and December 31, 2015, respectively, including the effect of the hedging transactions.</w:t>
      </w:r>
    </w:p>
    <w:p>
      <w:pPr>
        <w:spacing w:after="0" w:line="10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Interest Rate/Credit Spread Risk—At March 31, 2016 and December 31, 2015, the Company’s exposure to interest rate and credit spread risk in its investment portfolio related to investments in debt securities or funds which invest primarily in debt securities was $50 million and $50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$0.8 million in the carrying value of such investments as of March 31, 2016 and December 31, 2015, respectively, including the effect of the hedging transactions.</w:t>
      </w:r>
    </w:p>
    <w:p>
      <w:pPr>
        <w:spacing w:after="0" w:line="13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Foreign Exchange Rate Risk—At March 31, 2016 and December 31, 2015, the Company’s exposure to foreign exchange rate risk in its investment portfolio, which primarily relates to investments in foreign currency denominated equity and debt securities, was $58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$1.2 million and $1.0 million in the carrying value of such investments as of March 31, 2016 and December 31, 2015, respectively, including the effect of the hedging transactions.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March 31, 2016 and December 31, 2015, the Company’s exposure to changes in fair value of such investments was approximately $88 million and $84 million, respectively. The Company estimates that a hypothetical 10% adverse change in fair value would result in a decrease of approximately $8.8 million and $8.4 million in the carrying value of such investments as of March 31, 2016 and December 31, 2015, respectively.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455" w:right="2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maintain an allowance for doubtful accounts to provide coverage for probable losses from our receivables. We determine the adequacy of the allowance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estimating the probability of loss based on our analysis of the client’s creditworthiness, among other things, and specifically provide for exposures where we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determine the receivables are impaired. At March 31, 2016, total receivables amounted to $515 million, net of an allowance for doubtful accounts of $11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that date, Financial Advisory and Asset Management fees, and customers and other receivables comprised 81% and 19% of total receivables,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December 31, 2015, total receivables amounted to $497 million, net of an allowance for doubtful accounts of $13 million. As of that date, Financial Advisory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Asset Management fees, and customers and other receivables comprised 85% and 15% of total receivables, respectively. At March 31, 2016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2015, the Company had receivables past due or deemed uncollectible of approximately $16 million and $20 million, respectively. See also “Critical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Policies and Estimates—Revenue Recognition” above and Note 3 of Notes to Condensed Consolidated Financial Statements for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receivables.</w:t>
      </w:r>
    </w:p>
    <w:p>
      <w:pPr>
        <w:spacing w:after="0" w:line="159"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(primarily for clients of LFG). At March 31, 2016 and December 31, 2015, customer receivables included $46 million and $38 million of LFB loans, respectively, with such loans being fully collateralized and closely monitored for counterparty creditworthiness.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$1 million at March 31, 2016 and December 31, 2015, respectively, and derivative liabilities, excluding the derivative liability arising from the Company’s obligation pertaining to LFI and other similar deferred compensation arrangements, amounted to $9 million and $2 million at such respective dates.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$180 million and $194 million at March 31, 2016 and December 31, 2015,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 significant portion of the Company’s indebtedness has fixed interest rates, while its cash and cash equivalents generally have market interest rates. Based on account balances as of March 31, 2016, Lazard estimates that its annual operating income relating to cash and cash equivalents would increase by approximately $7 million in the event interest rates were to increase by 1% and decrease by approximately $7 million if rates were to decrease by 1%.</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As of March 31, 2016, the Company’s cash and cash equivalents totaled approximately $701 million. Substantially all of the Company’s cash and cash equivalents were invested in (i) highly liquid institutional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41"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Except for the updated risk factors set forth below, there were no material changes from the risk factors previously disclosed in the Company’s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Outcome of future U.S. tax legislation and regulation is unknown at the present time.</w:t>
      </w:r>
    </w:p>
    <w:p>
      <w:pPr>
        <w:spacing w:after="0" w:line="92" w:lineRule="exact"/>
        <w:rPr>
          <w:sz w:val="20"/>
          <w:szCs w:val="20"/>
          <w:color w:val="auto"/>
        </w:rPr>
      </w:pPr>
    </w:p>
    <w:p>
      <w:pPr>
        <w:ind w:right="120" w:firstLine="456"/>
        <w:spacing w:after="0" w:line="290" w:lineRule="auto"/>
        <w:rPr>
          <w:sz w:val="20"/>
          <w:szCs w:val="20"/>
          <w:color w:val="auto"/>
        </w:rPr>
      </w:pPr>
      <w:r>
        <w:rPr>
          <w:rFonts w:ascii="Times New Roman" w:cs="Times New Roman" w:eastAsia="Times New Roman" w:hAnsi="Times New Roman"/>
          <w:sz w:val="16"/>
          <w:szCs w:val="16"/>
          <w:color w:val="auto"/>
        </w:rPr>
        <w:t>On February 9, 2016, the Executive Branch submitted its 2017 budget proposals to Congress. The 2017 budget submission included several items that could generate additional tax revenue, including proposals to limit the deduction of certain related party interest and interest attributable to certain classes of foreign source income. In addition, on April 4, 2016, the Treasury Department issued proposed regulations addressing the U.S. income tax treatment of debt between related parties that would, if implemented, limit the deduction of interest in respect of such debt that is issued after the date of the proposed regulations. Legislation also may be proposed that, if enacted, would reclassify certain types of foreign corporations as U.S. corporations for U.S. tax purposes if the management and control of such entities occurs primarily within the U.S. We are currently unable to predict the ultimate outcome of any of these actual or potential proposals. If they are enacted, however, we expect that some of these proposals would increase Lazard’s effective tax rate during future periods; with respect to the proposed Treasury Department regulations described above, any increases should only affect periods beginning after 2024.</w:t>
      </w:r>
    </w:p>
    <w:p>
      <w:pPr>
        <w:spacing w:after="0" w:line="19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3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88" w:lineRule="auto"/>
        <w:rPr>
          <w:sz w:val="20"/>
          <w:szCs w:val="20"/>
          <w:color w:val="auto"/>
        </w:rPr>
      </w:pPr>
      <w:r>
        <w:rPr>
          <w:rFonts w:ascii="Times New Roman" w:cs="Times New Roman" w:eastAsia="Times New Roman" w:hAnsi="Times New Roman"/>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3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existing tax laws and regulations are under review in the U.S. and in many other jurisdictions in which we and our clients operate. Actual and proposed changes to these laws and regulations may reduce the level of M&amp;A activity, including cross-border M&amp;A activity.</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39"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2015, our Asset Management business obtained research and other services through third-party soft dollar arrangements, the total cost of which we estimate to be approximately $24 million. If the use of soft dollars were to be limited, we would have to bear some of these costs. In addition, new regulations regarding the management of hedge funds, UCITs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335"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See “Business—Regulation” in our Annual Report on Form 10-K for the year ended December 31, 2015 for a further discussion of the regulatory environment in which we conduct our businesses.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Lazard’s purchases of its Class A common stock on a monthly basis during the first quarter of 2016.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are recorded on a trade date basis.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as</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Part of Publicly</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Paid</w:t>
            </w:r>
          </w:p>
        </w:tc>
        <w:tc>
          <w:tcPr>
            <w:tcW w:w="14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c>
          <w:tcPr>
            <w:tcW w:w="0" w:type="dxa"/>
            <w:vAlign w:val="bottom"/>
          </w:tcPr>
          <w:p>
            <w:pPr>
              <w:spacing w:after="0"/>
              <w:rPr>
                <w:sz w:val="1"/>
                <w:szCs w:val="1"/>
                <w:color w:val="auto"/>
              </w:rPr>
            </w:pPr>
          </w:p>
        </w:tc>
      </w:tr>
      <w:tr>
        <w:trPr>
          <w:trHeight w:val="149"/>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 or</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 the Plans or</w:t>
            </w:r>
          </w:p>
        </w:tc>
        <w:tc>
          <w:tcPr>
            <w:tcW w:w="0" w:type="dxa"/>
            <w:vAlign w:val="bottom"/>
          </w:tcPr>
          <w:p>
            <w:pPr>
              <w:spacing w:after="0"/>
              <w:rPr>
                <w:sz w:val="1"/>
                <w:szCs w:val="1"/>
                <w:color w:val="auto"/>
              </w:rPr>
            </w:pPr>
          </w:p>
        </w:tc>
      </w:tr>
      <w:tr>
        <w:trPr>
          <w:trHeight w:val="152"/>
        </w:trPr>
        <w:tc>
          <w:tcPr>
            <w:tcW w:w="5640" w:type="dxa"/>
            <w:vAlign w:val="bottom"/>
            <w:gridSpan w:val="3"/>
            <w:vMerge w:val="continue"/>
          </w:tcPr>
          <w:p>
            <w:pPr>
              <w:spacing w:after="0"/>
              <w:rPr>
                <w:sz w:val="13"/>
                <w:szCs w:val="13"/>
                <w:color w:val="auto"/>
              </w:rPr>
            </w:pPr>
          </w:p>
        </w:tc>
        <w:tc>
          <w:tcPr>
            <w:tcW w:w="10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260" w:type="dxa"/>
            <w:vAlign w:val="bottom"/>
          </w:tcPr>
          <w:p>
            <w:pPr>
              <w:spacing w:after="0"/>
              <w:rPr>
                <w:sz w:val="13"/>
                <w:szCs w:val="13"/>
                <w:color w:val="auto"/>
              </w:rPr>
            </w:pPr>
          </w:p>
        </w:tc>
        <w:tc>
          <w:tcPr>
            <w:tcW w:w="1000" w:type="dxa"/>
            <w:vAlign w:val="bottom"/>
            <w:gridSpan w:val="3"/>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420" w:type="dxa"/>
            <w:vAlign w:val="bottom"/>
            <w:gridSpan w:val="2"/>
          </w:tcPr>
          <w:p>
            <w:pPr>
              <w:jc w:val="center"/>
              <w:ind w:right="520"/>
              <w:spacing w:after="0" w:line="152" w:lineRule="exact"/>
              <w:rPr>
                <w:sz w:val="20"/>
                <w:szCs w:val="20"/>
                <w:color w:val="auto"/>
              </w:rPr>
            </w:pPr>
            <w:r>
              <w:rPr>
                <w:rFonts w:ascii="Times New Roman" w:cs="Times New Roman" w:eastAsia="Times New Roman" w:hAnsi="Times New Roman"/>
                <w:sz w:val="14"/>
                <w:szCs w:val="14"/>
                <w:b w:val="1"/>
                <w:bCs w:val="1"/>
                <w:color w:val="auto"/>
                <w:w w:val="98"/>
              </w:rPr>
              <w:t>Programs</w:t>
            </w:r>
          </w:p>
        </w:tc>
        <w:tc>
          <w:tcPr>
            <w:tcW w:w="118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January 1 – January 31, 2016</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196,015</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36.70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196,015</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$ 299.0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February 1 – February 29, 2016</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1,304,602</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31.72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1,304,602</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$ 257.6 million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236,526</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30.08</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1 – March 31, 2016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923,954</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37.41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923,954</w:t>
            </w:r>
          </w:p>
        </w:tc>
        <w:tc>
          <w:tcPr>
            <w:tcW w:w="5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$ 223.0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1,232,837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35.16</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2,424,571</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34.29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2,424,571</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$ 223.0 million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1,469,363</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34.34</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20" w:hanging="452"/>
        <w:spacing w:after="0" w:line="275"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2016 and for the years ended December 31, 2015, 2014, and 2013, the Board of Directors of Lazard authorized the repurchase of Class A common stock as set forth in the table below.</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3000" w:type="dxa"/>
            <w:vAlign w:val="bottom"/>
            <w:vMerge w:val="restart"/>
          </w:tcPr>
          <w:p>
            <w:pPr>
              <w:spacing w:after="0"/>
              <w:rPr>
                <w:sz w:val="13"/>
                <w:szCs w:val="13"/>
                <w:color w:val="auto"/>
              </w:rPr>
            </w:pPr>
          </w:p>
        </w:tc>
        <w:tc>
          <w:tcPr>
            <w:tcW w:w="2240" w:type="dxa"/>
            <w:vAlign w:val="bottom"/>
          </w:tcPr>
          <w:p>
            <w:pPr>
              <w:spacing w:after="0"/>
              <w:rPr>
                <w:sz w:val="13"/>
                <w:szCs w:val="13"/>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54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Authorization</w:t>
            </w:r>
          </w:p>
        </w:tc>
        <w:tc>
          <w:tcPr>
            <w:tcW w:w="1620" w:type="dxa"/>
            <w:vAlign w:val="bottom"/>
            <w:gridSpan w:val="2"/>
          </w:tcPr>
          <w:p>
            <w:pPr>
              <w:ind w:left="440"/>
              <w:spacing w:after="0" w:line="152"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2013</w:t>
            </w:r>
          </w:p>
        </w:tc>
        <w:tc>
          <w:tcPr>
            <w:tcW w:w="2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7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6"/>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2014</w:t>
            </w:r>
          </w:p>
        </w:tc>
        <w:tc>
          <w:tcPr>
            <w:tcW w:w="24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42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22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24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right="680"/>
        <w:spacing w:after="0" w:line="275" w:lineRule="auto"/>
        <w:rPr>
          <w:sz w:val="20"/>
          <w:szCs w:val="20"/>
          <w:color w:val="auto"/>
        </w:rPr>
      </w:pPr>
      <w:r>
        <w:rPr>
          <w:rFonts w:ascii="Times New Roman" w:cs="Times New Roman" w:eastAsia="Times New Roman" w:hAnsi="Times New Roman"/>
          <w:sz w:val="18"/>
          <w:szCs w:val="18"/>
          <w:color w:val="auto"/>
        </w:rPr>
        <w:t>In addition, on April 20, 2016, the Board of Directors of Lazard authorized the repurchase of additional shares of Class A common stock, which authorization will expire on December 31, 2017, bringing the total share repurchase authorization to $300 million.</w:t>
      </w:r>
    </w:p>
    <w:p>
      <w:pPr>
        <w:spacing w:after="0" w:line="120"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share repurchase program is used primarily to offset a portion of the shares that have been or will be issued under the 2008 Plan and the 2005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240" w:top="455" w:right="3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line="256"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2008 Plan and the 2005 Plan, which expired in the second quarter of 2015, upon the vesting of RSUs, PRSUs and delivery of restricted Class A common stock, shares of Class A common stock may be withheld by the Company to meet the minimum statutory tax withholding requirements. During the three month period ended March 31, 2016, the Company satisfied such obligations in lieu of issuing (i) 1,391,568 shares of Class A common stock upon the vesting of 4,517,210 RSUs (including certain PRSUs) and (ii) 77,795 shares of Class A common stock upon the vesting of 627,110 shares of restricted Class A common stock.</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240" w:top="455" w:right="3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1058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105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6"/>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and Memorandum of Association of the Registrant (incorporated by reference to Exhibit 3.1 to the Registrant’s</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Registration 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Incorporation in Change of Name of the Registrant (incorporated by reference to Exhibit 3.2 to the Registrant’s Registration</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Statement (File No. 333-121407) on Form S-1/A filed on March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Bye-Laws of Lazard Ltd (incorporated by reference to Exhibit 3.3 to the Registrant’s Quarterly Report (File No. 001-</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32492) on Form 10-Q filed on June 16,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First Amendment to Amended and Restated Bye-Laws of Lazard Ltd (incorporated by reference to Exhibit 3.4 to the Registrant’s Quarterly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Report (File No. 001-32492) on Form 10-Q filed on May 9, 2008).</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3.5</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Second Amendment to the Amended and Restated Bye-Laws of Lazard Ltd (incorporated by reference to Exhibit 3.5 to the Registrant’s</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Quarterly Report (File No. 001-32492) on Form 10-Q filed on April 30, 2010).</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Form of Specimen Certificate for Class A common stock (incorporated by reference to Exhibit 4.1 to the Registrant’s Registration Statement</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 No. 333-121407) on Form S-1/A filed on April 11,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Indenture, dated as of May 10, 2005, by and between Lazard Group LLC and The Bank of New York, as Trustee (incorporated by reference to</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4.1 to Lazard Group LLC’s Registration Statement (File No. 333-126751) on Form S-4 filed on July 21, 2005).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Fourth Supplemental Indenture, dated as of June 21, 2007, between Lazard Group LLC and The Bank of New York, as trustee (incorporated by</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001-32492) filed on June 22, 2007).</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4.4</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Fifth Supplemental Indenture, dated as of November 14, 2013, between Lazard Group LLC and The Bank of New York Mellon, as trustee</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(incorporated by reference to Exhibit 4.1 to the Registrant’s Current Report on Form 8-K (File No. 001-32492) filed on November 14, 2013).</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Sixth Supplemental Indenture, dated as of February 13, 2015, between Lazard Group LLC and The Bank of New York Mellon, as trustee</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(incorporated by reference to Exhibit 4.1 of the Registrant’s Current Report on Form 8-K (File No. 001-32492) filed on February 13, 2015).</w:t>
            </w:r>
          </w:p>
        </w:tc>
      </w:tr>
      <w:tr>
        <w:trPr>
          <w:trHeight w:val="324"/>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4.6</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Senior Note (included in Exhibits 4.3, 4.4 and 4.5).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10.1</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Amended and Restated Operating Agreement of Lazard Group LLC, dated as of October 26, 2015 (incorporated by reference to Exhibit 10.1 to</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Quarterly Report (File No. 001-32492) on Form 10-Q filed on October 28, 2015).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10.2</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Second Amended and Restated Tax Receivable Agreement, dated as of October 26, 2015, by and among Ltd Sub A, Ltd Sub B and LTBP Trust</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(incorporated by reference to Exhibit 10.2 to the Registrant’s Quarterly Report (File No. 001-32492) on Form 10-Q filed on October 28, 2015).</w:t>
            </w:r>
          </w:p>
        </w:tc>
      </w:tr>
      <w:tr>
        <w:trPr>
          <w:trHeight w:val="312"/>
        </w:trPr>
        <w:tc>
          <w:tcPr>
            <w:tcW w:w="7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5"/>
              </w:rPr>
              <w:t>10.3</w:t>
            </w: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7"/>
              </w:rPr>
              <w:t>Lease, dated as of January 27, 1994, by and between Rockefeller Center Properties and Lazard Frères &amp; Co. LLC (incorporated by reference to</w:t>
            </w:r>
          </w:p>
        </w:tc>
      </w:tr>
      <w:tr>
        <w:trPr>
          <w:trHeight w:val="228"/>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10.19 to the Registrant’s Registration Statement (File No. 333-121407) on Form S-1/A filed on February 11, 2005).</w:t>
            </w:r>
          </w:p>
        </w:tc>
      </w:tr>
      <w:tr>
        <w:trPr>
          <w:trHeight w:val="365"/>
        </w:trPr>
        <w:tc>
          <w:tcPr>
            <w:tcW w:w="78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360"/>
          </w:cols>
          <w:pgMar w:left="240" w:top="455" w:right="2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dated as of January 27, 1994, by and among Rockefeller Center Properties and Lazard Frères &amp; Co. LLC (incorporated by reference to Exhibit</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10.16 to the Registrant’s Quarterly Report (File No. 001-32492) on Form 10-Q filed on April 29,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Burford (Stratton) Limited, Lazard &amp; Co., Limited and Lazard LLC (incorporated by reference to Exhibit 10.21 to the Registrant’s Registration</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 (File No. 333-121407) on Form S-1/A filed on February 11,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Lazard Ltd 2005 Equity Incentive Plan (incorporated by reference to Exhibit 10.21 to the Registrant’s Registration Statement (File No. 333-</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121407) on Form S-1/A filed on May 2,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Lazard Ltd 2008 Incentive Compensation Plan (incorporated by reference to Annex B to the Registrant’s Definitive Proxy Statement on</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Lazard Ltd 2016 French Sub-plan (incorporated by reference to Annex B to the Registrant’s Definitive Proxy Statement on Schedule 14A (File</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001-32492) filed on March 10, 2016).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March 9, 2016, by and among</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Registrant, Lazard Group LLC and Kenneth M. Jacobs.</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March 9, 2016, by and among</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Registrant, Lazard Group LLC and Ashish Bhutani.</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March 9, 2016, by and among</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Registrant, Lazard Group LLC and Matthieu Bucaille.</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March 9, 2016, by and among</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Registrant, Lazard Group LLC and Scott D. Hoffman.</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Agreement relating to Retention and Noncompetition and Other Covenants, dated as of March 9, 2016, by and among</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Registrant, Lazard Group LLC and Alexander F. Stern.</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Form of Award Letter for Annual Grant of Deferred Stock Units to Non-Executive Directors (incorporated by reference to Exhibit 99.1 to the</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Current Report on Form 8-K (File No. 001-32492) filed on September 8, 2005).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10.41 to the 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 to Executive Officers (incorporated by reference to Exhibit 10.42 to the</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Annual Report (File No. 001-32492) on Form 10-K filed on March 2, 2009).</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Directors’ Fee Deferral Unit Plan (incorporated by reference to Exhibit 10.39 to the Registrant’s Quarterly Report (File No. 001-32492) on</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filed on May 11, 2006).</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Credit Agreement, dated as of September 25, 2015, among Lazard Group LLC, the Banks from time to time parties</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thereto, and Citibank, N.A., as Administrative Agent (incorporated by reference to Exhibit 10.27 to the Registrants’s Quarterly Report (File</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001-32492) on Form 10-Q filed on October 28, 2015).</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Form of Agreement evidencing a grant of Lazard Fund Interests to Named Executive Officers (incorporated by reference to Exhibit 10.55 to the</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Registrant’s Quarterly Report (File No. 001-32492) on Form 10-Q filed on May 1, 2013).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Agreement evidencing a February 20, 2014 grant of Performance-Based Stock Units under the 2008 Incentive Compensation Plan</w:t>
            </w:r>
          </w:p>
        </w:tc>
      </w:tr>
      <w:tr>
        <w:trPr>
          <w:trHeight w:val="228"/>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10.55 to the Registrant’s Quarterly Report (File No. 001-32492) on Form 10-Q filed May 6, 2014).</w:t>
            </w:r>
          </w:p>
        </w:tc>
      </w:tr>
      <w:tr>
        <w:trPr>
          <w:trHeight w:val="378"/>
        </w:trPr>
        <w:tc>
          <w:tcPr>
            <w:tcW w:w="8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96"/>
              </w:rPr>
              <w:t>10.21*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Agreement between the Company and Kenneth M. Jacobs, dated as of February 20, 2014, evidencing a grant of Performance-Based Stock Units</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the 2008 Incentive Compensation Plan (incorporated by reference to Exhibit 10.56 to the Registrant’s Quarterly Report</w:t>
            </w:r>
          </w:p>
        </w:tc>
      </w:tr>
      <w:tr>
        <w:trPr>
          <w:trHeight w:val="228"/>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(File No. 001-32492) on Form 10-Q filed on May 6, 2014).</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Kenneth M. Jacobs.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31.2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13a-14(a) Certification of Matthieu Bucaille.</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32.1</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Kenneth M. Jacobs.</w:t>
            </w:r>
          </w:p>
        </w:tc>
      </w:tr>
      <w:tr>
        <w:trPr>
          <w:trHeight w:val="324"/>
        </w:trPr>
        <w:tc>
          <w:tcPr>
            <w:tcW w:w="9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32.2</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2016</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Matthieu Bucaille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Matthieu Bucaille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Dominick Ragone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RELATING TO RETENTION AND</w:t>
      </w:r>
    </w:p>
    <w:p>
      <w:pPr>
        <w:jc w:val="center"/>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jc w:val="both"/>
        <w:ind w:right="120" w:firstLine="571"/>
        <w:spacing w:after="0" w:line="239" w:lineRule="auto"/>
        <w:rPr>
          <w:sz w:val="20"/>
          <w:szCs w:val="20"/>
          <w:color w:val="auto"/>
        </w:rPr>
      </w:pPr>
      <w:r>
        <w:rPr>
          <w:rFonts w:ascii="Times New Roman" w:cs="Times New Roman" w:eastAsia="Times New Roman" w:hAnsi="Times New Roman"/>
          <w:sz w:val="22"/>
          <w:szCs w:val="22"/>
          <w:color w:val="auto"/>
        </w:rPr>
        <w:t>AMENDED AND RESTATED AGREEMENT, dated as of March 9, 2016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Kenneth M. Jacobs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40" w:firstLine="571"/>
        <w:spacing w:after="0" w:line="244" w:lineRule="auto"/>
        <w:rPr>
          <w:sz w:val="20"/>
          <w:szCs w:val="20"/>
          <w:color w:val="auto"/>
        </w:rPr>
      </w:pPr>
      <w:r>
        <w:rPr>
          <w:rFonts w:ascii="Times New Roman" w:cs="Times New Roman" w:eastAsia="Times New Roman" w:hAnsi="Times New Roman"/>
          <w:sz w:val="22"/>
          <w:szCs w:val="22"/>
          <w:color w:val="auto"/>
        </w:rPr>
        <w:t>WHEREAS, the Executive previously entered into an Agreement Relating to Retention and Noncompetition and Other Covenants with Lazard and Lazard Group, dated as of March 18, 2005, as amended on March 23, 2010 and October 24, 2012 (such agreement, together with all schedules and attachments thereto, the “</w:t>
      </w:r>
      <w:r>
        <w:rPr>
          <w:rFonts w:ascii="Times New Roman" w:cs="Times New Roman" w:eastAsia="Times New Roman" w:hAnsi="Times New Roman"/>
          <w:sz w:val="22"/>
          <w:szCs w:val="22"/>
          <w:u w:val="single" w:color="auto"/>
          <w:color w:val="auto"/>
        </w:rPr>
        <w:t>Prior Retention Agreement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60" w:firstLine="571"/>
        <w:spacing w:after="0" w:line="238" w:lineRule="auto"/>
        <w:rPr>
          <w:sz w:val="20"/>
          <w:szCs w:val="20"/>
          <w:color w:val="auto"/>
        </w:rPr>
      </w:pPr>
      <w:r>
        <w:rPr>
          <w:rFonts w:ascii="Times New Roman" w:cs="Times New Roman" w:eastAsia="Times New Roman" w:hAnsi="Times New Roman"/>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77" w:lineRule="exact"/>
        <w:rPr>
          <w:sz w:val="20"/>
          <w:szCs w:val="20"/>
          <w:color w:val="auto"/>
        </w:rPr>
      </w:pPr>
    </w:p>
    <w:p>
      <w:pPr>
        <w:ind w:right="640" w:firstLine="571"/>
        <w:spacing w:after="0" w:line="258" w:lineRule="auto"/>
        <w:rPr>
          <w:sz w:val="20"/>
          <w:szCs w:val="20"/>
          <w:color w:val="auto"/>
        </w:rPr>
      </w:pPr>
      <w:r>
        <w:rPr>
          <w:rFonts w:ascii="Times New Roman" w:cs="Times New Roman" w:eastAsia="Times New Roman" w:hAnsi="Times New Roman"/>
          <w:sz w:val="22"/>
          <w:szCs w:val="22"/>
          <w:color w:val="auto"/>
        </w:rPr>
        <w:t>WHEREAS, as of the date hereof, the Executive is the “Chairman and Chief Executive Officer” of Lazard and Lazard Group.</w:t>
      </w:r>
    </w:p>
    <w:p>
      <w:pPr>
        <w:spacing w:after="0" w:line="158"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20" w:firstLine="579"/>
        <w:spacing w:after="0" w:line="234" w:lineRule="auto"/>
        <w:tabs>
          <w:tab w:leader="none" w:pos="116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w:t>
      </w:r>
    </w:p>
    <w:p>
      <w:pPr>
        <w:sectPr>
          <w:pgSz w:w="11900" w:h="16838" w:orient="portrait"/>
          <w:cols w:equalWidth="0" w:num="1">
            <w:col w:w="11420"/>
          </w:cols>
          <w:pgMar w:left="240" w:top="108" w:right="239" w:bottom="1440" w:gutter="0" w:footer="0" w:header="0"/>
        </w:sectPr>
      </w:pPr>
    </w:p>
    <w:bookmarkStart w:id="82" w:name="page83"/>
    <w:bookmarkEnd w:id="82"/>
    <w:p>
      <w:pPr>
        <w:ind w:right="6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69" w:lineRule="exact"/>
        <w:rPr>
          <w:sz w:val="20"/>
          <w:szCs w:val="20"/>
          <w:color w:val="auto"/>
        </w:rPr>
      </w:pPr>
    </w:p>
    <w:p>
      <w:pPr>
        <w:ind w:left="1180" w:hanging="601"/>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right="20" w:firstLine="579"/>
        <w:spacing w:after="0" w:line="258" w:lineRule="auto"/>
        <w:tabs>
          <w:tab w:leader="none" w:pos="116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firstLine="579"/>
        <w:spacing w:after="0" w:line="233" w:lineRule="auto"/>
        <w:tabs>
          <w:tab w:leader="none" w:pos="12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Responsibilities; Code of Conduct</w:t>
      </w:r>
      <w:r>
        <w:rPr>
          <w:rFonts w:ascii="Times New Roman" w:cs="Times New Roman" w:eastAsia="Times New Roman" w:hAnsi="Times New Roman"/>
          <w:sz w:val="22"/>
          <w:szCs w:val="22"/>
          <w:color w:val="auto"/>
        </w:rPr>
        <w:t>. During the Term until the Specified Expiration Date, the Executive shall continue to (i) serve as the Chief Executive Officer of Lazard and Lazard Group, with such authority, duties and responsibilities as are consistent with the authority, duties and responsibilities exercised by the Executive in his capacity as Chief Executive Officer on the date hereof, including the authority, duties and responsibilities that he exercises as the chief executive officer of a public company, (ii) serve as a member and as the Chairman of the Board of Directors of Lazard, with such authority, duties and responsibilities as are consistent with the authority, duties and responsibilities exercised by the Executive as Chairman of the Board of Directors of Lazard on the date hereof, (iii) report directly to the Board of Directors of Lazard and (iv) other than in respect of charitable, educational and similar activities that do not materially affect the Executive’s duties to the Firm (or in respect of directorships, trusteeships, or similar posts, in each case, that are approved by the Board of Directors of Lazard) shall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1" w:lineRule="exact"/>
        <w:rPr>
          <w:rFonts w:ascii="Times New Roman" w:cs="Times New Roman" w:eastAsia="Times New Roman" w:hAnsi="Times New Roman"/>
          <w:sz w:val="22"/>
          <w:szCs w:val="22"/>
          <w:color w:val="auto"/>
        </w:rPr>
      </w:pPr>
    </w:p>
    <w:p>
      <w:pPr>
        <w:ind w:left="1260" w:hanging="681"/>
        <w:spacing w:after="0"/>
        <w:tabs>
          <w:tab w:leader="none" w:pos="12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579"/>
        <w:spacing w:after="0" w:line="235" w:lineRule="auto"/>
        <w:tabs>
          <w:tab w:leader="none" w:pos="120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ending on the Specified Expiration Date, subject to the Executive’s continued employment hereunder, the Executive shall be entitled to receive an annual base salary of not less than $900,000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261" w:right="259" w:bottom="1440" w:gutter="0" w:footer="0" w:header="0"/>
        </w:sectPr>
      </w:pPr>
    </w:p>
    <w:bookmarkStart w:id="83" w:name="page84"/>
    <w:bookmarkEnd w:id="83"/>
    <w:p>
      <w:pPr>
        <w:ind w:right="40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decrease, unless such decrease is in line with an across-the-board base salary decrease to all managing directors in the same geographic location as the Executive.</w:t>
      </w:r>
    </w:p>
    <w:p>
      <w:pPr>
        <w:spacing w:after="0" w:line="158" w:lineRule="exact"/>
        <w:rPr>
          <w:sz w:val="20"/>
          <w:szCs w:val="20"/>
          <w:color w:val="auto"/>
        </w:rPr>
      </w:pPr>
    </w:p>
    <w:p>
      <w:pPr>
        <w:ind w:right="40" w:firstLine="579"/>
        <w:spacing w:after="0" w:line="245" w:lineRule="auto"/>
        <w:tabs>
          <w:tab w:leader="none" w:pos="126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71" w:lineRule="exact"/>
        <w:rPr>
          <w:rFonts w:ascii="Times New Roman" w:cs="Times New Roman" w:eastAsia="Times New Roman" w:hAnsi="Times New Roman"/>
          <w:sz w:val="21"/>
          <w:szCs w:val="21"/>
          <w:color w:val="auto"/>
        </w:rPr>
      </w:pPr>
    </w:p>
    <w:p>
      <w:pPr>
        <w:ind w:right="400" w:firstLine="579"/>
        <w:spacing w:after="0" w:line="244" w:lineRule="auto"/>
        <w:tabs>
          <w:tab w:leader="none" w:pos="132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3" w:lineRule="exact"/>
        <w:rPr>
          <w:rFonts w:ascii="Times New Roman" w:cs="Times New Roman" w:eastAsia="Times New Roman" w:hAnsi="Times New Roman"/>
          <w:sz w:val="22"/>
          <w:szCs w:val="22"/>
          <w:color w:val="auto"/>
        </w:rPr>
      </w:pPr>
    </w:p>
    <w:p>
      <w:pPr>
        <w:ind w:firstLine="579"/>
        <w:spacing w:after="0" w:line="234" w:lineRule="auto"/>
        <w:tabs>
          <w:tab w:leader="none" w:pos="131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 In addition, until the Specified Expiration Date, subject to the Executive’s continued employment, the Executive, shall continue to be entitled to receive fringe benefits and perquisites on the same basis as applied to the Executive immediately prior to the date hereof subject to the terms of the policies adopted by the Compensation Committee as in effect from time to time.</w:t>
      </w:r>
    </w:p>
    <w:p>
      <w:pPr>
        <w:spacing w:after="0" w:line="184" w:lineRule="exact"/>
        <w:rPr>
          <w:sz w:val="20"/>
          <w:szCs w:val="20"/>
          <w:color w:val="auto"/>
        </w:rPr>
      </w:pPr>
    </w:p>
    <w:p>
      <w:pPr>
        <w:ind w:right="220" w:firstLine="579"/>
        <w:spacing w:after="0" w:line="244" w:lineRule="auto"/>
        <w:tabs>
          <w:tab w:leader="none" w:pos="12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261" w:right="239" w:bottom="1440" w:gutter="0" w:footer="0" w:header="0"/>
        </w:sectPr>
      </w:pPr>
    </w:p>
    <w:bookmarkStart w:id="84" w:name="page85"/>
    <w:bookmarkEnd w:id="84"/>
    <w:p>
      <w:pPr>
        <w:ind w:right="4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4" w:lineRule="exact"/>
        <w:rPr>
          <w:sz w:val="20"/>
          <w:szCs w:val="20"/>
          <w:color w:val="auto"/>
        </w:rPr>
      </w:pPr>
    </w:p>
    <w:p>
      <w:pPr>
        <w:ind w:firstLine="579"/>
        <w:spacing w:after="0" w:line="231" w:lineRule="auto"/>
        <w:tabs>
          <w:tab w:leader="none" w:pos="88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2"/>
          <w:szCs w:val="22"/>
          <w:u w:val="single" w:color="auto"/>
          <w:color w:val="auto"/>
        </w:rPr>
        <w:t>Average Bonus</w:t>
      </w:r>
      <w:r>
        <w:rPr>
          <w:rFonts w:ascii="Times New Roman" w:cs="Times New Roman" w:eastAsia="Times New Roman" w:hAnsi="Times New Roman"/>
          <w:sz w:val="22"/>
          <w:szCs w:val="22"/>
          <w:color w:val="auto"/>
        </w:rPr>
        <w:t>”). In addition, upon a Qualifying Termination, for 24 months (the “</w:t>
      </w:r>
      <w:r>
        <w:rPr>
          <w:rFonts w:ascii="Times New Roman" w:cs="Times New Roman" w:eastAsia="Times New Roman" w:hAnsi="Times New Roman"/>
          <w:sz w:val="22"/>
          <w:szCs w:val="22"/>
          <w:u w:val="single" w:color="auto"/>
          <w:color w:val="auto"/>
        </w:rPr>
        <w:t>Benefit Continuation Period</w:t>
      </w:r>
      <w:r>
        <w:rPr>
          <w:rFonts w:ascii="Times New Roman" w:cs="Times New Roman" w:eastAsia="Times New Roman" w:hAnsi="Times New Roman"/>
          <w:sz w:val="22"/>
          <w:szCs w:val="22"/>
          <w:color w:val="auto"/>
        </w:rPr>
        <w:t xml:space="preserve">”), the Executive and his eligible dependents shall continue to be eligible to participate in the medical and dental benefit plans of Lazard Group on the same basis as the Executive participated in such plans immediately prior to the Date of Termination. Following the Benefit Continuation Period in the case of a Qualifying Termination, or the Date of Termination in the case of any other termination during the Term other than a termination for Cause, for the remainder of the Executive’s life and that of his current spouse, the Executive, his spouse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Executive (or the Executive’s current spouse or estate, as applicable) shall be solely responsible for the full cost of all premiums related to the coverage provided in this sentence. Notwithstanding the foregoing, in the event that, following the date hereof but prior to a Change in Control, it becomes impracticable for Lazard Group to provide the Executive (or his spouse or eligible dependents) with the benefits described in the immediately preceding sentence as a result of fundamental changes in applicable law, the Executive and Lazard Group will cooperate in good faith to implement reasonable changes to Lazard Group’s obligations pursuant to the immediately preceding sentence, as mutually agreed in writing. In</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40"/>
          </w:cols>
          <w:pgMar w:left="240" w:top="261" w:right="319" w:bottom="1440" w:gutter="0" w:footer="0" w:header="0"/>
        </w:sectPr>
      </w:pPr>
    </w:p>
    <w:bookmarkStart w:id="85" w:name="page86"/>
    <w:bookmarkEnd w:id="85"/>
    <w:p>
      <w:pPr>
        <w:ind w:right="6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81" w:lineRule="exact"/>
        <w:rPr>
          <w:sz w:val="20"/>
          <w:szCs w:val="20"/>
          <w:color w:val="auto"/>
        </w:rPr>
      </w:pPr>
    </w:p>
    <w:p>
      <w:pPr>
        <w:ind w:left="580" w:firstLine="541"/>
        <w:spacing w:after="0" w:line="232" w:lineRule="auto"/>
        <w:tabs>
          <w:tab w:leader="none" w:pos="16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2"/>
          <w:szCs w:val="22"/>
          <w:u w:val="single" w:color="auto"/>
          <w:color w:val="auto"/>
        </w:rPr>
        <w:t>Pro-Ration Fraction</w:t>
      </w:r>
      <w:r>
        <w:rPr>
          <w:rFonts w:ascii="Times New Roman" w:cs="Times New Roman" w:eastAsia="Times New Roman" w:hAnsi="Times New Roman"/>
          <w:sz w:val="22"/>
          <w:szCs w:val="22"/>
          <w:color w:val="auto"/>
        </w:rPr>
        <w:t>”); or</w:t>
      </w:r>
    </w:p>
    <w:p>
      <w:pPr>
        <w:spacing w:after="0" w:line="193" w:lineRule="exact"/>
        <w:rPr>
          <w:sz w:val="20"/>
          <w:szCs w:val="20"/>
          <w:color w:val="auto"/>
        </w:rPr>
      </w:pPr>
    </w:p>
    <w:p>
      <w:pPr>
        <w:ind w:left="580" w:right="20" w:firstLine="541"/>
        <w:spacing w:after="0" w:line="249" w:lineRule="auto"/>
        <w:tabs>
          <w:tab w:leader="none" w:pos="175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71"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80"/>
          </w:cols>
          <w:pgMar w:left="240" w:top="261" w:right="279" w:bottom="1440" w:gutter="0" w:footer="0" w:header="0"/>
        </w:sectPr>
      </w:pPr>
    </w:p>
    <w:bookmarkStart w:id="86" w:name="page87"/>
    <w:bookmarkEnd w:id="86"/>
    <w:p>
      <w:pPr>
        <w:ind w:left="-8" w:right="40" w:firstLine="579"/>
        <w:spacing w:after="0" w:line="235" w:lineRule="auto"/>
        <w:tabs>
          <w:tab w:leader="none" w:pos="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83" w:lineRule="exact"/>
        <w:rPr>
          <w:rFonts w:ascii="Times New Roman" w:cs="Times New Roman" w:eastAsia="Times New Roman" w:hAnsi="Times New Roman"/>
          <w:sz w:val="22"/>
          <w:szCs w:val="22"/>
          <w:color w:val="auto"/>
        </w:rPr>
      </w:pPr>
    </w:p>
    <w:p>
      <w:pPr>
        <w:ind w:left="-8" w:right="20" w:firstLine="579"/>
        <w:spacing w:after="0" w:line="236" w:lineRule="auto"/>
        <w:tabs>
          <w:tab w:leader="none" w:pos="92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jc w:val="both"/>
        <w:ind w:left="-8" w:right="200" w:firstLine="579"/>
        <w:spacing w:after="0" w:line="246" w:lineRule="auto"/>
        <w:tabs>
          <w:tab w:leader="none" w:pos="86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or any Award Agreement to the contrary, in the event of a Qualifying Termination at any time prior to the Specified Expiration Date, within 10 days following such termination, the Firm shall deposit with an escrow agent mutually agreed upon by the Firm and the Executive (the “</w:t>
      </w:r>
      <w:r>
        <w:rPr>
          <w:rFonts w:ascii="Times New Roman" w:cs="Times New Roman" w:eastAsia="Times New Roman" w:hAnsi="Times New Roman"/>
          <w:sz w:val="21"/>
          <w:szCs w:val="21"/>
          <w:u w:val="single" w:color="auto"/>
          <w:color w:val="auto"/>
        </w:rPr>
        <w:t>Designated Escrow Agent</w:t>
      </w:r>
      <w:r>
        <w:rPr>
          <w:rFonts w:ascii="Times New Roman" w:cs="Times New Roman" w:eastAsia="Times New Roman" w:hAnsi="Times New Roman"/>
          <w:sz w:val="21"/>
          <w:szCs w:val="21"/>
          <w:color w:val="auto"/>
        </w:rPr>
        <w:t>”) all shares of Lazard common stock (such shares and, upon the sale of such shares, cash or other property held in the escrow upon reinvestment by the Executive, the “</w:t>
      </w:r>
      <w:r>
        <w:rPr>
          <w:rFonts w:ascii="Times New Roman" w:cs="Times New Roman" w:eastAsia="Times New Roman" w:hAnsi="Times New Roman"/>
          <w:sz w:val="21"/>
          <w:szCs w:val="21"/>
          <w:u w:val="single" w:color="auto"/>
          <w:color w:val="auto"/>
        </w:rPr>
        <w:t>Escrowed Property</w:t>
      </w:r>
      <w:r>
        <w:rPr>
          <w:rFonts w:ascii="Times New Roman" w:cs="Times New Roman" w:eastAsia="Times New Roman" w:hAnsi="Times New Roman"/>
          <w:sz w:val="21"/>
          <w:szCs w:val="21"/>
          <w:color w:val="auto"/>
        </w:rPr>
        <w:t>”) that (A) relate to any Awards granted to the Executive prior to the Date of Termination and</w:t>
      </w:r>
    </w:p>
    <w:p>
      <w:pPr>
        <w:spacing w:after="0" w:line="1" w:lineRule="exact"/>
        <w:rPr>
          <w:rFonts w:ascii="Times New Roman" w:cs="Times New Roman" w:eastAsia="Times New Roman" w:hAnsi="Times New Roman"/>
          <w:sz w:val="21"/>
          <w:szCs w:val="21"/>
          <w:color w:val="auto"/>
        </w:rPr>
      </w:pPr>
    </w:p>
    <w:p>
      <w:pPr>
        <w:ind w:left="-8" w:firstLine="8"/>
        <w:spacing w:after="0" w:line="243" w:lineRule="auto"/>
        <w:tabs>
          <w:tab w:leader="none" w:pos="33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remain subject to vesting conditions or other contractual transfer restrictions following such termination pursuant to the terms of the applicable Award Agreement and, subject to approval of the Compliance Department of Lazard and applicable law, at any time following deposit of such Lazard common stock, the Executive shall be permitted to instruct the Designated Escrow Agent to sell all or a portion (up to a daily maximum of 10% of the average daily trading volume of Lazard common stock over the 10 trading days immediately preceding the date of such sale) of such Lazard common stock for cash on the Executive’s behalf, the proceeds of which shall be held in the escrow and be deemed subject to contractual restrictions for the same duration as the Lazard common stock to which such cash relates as set forth in the applicable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written request of the Executive, the Designated Escrow Agent shall distribute to the Executive the amount necessary for the Executive to satisfy any tax obligations arising from any such sale. Lazard shall pay all fees and expenses arising from the establishment and maintenance of the escrow with any Designated Escrow Agent, although the Executive shall be responsible for any investment management fees and transaction expenses relating to the investment of the Escrowed Property, and the Escrowed Property shall be reduced to cover any investment management fees or transaction expenses payable to the Designated Escrow Agent (or other investment professional) in respect of any Escrowed Property. The Executive shall be permitted to invest any proceeds realized from the sale</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92"/>
          </w:cols>
          <w:pgMar w:left="248" w:top="261" w:right="259" w:bottom="1440" w:gutter="0" w:footer="0" w:header="0"/>
        </w:sectPr>
      </w:pPr>
    </w:p>
    <w:bookmarkStart w:id="87" w:name="page88"/>
    <w:bookmarkEnd w:id="87"/>
    <w:p>
      <w:pPr>
        <w:ind w:right="4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Escrowed Property that are held by the Designated Escrow Agent on his behalf in a range of investment alternatives, which shall be mutually agreed by the Executive and Lazard and shall include a money market fund. The Escrowed Property shall be held in escrow by the Designated Escrow Agent until the date (each such date, a “</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that all vesting conditions and other contractual transfer restrictions as set forth in the applicable Award Agreement with respect to the applicable Escrowed Property would have (or would be deemed to have) expired pursuant to the terms of this Agreement and the applicable Award Agreement (and, for the avoidance of doubt, shall remain subject to forfeiture to the same extent provided in this Agreement and the applicable Award Agreement without regard to this Section 3(d)(v)). Within 10 days following the applicable Release Date, all Escrowed Property that relates to such Release Date (net of distributions and reduction for fees and expenses as provided in this Section 3(d) (v)) shall be transferred to the Executive.</w:t>
      </w:r>
    </w:p>
    <w:p>
      <w:pPr>
        <w:spacing w:after="0" w:line="184" w:lineRule="exact"/>
        <w:rPr>
          <w:sz w:val="20"/>
          <w:szCs w:val="20"/>
          <w:color w:val="auto"/>
        </w:rPr>
      </w:pPr>
    </w:p>
    <w:p>
      <w:pPr>
        <w:ind w:right="200" w:firstLine="579"/>
        <w:spacing w:after="0" w:line="236" w:lineRule="auto"/>
        <w:tabs>
          <w:tab w:leader="none" w:pos="93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2" w:lineRule="exact"/>
        <w:rPr>
          <w:sz w:val="20"/>
          <w:szCs w:val="20"/>
          <w:color w:val="auto"/>
        </w:rPr>
      </w:pPr>
    </w:p>
    <w:p>
      <w:pPr>
        <w:ind w:left="1300" w:hanging="721"/>
        <w:spacing w:after="0"/>
        <w:tabs>
          <w:tab w:leader="none" w:pos="13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firstLine="571"/>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shall mean: (i) conviction of the Executive of, or a guilty or </w:t>
      </w:r>
      <w:r>
        <w:rPr>
          <w:rFonts w:ascii="Times New Roman" w:cs="Times New Roman" w:eastAsia="Times New Roman" w:hAnsi="Times New Roman"/>
          <w:sz w:val="21"/>
          <w:szCs w:val="21"/>
          <w:u w:val="single" w:color="auto"/>
          <w:color w:val="auto"/>
        </w:rPr>
        <w:t>nolo contendere</w:t>
      </w:r>
      <w:r>
        <w:rPr>
          <w:rFonts w:ascii="Times New Roman" w:cs="Times New Roman" w:eastAsia="Times New Roman" w:hAnsi="Times New Roman"/>
          <w:sz w:val="21"/>
          <w:szCs w:val="21"/>
          <w:color w:val="auto"/>
        </w:rPr>
        <w:t xml:space="preserv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Board of Directors of Lazard, in each case following written notice to the Executive of such failure and, if such failure is curable, the Executive’s failing to cure such failure within a reasonable time (but in no event less than thirty (30) days after actual receipt by Executive of such written notice); or (iv) a breach of the Covenants (as defined in</w:t>
      </w:r>
    </w:p>
    <w:p>
      <w:pPr>
        <w:spacing w:after="0" w:line="10"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2"/>
          <w:szCs w:val="22"/>
          <w:color w:val="auto"/>
        </w:rPr>
        <w:t>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261" w:right="239" w:bottom="1440" w:gutter="0" w:footer="0" w:header="0"/>
        </w:sectPr>
      </w:pPr>
    </w:p>
    <w:bookmarkStart w:id="88" w:name="page89"/>
    <w:bookmarkEnd w:id="88"/>
    <w:p>
      <w:pPr>
        <w:ind w:right="6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acts or failure to act shall not constitute Cause to the extent taken (or not taken) based upon the direct instructions of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2"/>
          <w:szCs w:val="22"/>
          <w:u w:val="single" w:color="auto"/>
          <w:color w:val="auto"/>
        </w:rPr>
        <w:t>Applicable Board</w:t>
      </w:r>
      <w:r>
        <w:rPr>
          <w:rFonts w:ascii="Times New Roman" w:cs="Times New Roman" w:eastAsia="Times New Roman" w:hAnsi="Times New Roman"/>
          <w:sz w:val="22"/>
          <w:szCs w:val="22"/>
          <w:color w:val="auto"/>
        </w:rPr>
        <w:t>”) finding that, in the good faith opinion of the Applicable Board, circumstances constituting Cause exist.</w:t>
      </w:r>
    </w:p>
    <w:p>
      <w:pPr>
        <w:spacing w:after="0" w:line="184" w:lineRule="exact"/>
        <w:rPr>
          <w:sz w:val="20"/>
          <w:szCs w:val="20"/>
          <w:color w:val="auto"/>
        </w:rPr>
      </w:pPr>
    </w:p>
    <w:p>
      <w:pPr>
        <w:ind w:firstLine="571"/>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w:t>
      </w:r>
    </w:p>
    <w:p>
      <w:pPr>
        <w:spacing w:after="0" w:line="17" w:lineRule="exact"/>
        <w:rPr>
          <w:sz w:val="20"/>
          <w:szCs w:val="20"/>
          <w:color w:val="auto"/>
        </w:rPr>
      </w:pPr>
    </w:p>
    <w:p>
      <w:pPr>
        <w:ind w:right="320" w:firstLine="8"/>
        <w:spacing w:after="0" w:line="233" w:lineRule="auto"/>
        <w:tabs>
          <w:tab w:leader="none" w:pos="30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260" w:right="239" w:bottom="1440" w:gutter="0" w:footer="0" w:header="0"/>
        </w:sectPr>
      </w:pPr>
    </w:p>
    <w:bookmarkStart w:id="89" w:name="page90"/>
    <w:bookmarkEnd w:id="89"/>
    <w:p>
      <w:pPr>
        <w:ind w:right="120" w:firstLine="571"/>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or any other action by the Firm which results in a material diminution in such positions (including status, offices, titles and reporting requirements), authority, duties or responsibilities from those contemplated by Section 3(b) of this Agreement, (ii) a material breach by the Firm of the terms of this Agreement, including any material failure by the Firm to comply with Section 3(c) of this Agreement or the nondisparagement covenant in Section 8 of this Agreement,</w:t>
      </w:r>
    </w:p>
    <w:p>
      <w:pPr>
        <w:spacing w:after="0" w:line="3" w:lineRule="exact"/>
        <w:rPr>
          <w:sz w:val="20"/>
          <w:szCs w:val="20"/>
          <w:color w:val="auto"/>
        </w:rPr>
      </w:pPr>
    </w:p>
    <w:p>
      <w:pPr>
        <w:ind w:right="60" w:firstLine="8"/>
        <w:spacing w:after="0" w:line="241" w:lineRule="auto"/>
        <w:tabs>
          <w:tab w:leader="none" w:pos="37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Executive’s written consent, any requirement that the Executive’s principal place of employment be relocated to a location that increases the Executive’s commute from his primary residence by more than thirty (30) miles or (iv) failure of the Firm to continue, following the Specified Expiration Date, the Executive’s employment as Chief Executive Officer of Lazard and Lazard Group and Chairman of the Board of Directors of Lazard pursuant to an agreement (which, for the avoidance of doubt, may be in a form similar to this Agreement) having terms and conditions that are reasonable and customary at the time of such expiration, except that, in the event the Executive rejects an offer of continued employment consistent with the foregoing, Good Reason shall not exist pursuant to this clause (iv). In the event of a termination for Good Reason (other than pursuant to clause</w:t>
      </w:r>
    </w:p>
    <w:p>
      <w:pPr>
        <w:spacing w:after="0" w:line="4" w:lineRule="exact"/>
        <w:rPr>
          <w:rFonts w:ascii="Times New Roman" w:cs="Times New Roman" w:eastAsia="Times New Roman" w:hAnsi="Times New Roman"/>
          <w:sz w:val="21"/>
          <w:szCs w:val="21"/>
          <w:color w:val="auto"/>
        </w:rPr>
      </w:pPr>
    </w:p>
    <w:p>
      <w:pPr>
        <w:ind w:right="60" w:firstLine="8"/>
        <w:spacing w:after="0" w:line="231" w:lineRule="auto"/>
        <w:tabs>
          <w:tab w:leader="none" w:pos="36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of Good Reason), the notice requirements of Section 1 of this Agreement shall not apply. For the avoidance of doubt, in the event of a termination for Good Reason pursuant to clause (iv) of the definition of Good Reason, the notice requirements of Section 1 of this Agreement shall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7" w:lineRule="exact"/>
        <w:rPr>
          <w:rFonts w:ascii="Times New Roman" w:cs="Times New Roman" w:eastAsia="Times New Roman" w:hAnsi="Times New Roman"/>
          <w:sz w:val="22"/>
          <w:szCs w:val="22"/>
          <w:color w:val="auto"/>
        </w:rPr>
      </w:pPr>
    </w:p>
    <w:p>
      <w:pPr>
        <w:ind w:firstLine="579"/>
        <w:spacing w:after="0" w:line="235" w:lineRule="auto"/>
        <w:tabs>
          <w:tab w:leader="none" w:pos="127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Limitations on Payments</w:t>
      </w:r>
      <w:r>
        <w:rPr>
          <w:rFonts w:ascii="Times New Roman" w:cs="Times New Roman" w:eastAsia="Times New Roman" w:hAnsi="Times New Roman"/>
          <w:sz w:val="22"/>
          <w:szCs w:val="22"/>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261" w:right="239" w:bottom="1440" w:gutter="0" w:footer="0" w:header="0"/>
        </w:sectPr>
      </w:pPr>
    </w:p>
    <w:bookmarkStart w:id="90" w:name="page91"/>
    <w:bookmarkEnd w:id="90"/>
    <w:p>
      <w:pPr>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payment, distribution, benefit or entitlement made by any person or entity effecting a change of control), in each case, that constitute “parachute payments” within the meaning of Section 280G of the Code (such payments, the “</w:t>
      </w:r>
      <w:r>
        <w:rPr>
          <w:rFonts w:ascii="Times New Roman" w:cs="Times New Roman" w:eastAsia="Times New Roman" w:hAnsi="Times New Roman"/>
          <w:sz w:val="22"/>
          <w:szCs w:val="22"/>
          <w:u w:val="single" w:color="auto"/>
          <w:color w:val="auto"/>
        </w:rPr>
        <w:t>Parachute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93" w:lineRule="exact"/>
        <w:rPr>
          <w:sz w:val="20"/>
          <w:szCs w:val="20"/>
          <w:color w:val="auto"/>
        </w:rPr>
      </w:pPr>
    </w:p>
    <w:p>
      <w:pPr>
        <w:ind w:right="120" w:firstLine="571"/>
        <w:spacing w:after="0" w:line="245" w:lineRule="auto"/>
        <w:rPr>
          <w:sz w:val="20"/>
          <w:szCs w:val="20"/>
          <w:color w:val="auto"/>
        </w:rPr>
      </w:pPr>
      <w:r>
        <w:rPr>
          <w:rFonts w:ascii="Times New Roman" w:cs="Times New Roman" w:eastAsia="Times New Roman" w:hAnsi="Times New Roman"/>
          <w:sz w:val="21"/>
          <w:szCs w:val="21"/>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78" w:lineRule="exact"/>
        <w:rPr>
          <w:sz w:val="20"/>
          <w:szCs w:val="20"/>
          <w:color w:val="auto"/>
        </w:rPr>
      </w:pPr>
    </w:p>
    <w:p>
      <w:pPr>
        <w:jc w:val="both"/>
        <w:ind w:right="160" w:firstLine="579"/>
        <w:spacing w:after="0" w:line="255" w:lineRule="auto"/>
        <w:tabs>
          <w:tab w:leader="none" w:pos="130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261" w:right="259" w:bottom="1440" w:gutter="0" w:footer="0" w:header="0"/>
        </w:sectPr>
      </w:pPr>
    </w:p>
    <w:bookmarkStart w:id="91" w:name="page92"/>
    <w:bookmarkEnd w:id="91"/>
    <w:p>
      <w:pPr>
        <w:ind w:right="20"/>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w:t>
      </w:r>
    </w:p>
    <w:p>
      <w:pPr>
        <w:spacing w:after="0" w:line="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840"/>
          </w:cols>
          <w:pgMar w:left="240" w:top="261" w:right="819" w:bottom="1440" w:gutter="0" w:footer="0" w:header="0"/>
        </w:sectPr>
      </w:pPr>
    </w:p>
    <w:bookmarkStart w:id="92" w:name="page93"/>
    <w:bookmarkEnd w:id="92"/>
    <w:p>
      <w:pPr>
        <w:ind w:left="-20" w:right="20" w:firstLine="579"/>
        <w:spacing w:after="0" w:line="243" w:lineRule="auto"/>
        <w:tabs>
          <w:tab w:leader="none" w:pos="119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w:t>
      </w:r>
      <w:r>
        <w:rPr>
          <w:rFonts w:ascii="Times New Roman" w:cs="Times New Roman" w:eastAsia="Times New Roman" w:hAnsi="Times New Roman"/>
          <w:sz w:val="21"/>
          <w:szCs w:val="21"/>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85" w:lineRule="exact"/>
        <w:rPr>
          <w:rFonts w:ascii="Times New Roman" w:cs="Times New Roman" w:eastAsia="Times New Roman" w:hAnsi="Times New Roman"/>
          <w:sz w:val="21"/>
          <w:szCs w:val="21"/>
          <w:color w:val="auto"/>
        </w:rPr>
      </w:pPr>
    </w:p>
    <w:p>
      <w:pPr>
        <w:ind w:left="-20" w:firstLine="579"/>
        <w:spacing w:after="0" w:line="234" w:lineRule="auto"/>
        <w:tabs>
          <w:tab w:leader="none" w:pos="119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00"/>
          </w:cols>
          <w:pgMar w:left="260" w:top="261" w:right="239" w:bottom="1440" w:gutter="0" w:footer="0" w:header="0"/>
        </w:sectPr>
      </w:pPr>
    </w:p>
    <w:bookmarkStart w:id="93" w:name="page94"/>
    <w:bookmarkEnd w:id="93"/>
    <w:p>
      <w:pPr>
        <w:ind w:right="20"/>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for Good Reason or (ii) three months after the Date of Termination by the Firm without Cause or by the Executive for Good Reason (such period, the “</w:t>
      </w:r>
      <w:r>
        <w:rPr>
          <w:rFonts w:ascii="Times New Roman" w:cs="Times New Roman" w:eastAsia="Times New Roman" w:hAnsi="Times New Roman"/>
          <w:sz w:val="22"/>
          <w:szCs w:val="22"/>
          <w:u w:val="single" w:color="auto"/>
          <w:color w:val="auto"/>
        </w:rPr>
        <w:t>Noncompete Restriction Period</w:t>
      </w:r>
      <w:r>
        <w:rPr>
          <w:rFonts w:ascii="Times New Roman" w:cs="Times New Roman" w:eastAsia="Times New Roman" w:hAnsi="Times New Roman"/>
          <w:sz w:val="22"/>
          <w:szCs w:val="22"/>
          <w:color w:val="auto"/>
        </w:rPr>
        <w:t xml:space="preserve">”),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in the event of a termination by the Executive for Good Reason pursuant to clause (iv) of the definition of Good Reason, the provisions of clause (i) of this sentence shall apply rather than the provisions of clause (ii) of this sentence. For purposes of this Agreement, (A) “</w:t>
      </w:r>
      <w:r>
        <w:rPr>
          <w:rFonts w:ascii="Times New Roman" w:cs="Times New Roman" w:eastAsia="Times New Roman" w:hAnsi="Times New Roman"/>
          <w:sz w:val="22"/>
          <w:szCs w:val="22"/>
          <w:u w:val="single" w:color="auto"/>
          <w:color w:val="auto"/>
        </w:rPr>
        <w:t>Competing Activity</w:t>
      </w:r>
      <w:r>
        <w:rPr>
          <w:rFonts w:ascii="Times New Roman" w:cs="Times New Roman" w:eastAsia="Times New Roman" w:hAnsi="Times New Roman"/>
          <w:sz w:val="22"/>
          <w:szCs w:val="22"/>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Times New Roman" w:cs="Times New Roman" w:eastAsia="Times New Roman" w:hAnsi="Times New Roman"/>
          <w:sz w:val="22"/>
          <w:szCs w:val="22"/>
          <w:u w:val="single" w:color="auto"/>
          <w:color w:val="auto"/>
        </w:rPr>
        <w:t>Competitive Enterprise</w:t>
      </w:r>
      <w:r>
        <w:rPr>
          <w:rFonts w:ascii="Times New Roman" w:cs="Times New Roman" w:eastAsia="Times New Roman" w:hAnsi="Times New Roman"/>
          <w:sz w:val="22"/>
          <w:szCs w:val="22"/>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91" w:lineRule="exact"/>
        <w:rPr>
          <w:sz w:val="20"/>
          <w:szCs w:val="20"/>
          <w:color w:val="auto"/>
        </w:rPr>
      </w:pPr>
    </w:p>
    <w:p>
      <w:pPr>
        <w:ind w:firstLine="579"/>
        <w:spacing w:after="0" w:line="239" w:lineRule="auto"/>
        <w:tabs>
          <w:tab w:leader="none" w:pos="130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right="20" w:firstLine="579"/>
        <w:spacing w:after="0" w:line="246" w:lineRule="auto"/>
        <w:tabs>
          <w:tab w:leader="none" w:pos="121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00"/>
          </w:cols>
          <w:pgMar w:left="240" w:top="261" w:right="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preceding the Date of Termination or was preparing to make such a presentation or proposal at the time of the Date of Termination.</w:t>
      </w:r>
    </w:p>
    <w:p>
      <w:pPr>
        <w:spacing w:after="0" w:line="218" w:lineRule="exact"/>
        <w:rPr>
          <w:sz w:val="20"/>
          <w:szCs w:val="20"/>
          <w:color w:val="auto"/>
        </w:rPr>
      </w:pPr>
    </w:p>
    <w:p>
      <w:pPr>
        <w:ind w:firstLine="579"/>
        <w:spacing w:after="0" w:line="235" w:lineRule="auto"/>
        <w:tabs>
          <w:tab w:leader="none" w:pos="12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3" w:lineRule="exact"/>
        <w:rPr>
          <w:rFonts w:ascii="Times New Roman" w:cs="Times New Roman" w:eastAsia="Times New Roman" w:hAnsi="Times New Roman"/>
          <w:sz w:val="22"/>
          <w:szCs w:val="22"/>
          <w:color w:val="auto"/>
        </w:rPr>
      </w:pPr>
    </w:p>
    <w:p>
      <w:pPr>
        <w:ind w:right="40" w:firstLine="579"/>
        <w:spacing w:after="0" w:line="232" w:lineRule="auto"/>
        <w:tabs>
          <w:tab w:leader="none" w:pos="121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261" w:right="239" w:bottom="1440" w:gutter="0" w:footer="0" w:header="0"/>
        </w:sectPr>
      </w:pPr>
    </w:p>
    <w:bookmarkStart w:id="95" w:name="page96"/>
    <w:bookmarkEnd w:id="95"/>
    <w:p>
      <w:pPr>
        <w:ind w:left="-20" w:right="120" w:firstLine="579"/>
        <w:spacing w:after="0" w:line="238" w:lineRule="auto"/>
        <w:tabs>
          <w:tab w:leader="none" w:pos="119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left="-20" w:firstLine="579"/>
        <w:spacing w:after="0" w:line="235" w:lineRule="auto"/>
        <w:tabs>
          <w:tab w:leader="none" w:pos="130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84" w:lineRule="exact"/>
        <w:rPr>
          <w:sz w:val="20"/>
          <w:szCs w:val="20"/>
          <w:color w:val="auto"/>
        </w:rPr>
      </w:pPr>
    </w:p>
    <w:p>
      <w:pPr>
        <w:ind w:left="-20" w:firstLine="579"/>
        <w:spacing w:after="0" w:line="233" w:lineRule="auto"/>
        <w:tabs>
          <w:tab w:leader="none" w:pos="12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83" w:lineRule="exact"/>
        <w:rPr>
          <w:rFonts w:ascii="Times New Roman" w:cs="Times New Roman" w:eastAsia="Times New Roman" w:hAnsi="Times New Roman"/>
          <w:sz w:val="22"/>
          <w:szCs w:val="22"/>
          <w:color w:val="auto"/>
        </w:rPr>
      </w:pPr>
    </w:p>
    <w:p>
      <w:pPr>
        <w:ind w:left="-20" w:right="160" w:firstLine="579"/>
        <w:spacing w:after="0" w:line="236" w:lineRule="auto"/>
        <w:tabs>
          <w:tab w:leader="none" w:pos="127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00"/>
          </w:cols>
          <w:pgMar w:left="260" w:top="260" w:right="239" w:bottom="1440" w:gutter="0" w:footer="0" w:header="0"/>
        </w:sectPr>
      </w:pPr>
    </w:p>
    <w:bookmarkStart w:id="96" w:name="page97"/>
    <w:bookmarkEnd w:id="96"/>
    <w:p>
      <w:pPr>
        <w:ind w:right="20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or any restrictive covenants set forth in any Award Agreement serve as a basis for the forfeiture of any Awards (including any dividend equivalents or shares delivered or amounts payable in respect of settled Awards, including Escrowed Property)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84" w:lineRule="exact"/>
        <w:rPr>
          <w:sz w:val="20"/>
          <w:szCs w:val="20"/>
          <w:color w:val="auto"/>
        </w:rPr>
      </w:pPr>
    </w:p>
    <w:p>
      <w:pPr>
        <w:ind w:firstLine="579"/>
        <w:spacing w:after="0" w:line="234" w:lineRule="auto"/>
        <w:tabs>
          <w:tab w:leader="none" w:pos="131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76" w:lineRule="exact"/>
        <w:rPr>
          <w:rFonts w:ascii="Times New Roman" w:cs="Times New Roman" w:eastAsia="Times New Roman" w:hAnsi="Times New Roman"/>
          <w:sz w:val="22"/>
          <w:szCs w:val="22"/>
          <w:color w:val="auto"/>
        </w:rPr>
      </w:pPr>
    </w:p>
    <w:p>
      <w:pPr>
        <w:ind w:firstLine="579"/>
        <w:spacing w:after="0" w:line="245" w:lineRule="auto"/>
        <w:tabs>
          <w:tab w:leader="none" w:pos="132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1"/>
          <w:szCs w:val="21"/>
          <w:u w:val="single" w:color="auto"/>
          <w:color w:val="auto"/>
        </w:rPr>
        <w:t>Employment Related Matters</w:t>
      </w:r>
      <w:r>
        <w:rPr>
          <w:rFonts w:ascii="Times New Roman" w:cs="Times New Roman" w:eastAsia="Times New Roman" w:hAnsi="Times New Roman"/>
          <w:sz w:val="21"/>
          <w:szCs w:val="21"/>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1"/>
          <w:szCs w:val="21"/>
          <w:u w:val="single" w:color="auto"/>
          <w:color w:val="auto"/>
        </w:rPr>
        <w:t>FINRA</w:t>
      </w:r>
      <w:r>
        <w:rPr>
          <w:rFonts w:ascii="Times New Roman" w:cs="Times New Roman" w:eastAsia="Times New Roman" w:hAnsi="Times New Roman"/>
          <w:sz w:val="21"/>
          <w:szCs w:val="21"/>
          <w:color w:val="auto"/>
        </w:rPr>
        <w:t>”) or, if FINRA declines to arbitrate the matter, the American Arbitration Association (the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20"/>
          </w:cols>
          <w:pgMar w:left="240" w:top="261" w:right="339" w:bottom="1440" w:gutter="0" w:footer="0" w:header="0"/>
        </w:sectPr>
      </w:pPr>
    </w:p>
    <w:bookmarkStart w:id="97" w:name="page98"/>
    <w:bookmarkEnd w:id="97"/>
    <w:p>
      <w:pPr>
        <w:ind w:right="6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or otherwise), plus Interest determined as of the date such legal fees and expenses were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promptly repay to Lazard Group all such amounts if the Executive fails to prevail on at least one material issue in dispute in any such contest.</w:t>
      </w:r>
    </w:p>
    <w:p>
      <w:pPr>
        <w:spacing w:after="0" w:line="174" w:lineRule="exact"/>
        <w:rPr>
          <w:sz w:val="20"/>
          <w:szCs w:val="20"/>
          <w:color w:val="auto"/>
        </w:rPr>
      </w:pPr>
    </w:p>
    <w:p>
      <w:pPr>
        <w:ind w:right="40" w:firstLine="579"/>
        <w:spacing w:after="0" w:line="234" w:lineRule="auto"/>
        <w:tabs>
          <w:tab w:leader="none" w:pos="132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84" w:lineRule="exact"/>
        <w:rPr>
          <w:rFonts w:ascii="Times New Roman" w:cs="Times New Roman" w:eastAsia="Times New Roman" w:hAnsi="Times New Roman"/>
          <w:sz w:val="22"/>
          <w:szCs w:val="22"/>
          <w:color w:val="auto"/>
        </w:rPr>
      </w:pPr>
    </w:p>
    <w:p>
      <w:pPr>
        <w:ind w:firstLine="579"/>
        <w:spacing w:after="0" w:line="234" w:lineRule="auto"/>
        <w:tabs>
          <w:tab w:leader="none" w:pos="132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0" w:lineRule="exact"/>
        <w:rPr>
          <w:sz w:val="20"/>
          <w:szCs w:val="20"/>
          <w:color w:val="auto"/>
        </w:rPr>
      </w:pPr>
    </w:p>
    <w:p>
      <w:pPr>
        <w:ind w:right="40" w:firstLine="579"/>
        <w:spacing w:after="0" w:line="247" w:lineRule="auto"/>
        <w:tabs>
          <w:tab w:leader="none" w:pos="130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00"/>
          </w:cols>
          <w:pgMar w:left="240" w:top="261" w:right="259" w:bottom="1440" w:gutter="0" w:footer="0" w:header="0"/>
        </w:sectPr>
      </w:pPr>
    </w:p>
    <w:bookmarkStart w:id="98" w:name="page99"/>
    <w:bookmarkEnd w:id="98"/>
    <w:p>
      <w:pPr>
        <w:ind w:left="-20" w:right="440" w:firstLine="579"/>
        <w:spacing w:after="0" w:line="239" w:lineRule="auto"/>
        <w:tabs>
          <w:tab w:leader="none" w:pos="13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ind w:left="-20" w:right="280" w:firstLine="579"/>
        <w:spacing w:after="0" w:line="258" w:lineRule="auto"/>
        <w:tabs>
          <w:tab w:leader="none" w:pos="130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w:t>
      </w:r>
    </w:p>
    <w:p>
      <w:pPr>
        <w:spacing w:after="0" w:line="158" w:lineRule="exact"/>
        <w:rPr>
          <w:sz w:val="20"/>
          <w:szCs w:val="20"/>
          <w:color w:val="auto"/>
        </w:rPr>
      </w:pPr>
    </w:p>
    <w:p>
      <w:pPr>
        <w:ind w:left="-20" w:right="140" w:firstLine="579"/>
        <w:spacing w:after="0" w:line="244" w:lineRule="auto"/>
        <w:tabs>
          <w:tab w:leader="none" w:pos="128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left="-20" w:firstLine="579"/>
        <w:spacing w:after="0" w:line="239" w:lineRule="auto"/>
        <w:tabs>
          <w:tab w:leader="none" w:pos="127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0" w:lineRule="exact"/>
        <w:rPr>
          <w:rFonts w:ascii="Times New Roman" w:cs="Times New Roman" w:eastAsia="Times New Roman" w:hAnsi="Times New Roman"/>
          <w:sz w:val="22"/>
          <w:szCs w:val="22"/>
          <w:color w:val="auto"/>
        </w:rPr>
      </w:pPr>
    </w:p>
    <w:p>
      <w:pPr>
        <w:ind w:left="-20" w:firstLine="579"/>
        <w:spacing w:after="0" w:line="233" w:lineRule="auto"/>
        <w:tabs>
          <w:tab w:leader="none" w:pos="128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waiver, consent, amendment or modification of any of the provisions of this Agreement shall not be effective against the Firm without the written consent of the Board of Directors of Lazard or its successors. The Executive may not, directly or indirectly (including by operation of law), assign the Executive’s rights or obligations hereunder without the prior written consent of the Board of Directors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86" w:lineRule="exact"/>
        <w:rPr>
          <w:rFonts w:ascii="Times New Roman" w:cs="Times New Roman" w:eastAsia="Times New Roman" w:hAnsi="Times New Roman"/>
          <w:sz w:val="22"/>
          <w:szCs w:val="22"/>
          <w:color w:val="auto"/>
        </w:rPr>
      </w:pPr>
    </w:p>
    <w:p>
      <w:pPr>
        <w:ind w:left="-20" w:right="20" w:firstLine="579"/>
        <w:spacing w:after="0" w:line="244" w:lineRule="auto"/>
        <w:tabs>
          <w:tab w:leader="none" w:pos="127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3" w:lineRule="exact"/>
        <w:rPr>
          <w:rFonts w:ascii="Times New Roman" w:cs="Times New Roman" w:eastAsia="Times New Roman" w:hAnsi="Times New Roman"/>
          <w:sz w:val="22"/>
          <w:szCs w:val="22"/>
          <w:color w:val="auto"/>
        </w:rPr>
      </w:pPr>
    </w:p>
    <w:p>
      <w:pPr>
        <w:ind w:left="-20" w:right="180" w:firstLine="579"/>
        <w:spacing w:after="0" w:line="258" w:lineRule="auto"/>
        <w:tabs>
          <w:tab w:leader="none" w:pos="125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380"/>
          </w:cols>
          <w:pgMar w:left="260" w:top="260" w:right="259" w:bottom="1440" w:gutter="0" w:footer="0" w:header="0"/>
        </w:sectPr>
      </w:pPr>
    </w:p>
    <w:bookmarkStart w:id="99" w:name="page100"/>
    <w:bookmarkEnd w:id="99"/>
    <w:p>
      <w:pPr>
        <w:ind w:right="8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77" w:lineRule="exact"/>
        <w:rPr>
          <w:sz w:val="20"/>
          <w:szCs w:val="20"/>
          <w:color w:val="auto"/>
        </w:rPr>
      </w:pPr>
    </w:p>
    <w:p>
      <w:pPr>
        <w:ind w:right="460" w:firstLine="579"/>
        <w:spacing w:after="0" w:line="258" w:lineRule="auto"/>
        <w:tabs>
          <w:tab w:leader="none" w:pos="130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right="60" w:firstLine="579"/>
        <w:spacing w:after="0" w:line="239" w:lineRule="auto"/>
        <w:tabs>
          <w:tab w:leader="none" w:pos="130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firstLine="579"/>
        <w:spacing w:after="0" w:line="236" w:lineRule="auto"/>
        <w:tabs>
          <w:tab w:leader="none" w:pos="12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specifically provided in Section 3(d)(ii),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82" w:lineRule="exact"/>
        <w:rPr>
          <w:rFonts w:ascii="Times New Roman" w:cs="Times New Roman" w:eastAsia="Times New Roman" w:hAnsi="Times New Roman"/>
          <w:sz w:val="22"/>
          <w:szCs w:val="22"/>
          <w:color w:val="auto"/>
        </w:rPr>
      </w:pPr>
    </w:p>
    <w:p>
      <w:pPr>
        <w:ind w:right="200" w:firstLine="579"/>
        <w:spacing w:after="0" w:line="282" w:lineRule="auto"/>
        <w:tabs>
          <w:tab w:leader="none" w:pos="126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4" w:lineRule="exact"/>
        <w:rPr>
          <w:rFonts w:ascii="Times New Roman" w:cs="Times New Roman" w:eastAsia="Times New Roman" w:hAnsi="Times New Roman"/>
          <w:sz w:val="21"/>
          <w:szCs w:val="21"/>
          <w:color w:val="auto"/>
        </w:rPr>
      </w:pPr>
    </w:p>
    <w:p>
      <w:pPr>
        <w:ind w:right="80" w:firstLine="579"/>
        <w:spacing w:after="0" w:line="236" w:lineRule="auto"/>
        <w:tabs>
          <w:tab w:leader="none" w:pos="130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82" w:lineRule="exact"/>
        <w:rPr>
          <w:rFonts w:ascii="Times New Roman" w:cs="Times New Roman" w:eastAsia="Times New Roman" w:hAnsi="Times New Roman"/>
          <w:sz w:val="22"/>
          <w:szCs w:val="22"/>
          <w:color w:val="auto"/>
        </w:rPr>
      </w:pPr>
    </w:p>
    <w:p>
      <w:pPr>
        <w:ind w:right="80" w:firstLine="579"/>
        <w:spacing w:after="0" w:line="244" w:lineRule="auto"/>
        <w:tabs>
          <w:tab w:leader="none" w:pos="126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00"/>
          </w:cols>
          <w:pgMar w:left="240" w:top="261" w:right="259" w:bottom="1440" w:gutter="0" w:footer="0" w:header="0"/>
        </w:sectPr>
      </w:pPr>
    </w:p>
    <w:bookmarkStart w:id="100" w:name="page101"/>
    <w:bookmarkEnd w:id="100"/>
    <w:p>
      <w:pPr>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4" w:lineRule="exact"/>
        <w:rPr>
          <w:sz w:val="20"/>
          <w:szCs w:val="20"/>
          <w:color w:val="auto"/>
        </w:rPr>
      </w:pPr>
    </w:p>
    <w:p>
      <w:pPr>
        <w:ind w:right="20" w:firstLine="579"/>
        <w:spacing w:after="0" w:line="239" w:lineRule="auto"/>
        <w:tabs>
          <w:tab w:leader="none" w:pos="132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240" w:top="261" w:right="419" w:bottom="1440" w:gutter="0" w:footer="0" w:header="0"/>
        </w:sectPr>
      </w:pPr>
    </w:p>
    <w:bookmarkStart w:id="101" w:name="page102"/>
    <w:bookmarkEnd w:id="101"/>
    <w:p>
      <w:pPr>
        <w:ind w:right="220"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29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GROUP LLC (on its behalf,</w:t>
      </w:r>
    </w:p>
    <w:p>
      <w:pPr>
        <w:spacing w:after="0" w:line="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and on behalf of its subsidiaries and</w:t>
      </w:r>
    </w:p>
    <w:p>
      <w:pPr>
        <w:ind w:left="6860"/>
        <w:spacing w:after="0"/>
        <w:rPr>
          <w:sz w:val="20"/>
          <w:szCs w:val="20"/>
          <w:color w:val="auto"/>
        </w:rPr>
      </w:pPr>
      <w:r>
        <w:rPr>
          <w:rFonts w:ascii="Times New Roman" w:cs="Times New Roman" w:eastAsia="Times New Roman" w:hAnsi="Times New Roman"/>
          <w:sz w:val="22"/>
          <w:szCs w:val="22"/>
          <w:color w:val="auto"/>
        </w:rPr>
        <w:t>affiliates),</w:t>
      </w:r>
    </w:p>
    <w:p>
      <w:pPr>
        <w:spacing w:after="0" w:line="182"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906"/>
        </w:trPr>
        <w:tc>
          <w:tcPr>
            <w:tcW w:w="74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Kenneth M. Jacobs</w:t>
            </w:r>
          </w:p>
        </w:tc>
      </w:tr>
      <w:tr>
        <w:trPr>
          <w:trHeight w:val="276"/>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Kenneth M. Jacobs</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261" w:right="239" w:bottom="1440" w:gutter="0" w:footer="0" w:header="0"/>
        </w:sectPr>
      </w:pPr>
    </w:p>
    <w:bookmarkStart w:id="102" w:name="page103"/>
    <w:bookmarkEnd w:id="102"/>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5"/>
              </w:rPr>
              <w:t>Exhibit A</w:t>
            </w:r>
          </w:p>
        </w:tc>
      </w:tr>
      <w:tr>
        <w:trPr>
          <w:trHeight w:val="492"/>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tc>
      </w:tr>
      <w:tr>
        <w:trPr>
          <w:trHeight w:val="407"/>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 by and between Kenneth M. Jacobs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ind w:right="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Lazard Group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80" w:hanging="601"/>
        <w:spacing w:after="0"/>
        <w:tabs>
          <w:tab w:leader="none" w:pos="11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-13970</wp:posOffset>
            </wp:positionV>
            <wp:extent cx="4114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2" w:lineRule="exact"/>
        <w:rPr>
          <w:sz w:val="20"/>
          <w:szCs w:val="20"/>
          <w:color w:val="auto"/>
        </w:rPr>
      </w:pPr>
    </w:p>
    <w:p>
      <w:pPr>
        <w:ind w:right="160" w:firstLine="579"/>
        <w:spacing w:after="0" w:line="238" w:lineRule="auto"/>
        <w:tabs>
          <w:tab w:leader="none" w:pos="11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that are conditioned on the Release Requirement (as defined in Section 3(d)(iii))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w:t>
      </w:r>
    </w:p>
    <w:p>
      <w:pPr>
        <w:spacing w:after="0" w:line="177" w:lineRule="exact"/>
        <w:rPr>
          <w:rFonts w:ascii="Times New Roman" w:cs="Times New Roman" w:eastAsia="Times New Roman" w:hAnsi="Times New Roman"/>
          <w:sz w:val="22"/>
          <w:szCs w:val="22"/>
          <w:color w:val="auto"/>
        </w:rPr>
      </w:pPr>
    </w:p>
    <w:p>
      <w:pPr>
        <w:ind w:right="120" w:firstLine="579"/>
        <w:spacing w:after="0" w:line="238" w:lineRule="auto"/>
        <w:tabs>
          <w:tab w:leader="none" w:pos="11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238" w:right="239" w:bottom="1440" w:gutter="0" w:footer="0" w:header="0"/>
        </w:sectPr>
      </w:pPr>
    </w:p>
    <w:bookmarkStart w:id="103" w:name="page104"/>
    <w:bookmarkEnd w:id="103"/>
    <w:p>
      <w:pPr>
        <w:ind w:right="40" w:firstLine="579"/>
        <w:spacing w:after="0" w:line="235" w:lineRule="auto"/>
        <w:tabs>
          <w:tab w:leader="none" w:pos="116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83" w:lineRule="exact"/>
        <w:rPr>
          <w:rFonts w:ascii="Times New Roman" w:cs="Times New Roman" w:eastAsia="Times New Roman" w:hAnsi="Times New Roman"/>
          <w:sz w:val="22"/>
          <w:szCs w:val="22"/>
          <w:color w:val="auto"/>
        </w:rPr>
      </w:pPr>
    </w:p>
    <w:p>
      <w:pPr>
        <w:jc w:val="both"/>
        <w:ind w:firstLine="1149"/>
        <w:spacing w:after="0" w:line="233" w:lineRule="auto"/>
        <w:tabs>
          <w:tab w:leader="none" w:pos="199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86" w:lineRule="exact"/>
        <w:rPr>
          <w:rFonts w:ascii="Times New Roman" w:cs="Times New Roman" w:eastAsia="Times New Roman" w:hAnsi="Times New Roman"/>
          <w:sz w:val="22"/>
          <w:szCs w:val="22"/>
          <w:color w:val="auto"/>
        </w:rPr>
      </w:pPr>
    </w:p>
    <w:p>
      <w:pPr>
        <w:jc w:val="both"/>
        <w:ind w:firstLine="1149"/>
        <w:spacing w:after="0" w:line="245" w:lineRule="auto"/>
        <w:tabs>
          <w:tab w:leader="none" w:pos="1801"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260"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any of the Company Entities are jointly responsible and (vii) any claims that by law cannot be waived.</w:t>
      </w:r>
    </w:p>
    <w:p>
      <w:pPr>
        <w:spacing w:after="0" w:line="206" w:lineRule="exact"/>
        <w:rPr>
          <w:sz w:val="20"/>
          <w:szCs w:val="20"/>
          <w:color w:val="auto"/>
        </w:rPr>
      </w:pPr>
    </w:p>
    <w:p>
      <w:pPr>
        <w:jc w:val="both"/>
        <w:ind w:firstLine="579"/>
        <w:spacing w:after="0" w:line="238" w:lineRule="auto"/>
        <w:tabs>
          <w:tab w:leader="none" w:pos="119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77" w:lineRule="exact"/>
        <w:rPr>
          <w:rFonts w:ascii="Times New Roman" w:cs="Times New Roman" w:eastAsia="Times New Roman" w:hAnsi="Times New Roman"/>
          <w:sz w:val="22"/>
          <w:szCs w:val="22"/>
          <w:color w:val="auto"/>
        </w:rPr>
      </w:pPr>
    </w:p>
    <w:p>
      <w:pPr>
        <w:jc w:val="both"/>
        <w:ind w:firstLine="579"/>
        <w:spacing w:after="0" w:line="238" w:lineRule="auto"/>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jc w:val="both"/>
        <w:ind w:firstLine="1149"/>
        <w:spacing w:after="0" w:line="238" w:lineRule="auto"/>
        <w:tabs>
          <w:tab w:leader="none" w:pos="188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Times New Roman" w:cs="Times New Roman" w:eastAsia="Times New Roman" w:hAnsi="Times New Roman"/>
          <w:sz w:val="22"/>
          <w:szCs w:val="22"/>
          <w:color w:val="auto"/>
        </w:rPr>
        <w:t>requirements, based on the written legal advice of your counsel, you will give prompt notice of such request to</w:t>
      </w:r>
      <w:r>
        <w:rPr>
          <w:sz w:val="20"/>
          <w:szCs w:val="20"/>
          <w:color w:val="auto"/>
        </w:rPr>
        <w:tab/>
      </w:r>
      <w:r>
        <w:rPr>
          <w:rFonts w:ascii="Times New Roman" w:cs="Times New Roman" w:eastAsia="Times New Roman" w:hAnsi="Times New Roman"/>
          <w:sz w:val="21"/>
          <w:szCs w:val="21"/>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78" w:lineRule="exact"/>
        <w:rPr>
          <w:sz w:val="20"/>
          <w:szCs w:val="20"/>
          <w:color w:val="auto"/>
        </w:rPr>
      </w:pPr>
    </w:p>
    <w:p>
      <w:pPr>
        <w:jc w:val="both"/>
        <w:ind w:firstLine="579"/>
        <w:spacing w:after="0" w:line="244" w:lineRule="auto"/>
        <w:tabs>
          <w:tab w:leader="none" w:pos="124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73" w:lineRule="exact"/>
        <w:rPr>
          <w:rFonts w:ascii="Times New Roman" w:cs="Times New Roman" w:eastAsia="Times New Roman" w:hAnsi="Times New Roman"/>
          <w:sz w:val="22"/>
          <w:szCs w:val="22"/>
          <w:color w:val="auto"/>
        </w:rPr>
      </w:pPr>
    </w:p>
    <w:p>
      <w:pPr>
        <w:jc w:val="both"/>
        <w:ind w:firstLine="579"/>
        <w:spacing w:after="0" w:line="235" w:lineRule="auto"/>
        <w:tabs>
          <w:tab w:leader="none" w:pos="116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261" w:right="239" w:bottom="1440" w:gutter="0" w:footer="0" w:header="0"/>
        </w:sectPr>
      </w:pPr>
    </w:p>
    <w:bookmarkStart w:id="105" w:name="page106"/>
    <w:bookmarkEnd w:id="105"/>
    <w:p>
      <w:pPr>
        <w:jc w:val="both"/>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77" w:lineRule="exact"/>
        <w:rPr>
          <w:sz w:val="20"/>
          <w:szCs w:val="20"/>
          <w:color w:val="auto"/>
        </w:rPr>
      </w:pPr>
    </w:p>
    <w:p>
      <w:pPr>
        <w:jc w:val="both"/>
        <w:ind w:firstLine="579"/>
        <w:spacing w:after="0" w:line="238" w:lineRule="auto"/>
        <w:tabs>
          <w:tab w:leader="none" w:pos="13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77" w:lineRule="exact"/>
        <w:rPr>
          <w:rFonts w:ascii="Times New Roman" w:cs="Times New Roman" w:eastAsia="Times New Roman" w:hAnsi="Times New Roman"/>
          <w:sz w:val="22"/>
          <w:szCs w:val="22"/>
          <w:color w:val="auto"/>
        </w:rPr>
      </w:pPr>
    </w:p>
    <w:p>
      <w:pPr>
        <w:ind w:firstLine="579"/>
        <w:spacing w:after="0" w:line="258" w:lineRule="auto"/>
        <w:tabs>
          <w:tab w:leader="none" w:pos="128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4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jc w:val="both"/>
        <w:ind w:firstLine="1149"/>
        <w:spacing w:after="0" w:line="244" w:lineRule="auto"/>
        <w:tabs>
          <w:tab w:leader="none" w:pos="1735"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579"/>
        <w:spacing w:after="0" w:line="258" w:lineRule="auto"/>
        <w:tabs>
          <w:tab w:leader="none" w:pos="1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579"/>
        <w:spacing w:after="0" w:line="258" w:lineRule="auto"/>
        <w:tabs>
          <w:tab w:leader="none" w:pos="132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firstLine="1149"/>
        <w:spacing w:after="0" w:line="258" w:lineRule="auto"/>
        <w:tabs>
          <w:tab w:leader="none" w:pos="188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54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261" w:right="239" w:bottom="1440" w:gutter="0" w:footer="0" w:header="0"/>
        </w:sectPr>
      </w:pPr>
    </w:p>
    <w:bookmarkStart w:id="106" w:name="page107"/>
    <w:bookmarkEnd w:id="106"/>
    <w:p>
      <w:pPr>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oral, between you and any of the Company Entities. No other promises or agreements shall be binding unless in writing and signed by both the Company and you after the Effective Date (as defined below).</w:t>
      </w:r>
    </w:p>
    <w:p>
      <w:pPr>
        <w:spacing w:after="0" w:line="158" w:lineRule="exact"/>
        <w:rPr>
          <w:sz w:val="20"/>
          <w:szCs w:val="20"/>
          <w:color w:val="auto"/>
        </w:rPr>
      </w:pPr>
    </w:p>
    <w:p>
      <w:pPr>
        <w:jc w:val="both"/>
        <w:ind w:firstLine="579"/>
        <w:spacing w:after="0" w:line="235" w:lineRule="auto"/>
        <w:tabs>
          <w:tab w:leader="none" w:pos="13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ind w:left="1400" w:hanging="821"/>
        <w:spacing w:after="0"/>
        <w:tabs>
          <w:tab w:leader="none" w:pos="14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w:t>
      </w:r>
    </w:p>
    <w:tbl>
      <w:tblPr>
        <w:tblLayout w:type="fixed"/>
        <w:tblInd w:w="0" w:type="dxa"/>
        <w:tblCellMar>
          <w:top w:w="0" w:type="dxa"/>
          <w:left w:w="0" w:type="dxa"/>
          <w:bottom w:w="0" w:type="dxa"/>
          <w:right w:w="0" w:type="dxa"/>
        </w:tblCellMar>
      </w:tblPr>
      <w:tr>
        <w:trPr>
          <w:trHeight w:val="220"/>
        </w:trPr>
        <w:tc>
          <w:tcPr>
            <w:tcW w:w="3540" w:type="dxa"/>
            <w:vAlign w:val="bottom"/>
            <w:gridSpan w:val="3"/>
          </w:tcPr>
          <w:p>
            <w:pPr>
              <w:spacing w:after="0" w:line="220" w:lineRule="exact"/>
              <w:rPr>
                <w:sz w:val="20"/>
                <w:szCs w:val="20"/>
                <w:color w:val="auto"/>
              </w:rPr>
            </w:pPr>
            <w:r>
              <w:rPr>
                <w:rFonts w:ascii="Times New Roman" w:cs="Times New Roman" w:eastAsia="Times New Roman" w:hAnsi="Times New Roman"/>
                <w:sz w:val="22"/>
                <w:szCs w:val="22"/>
                <w:color w:val="auto"/>
                <w:w w:val="99"/>
              </w:rPr>
              <w:t>Plaza, New York, NY 10020, Attention:</w:t>
            </w:r>
          </w:p>
        </w:tc>
        <w:tc>
          <w:tcPr>
            <w:tcW w:w="1160" w:type="dxa"/>
            <w:vAlign w:val="bottom"/>
            <w:tcBorders>
              <w:bottom w:val="single" w:sz="8" w:color="auto"/>
            </w:tcBorders>
          </w:tcPr>
          <w:p>
            <w:pPr>
              <w:spacing w:after="0"/>
              <w:rPr>
                <w:sz w:val="19"/>
                <w:szCs w:val="19"/>
                <w:color w:val="auto"/>
              </w:rPr>
            </w:pPr>
          </w:p>
        </w:tc>
        <w:tc>
          <w:tcPr>
            <w:tcW w:w="122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 on or before</w:t>
            </w:r>
          </w:p>
        </w:tc>
        <w:tc>
          <w:tcPr>
            <w:tcW w:w="700" w:type="dxa"/>
            <w:vAlign w:val="bottom"/>
            <w:tcBorders>
              <w:bottom w:val="single" w:sz="8" w:color="auto"/>
            </w:tcBorders>
          </w:tcPr>
          <w:p>
            <w:pPr>
              <w:spacing w:after="0"/>
              <w:rPr>
                <w:sz w:val="19"/>
                <w:szCs w:val="19"/>
                <w:color w:val="auto"/>
              </w:rPr>
            </w:pPr>
          </w:p>
        </w:tc>
        <w:tc>
          <w:tcPr>
            <w:tcW w:w="48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2"/>
                <w:szCs w:val="22"/>
                <w:color w:val="auto"/>
                <w:w w:val="99"/>
              </w:rPr>
              <w:t>. After executing this Agreement, you shall have seven</w:t>
            </w:r>
          </w:p>
        </w:tc>
      </w:tr>
      <w:tr>
        <w:trPr>
          <w:trHeight w:val="223"/>
        </w:trPr>
        <w:tc>
          <w:tcPr>
            <w:tcW w:w="908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auto"/>
                <w:w w:val="99"/>
              </w:rPr>
              <w:t>(7) days (the “Revocation Period”) to revoke it by indicating your desire to do so in writing delivered to</w:t>
            </w:r>
          </w:p>
        </w:tc>
        <w:tc>
          <w:tcPr>
            <w:tcW w:w="23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at the address</w:t>
            </w:r>
          </w:p>
        </w:tc>
      </w:tr>
      <w:tr>
        <w:trPr>
          <w:trHeight w:val="20"/>
        </w:trPr>
        <w:tc>
          <w:tcPr>
            <w:tcW w:w="1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above by no later than 5:00 p.m. on the seventh (7th) day after the date you sign this Agreement. The 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82" w:lineRule="exact"/>
        <w:rPr>
          <w:sz w:val="20"/>
          <w:szCs w:val="20"/>
          <w:color w:val="auto"/>
        </w:rPr>
      </w:pPr>
    </w:p>
    <w:p>
      <w:pPr>
        <w:ind w:firstLine="579"/>
        <w:spacing w:after="0" w:line="258" w:lineRule="auto"/>
        <w:tabs>
          <w:tab w:leader="none" w:pos="139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ind w:left="1480" w:hanging="901"/>
        <w:spacing w:after="0"/>
        <w:tabs>
          <w:tab w:leader="none" w:pos="14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Awards [(other than the</w:t>
      </w:r>
      <w:r>
        <w:rPr>
          <w:sz w:val="20"/>
          <w:szCs w:val="20"/>
          <w:color w:val="auto"/>
        </w:rPr>
        <w:tab/>
      </w:r>
      <w:r>
        <w:rPr>
          <w:rFonts w:ascii="Times New Roman" w:cs="Times New Roman" w:eastAsia="Times New Roman" w:hAnsi="Times New Roman"/>
          <w:sz w:val="22"/>
          <w:szCs w:val="22"/>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-22860</wp:posOffset>
            </wp:positionV>
            <wp:extent cx="3346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261" w:right="239" w:bottom="1440" w:gutter="0" w:footer="0" w:header="0"/>
        </w:sectPr>
      </w:pPr>
    </w:p>
    <w:bookmarkStart w:id="107" w:name="page108"/>
    <w:bookmarkEnd w:id="107"/>
    <w:p>
      <w:pPr>
        <w:ind w:left="59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-13970</wp:posOffset>
            </wp:positionV>
            <wp:extent cx="171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-22860</wp:posOffset>
            </wp:positionV>
            <wp:extent cx="15436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-22860</wp:posOffset>
            </wp:positionV>
            <wp:extent cx="9264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NAME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383"/>
        </w:trPr>
        <w:tc>
          <w:tcPr>
            <w:tcW w:w="2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STATE OF</w:t>
            </w:r>
          </w:p>
        </w:tc>
        <w:tc>
          <w:tcPr>
            <w:tcW w:w="9180" w:type="dxa"/>
            <w:vAlign w:val="bottom"/>
            <w:gridSpan w:val="3"/>
          </w:tcPr>
          <w:p>
            <w:pPr>
              <w:jc w:val="right"/>
              <w:ind w:right="8572"/>
              <w:spacing w:after="0"/>
              <w:rPr>
                <w:sz w:val="20"/>
                <w:szCs w:val="20"/>
                <w:color w:val="auto"/>
              </w:rPr>
            </w:pPr>
            <w:r>
              <w:rPr>
                <w:rFonts w:ascii="Times New Roman" w:cs="Times New Roman" w:eastAsia="Times New Roman" w:hAnsi="Times New Roman"/>
                <w:sz w:val="22"/>
                <w:szCs w:val="22"/>
                <w:color w:val="auto"/>
              </w:rPr>
              <w:t>)</w:t>
            </w:r>
          </w:p>
        </w:tc>
      </w:tr>
      <w:tr>
        <w:trPr>
          <w:trHeight w:val="236"/>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80" w:type="dxa"/>
            <w:vAlign w:val="bottom"/>
          </w:tcPr>
          <w:p>
            <w:pPr>
              <w:jc w:val="right"/>
              <w:ind w:right="8112"/>
              <w:spacing w:after="0" w:line="237" w:lineRule="exact"/>
              <w:rPr>
                <w:sz w:val="20"/>
                <w:szCs w:val="20"/>
                <w:color w:val="auto"/>
              </w:rPr>
            </w:pPr>
            <w:r>
              <w:rPr>
                <w:rFonts w:ascii="Times New Roman" w:cs="Times New Roman" w:eastAsia="Times New Roman" w:hAnsi="Times New Roman"/>
                <w:sz w:val="22"/>
                <w:szCs w:val="22"/>
                <w:color w:val="auto"/>
              </w:rPr>
              <w:t>) ss.:</w:t>
            </w:r>
          </w:p>
        </w:tc>
      </w:tr>
      <w:tr>
        <w:trPr>
          <w:trHeight w:val="230"/>
        </w:trPr>
        <w:tc>
          <w:tcPr>
            <w:tcW w:w="130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92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20" w:type="dxa"/>
            <w:vAlign w:val="bottom"/>
            <w:gridSpan w:val="2"/>
          </w:tcPr>
          <w:p>
            <w:pPr>
              <w:jc w:val="right"/>
              <w:ind w:right="8532"/>
              <w:spacing w:after="0" w:line="230" w:lineRule="exact"/>
              <w:rPr>
                <w:sz w:val="20"/>
                <w:szCs w:val="20"/>
                <w:color w:val="auto"/>
              </w:rPr>
            </w:pPr>
            <w:r>
              <w:rPr>
                <w:rFonts w:ascii="Times New Roman" w:cs="Times New Roman" w:eastAsia="Times New Roman" w:hAnsi="Times New Roman"/>
                <w:sz w:val="22"/>
                <w:szCs w:val="22"/>
                <w:color w:val="auto"/>
              </w:rPr>
              <w:t>)</w:t>
            </w:r>
          </w:p>
        </w:tc>
      </w:tr>
      <w:tr>
        <w:trPr>
          <w:trHeight w:val="439"/>
        </w:trPr>
        <w:tc>
          <w:tcPr>
            <w:tcW w:w="22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On this   day of</w:t>
            </w:r>
          </w:p>
        </w:tc>
        <w:tc>
          <w:tcPr>
            <w:tcW w:w="91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9"/>
              </w:rPr>
              <w:t>20  , before me personally came [NAME] to me known and known to me to be the person described and</w:t>
            </w:r>
          </w:p>
        </w:tc>
      </w:tr>
      <w:tr>
        <w:trPr>
          <w:trHeight w:val="20"/>
        </w:trPr>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who executed the foregoing Agreement, and [she/he] duly acknowledged to me that [she/he] executed the same.</w:t>
      </w:r>
    </w:p>
    <w:p>
      <w:pPr>
        <w:spacing w:after="0" w:line="200" w:lineRule="exact"/>
        <w:rPr>
          <w:sz w:val="20"/>
          <w:szCs w:val="20"/>
          <w:color w:val="auto"/>
        </w:rPr>
      </w:pPr>
    </w:p>
    <w:p>
      <w:pPr>
        <w:spacing w:after="0" w:line="3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672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00"/>
          </w:cols>
          <w:pgMar w:left="240" w:top="261" w:right="2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RELATING TO RETENTION AND</w:t>
      </w:r>
    </w:p>
    <w:p>
      <w:pPr>
        <w:jc w:val="center"/>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jc w:val="both"/>
        <w:ind w:right="120" w:firstLine="571"/>
        <w:spacing w:after="0" w:line="239" w:lineRule="auto"/>
        <w:rPr>
          <w:sz w:val="20"/>
          <w:szCs w:val="20"/>
          <w:color w:val="auto"/>
        </w:rPr>
      </w:pPr>
      <w:r>
        <w:rPr>
          <w:rFonts w:ascii="Times New Roman" w:cs="Times New Roman" w:eastAsia="Times New Roman" w:hAnsi="Times New Roman"/>
          <w:sz w:val="22"/>
          <w:szCs w:val="22"/>
          <w:color w:val="auto"/>
        </w:rPr>
        <w:t>AMENDED AND RESTATED AGREEMENT, dated as of March 9, 2016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Ashish Bhutani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220" w:firstLine="571"/>
        <w:spacing w:after="0" w:line="244" w:lineRule="auto"/>
        <w:rPr>
          <w:sz w:val="20"/>
          <w:szCs w:val="20"/>
          <w:color w:val="auto"/>
        </w:rPr>
      </w:pPr>
      <w:r>
        <w:rPr>
          <w:rFonts w:ascii="Times New Roman" w:cs="Times New Roman" w:eastAsia="Times New Roman" w:hAnsi="Times New Roman"/>
          <w:sz w:val="22"/>
          <w:szCs w:val="22"/>
          <w:color w:val="auto"/>
        </w:rPr>
        <w:t>WHEREAS, the Executive previously entered into an Agreement Relating to Retention and Noncompetition and Other Covenants with Lazard and Lazard Group, dated as of March 15, 2005, as amended on August 2, 2011 and March 14, 2013 (such agreement, together with all schedules and attachments thereto, the “</w:t>
      </w:r>
      <w:r>
        <w:rPr>
          <w:rFonts w:ascii="Times New Roman" w:cs="Times New Roman" w:eastAsia="Times New Roman" w:hAnsi="Times New Roman"/>
          <w:sz w:val="22"/>
          <w:szCs w:val="22"/>
          <w:u w:val="single" w:color="auto"/>
          <w:color w:val="auto"/>
        </w:rPr>
        <w:t>Prior Retention Agreement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60" w:firstLine="571"/>
        <w:spacing w:after="0" w:line="238" w:lineRule="auto"/>
        <w:rPr>
          <w:sz w:val="20"/>
          <w:szCs w:val="20"/>
          <w:color w:val="auto"/>
        </w:rPr>
      </w:pPr>
      <w:r>
        <w:rPr>
          <w:rFonts w:ascii="Times New Roman" w:cs="Times New Roman" w:eastAsia="Times New Roman" w:hAnsi="Times New Roman"/>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77" w:lineRule="exact"/>
        <w:rPr>
          <w:sz w:val="20"/>
          <w:szCs w:val="20"/>
          <w:color w:val="auto"/>
        </w:rPr>
      </w:pPr>
    </w:p>
    <w:p>
      <w:pPr>
        <w:ind w:right="320" w:firstLine="571"/>
        <w:spacing w:after="0" w:line="258" w:lineRule="auto"/>
        <w:rPr>
          <w:sz w:val="20"/>
          <w:szCs w:val="20"/>
          <w:color w:val="auto"/>
        </w:rPr>
      </w:pPr>
      <w:r>
        <w:rPr>
          <w:rFonts w:ascii="Times New Roman" w:cs="Times New Roman" w:eastAsia="Times New Roman" w:hAnsi="Times New Roman"/>
          <w:sz w:val="22"/>
          <w:szCs w:val="22"/>
          <w:color w:val="auto"/>
        </w:rPr>
        <w:t>WHEREAS, as of the date hereof, the Executive is the Vice Chairman and Managing Director of Lazard Group and Chief Executive Officer of Lazard Asset Management LLC.</w:t>
      </w:r>
    </w:p>
    <w:p>
      <w:pPr>
        <w:spacing w:after="0" w:line="158"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20" w:firstLine="579"/>
        <w:spacing w:after="0" w:line="233" w:lineRule="auto"/>
        <w:tabs>
          <w:tab w:leader="none" w:pos="121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w:t>
      </w:r>
    </w:p>
    <w:p>
      <w:pPr>
        <w:sectPr>
          <w:pgSz w:w="11900" w:h="16838" w:orient="portrait"/>
          <w:cols w:equalWidth="0" w:num="1">
            <w:col w:w="11420"/>
          </w:cols>
          <w:pgMar w:left="240" w:top="108" w:right="239" w:bottom="1440" w:gutter="0" w:footer="0" w:header="0"/>
        </w:sectPr>
      </w:pPr>
    </w:p>
    <w:bookmarkStart w:id="109" w:name="page110"/>
    <w:bookmarkEnd w:id="109"/>
    <w:p>
      <w:pPr>
        <w:ind w:right="7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apply in the event the Executive terminates his employment for any of the circumstances described in clauses (i)-(iv) of the definition of Good Reason provided in Section 3(e) below.</w:t>
      </w:r>
    </w:p>
    <w:p>
      <w:pPr>
        <w:spacing w:after="0" w:line="158" w:lineRule="exact"/>
        <w:rPr>
          <w:sz w:val="20"/>
          <w:szCs w:val="20"/>
          <w:color w:val="auto"/>
        </w:rPr>
      </w:pPr>
    </w:p>
    <w:p>
      <w:pPr>
        <w:ind w:left="1220" w:hanging="641"/>
        <w:spacing w:after="0"/>
        <w:tabs>
          <w:tab w:leader="none" w:pos="12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right="620" w:firstLine="579"/>
        <w:spacing w:after="0" w:line="258" w:lineRule="auto"/>
        <w:tabs>
          <w:tab w:leader="none" w:pos="121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right="200" w:firstLine="579"/>
        <w:spacing w:after="0" w:line="247" w:lineRule="auto"/>
        <w:tabs>
          <w:tab w:leader="none" w:pos="130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Responsibilities; Code of Conduct</w:t>
      </w:r>
      <w:r>
        <w:rPr>
          <w:rFonts w:ascii="Times New Roman" w:cs="Times New Roman" w:eastAsia="Times New Roman" w:hAnsi="Times New Roman"/>
          <w:sz w:val="21"/>
          <w:szCs w:val="21"/>
          <w:color w:val="auto"/>
        </w:rPr>
        <w:t>. During the Term until the Specified Expiration Date, the Executive shall continue to (i) serve as a Vice Chairman and Managing Director of Lazard Group and Chief Executive Officer of Lazard Asset Management LLC, with such authority, duties and responsibilities as are consistent with the authority, duties and responsibilities exercised by the Executive on the date hereof, (ii) report directly to the Firm’s Chief Executive Officer and</w:t>
      </w:r>
    </w:p>
    <w:p>
      <w:pPr>
        <w:spacing w:after="0" w:line="2" w:lineRule="exact"/>
        <w:rPr>
          <w:rFonts w:ascii="Times New Roman" w:cs="Times New Roman" w:eastAsia="Times New Roman" w:hAnsi="Times New Roman"/>
          <w:sz w:val="21"/>
          <w:szCs w:val="21"/>
          <w:color w:val="auto"/>
        </w:rPr>
      </w:pPr>
    </w:p>
    <w:p>
      <w:pPr>
        <w:ind w:right="40" w:firstLine="8"/>
        <w:spacing w:after="0" w:line="232" w:lineRule="auto"/>
        <w:tabs>
          <w:tab w:leader="none" w:pos="37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1" w:lineRule="exact"/>
        <w:rPr>
          <w:rFonts w:ascii="Times New Roman" w:cs="Times New Roman" w:eastAsia="Times New Roman" w:hAnsi="Times New Roman"/>
          <w:sz w:val="22"/>
          <w:szCs w:val="22"/>
          <w:color w:val="auto"/>
        </w:rPr>
      </w:pPr>
    </w:p>
    <w:p>
      <w:pPr>
        <w:ind w:left="1300" w:hanging="721"/>
        <w:spacing w:after="0"/>
        <w:tabs>
          <w:tab w:leader="none" w:pos="130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579"/>
        <w:spacing w:after="0" w:line="234" w:lineRule="auto"/>
        <w:tabs>
          <w:tab w:leader="none" w:pos="126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ending on the Specified Expiration Date, subject to the Executive’s continued employment hereunder, the Executive shall be entitled to receive an annual base salary of not less than $750,000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4" w:lineRule="exact"/>
        <w:rPr>
          <w:rFonts w:ascii="Times New Roman" w:cs="Times New Roman" w:eastAsia="Times New Roman" w:hAnsi="Times New Roman"/>
          <w:sz w:val="22"/>
          <w:szCs w:val="22"/>
          <w:color w:val="auto"/>
        </w:rPr>
      </w:pPr>
    </w:p>
    <w:p>
      <w:pPr>
        <w:ind w:firstLine="579"/>
        <w:spacing w:after="0" w:line="235" w:lineRule="auto"/>
        <w:tabs>
          <w:tab w:leader="none" w:pos="132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80"/>
          </w:cols>
          <w:pgMar w:left="240" w:top="261" w:right="279" w:bottom="1440" w:gutter="0" w:footer="0" w:header="0"/>
        </w:sectPr>
      </w:pPr>
    </w:p>
    <w:bookmarkStart w:id="110" w:name="page111"/>
    <w:bookmarkEnd w:id="110"/>
    <w:p>
      <w:pPr>
        <w:ind w:right="2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84" w:lineRule="exact"/>
        <w:rPr>
          <w:sz w:val="20"/>
          <w:szCs w:val="20"/>
          <w:color w:val="auto"/>
        </w:rPr>
      </w:pPr>
    </w:p>
    <w:p>
      <w:pPr>
        <w:ind w:right="280" w:firstLine="579"/>
        <w:spacing w:after="0" w:line="244" w:lineRule="auto"/>
        <w:tabs>
          <w:tab w:leader="none" w:pos="13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3" w:lineRule="exact"/>
        <w:rPr>
          <w:rFonts w:ascii="Times New Roman" w:cs="Times New Roman" w:eastAsia="Times New Roman" w:hAnsi="Times New Roman"/>
          <w:sz w:val="22"/>
          <w:szCs w:val="22"/>
          <w:color w:val="auto"/>
        </w:rPr>
      </w:pPr>
    </w:p>
    <w:p>
      <w:pPr>
        <w:ind w:right="60" w:firstLine="579"/>
        <w:spacing w:after="0" w:line="236" w:lineRule="auto"/>
        <w:tabs>
          <w:tab w:leader="none" w:pos="136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82" w:lineRule="exact"/>
        <w:rPr>
          <w:sz w:val="20"/>
          <w:szCs w:val="20"/>
          <w:color w:val="auto"/>
        </w:rPr>
      </w:pPr>
    </w:p>
    <w:p>
      <w:pPr>
        <w:ind w:firstLine="579"/>
        <w:spacing w:after="0" w:line="236" w:lineRule="auto"/>
        <w:tabs>
          <w:tab w:leader="none" w:pos="130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82" w:lineRule="exact"/>
        <w:rPr>
          <w:sz w:val="20"/>
          <w:szCs w:val="20"/>
          <w:color w:val="auto"/>
        </w:rPr>
      </w:pPr>
    </w:p>
    <w:p>
      <w:pPr>
        <w:ind w:right="80" w:firstLine="579"/>
        <w:spacing w:after="0" w:line="234" w:lineRule="auto"/>
        <w:tabs>
          <w:tab w:leader="none" w:pos="88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60"/>
          </w:cols>
          <w:pgMar w:left="240" w:top="260" w:right="299" w:bottom="1440" w:gutter="0" w:footer="0" w:header="0"/>
        </w:sectPr>
      </w:pPr>
    </w:p>
    <w:bookmarkStart w:id="111" w:name="page112"/>
    <w:bookmarkEnd w:id="111"/>
    <w:p>
      <w:pPr>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2"/>
          <w:szCs w:val="22"/>
          <w:u w:val="single" w:color="auto"/>
          <w:color w:val="auto"/>
        </w:rPr>
        <w:t>Average Bonus</w:t>
      </w:r>
      <w:r>
        <w:rPr>
          <w:rFonts w:ascii="Times New Roman" w:cs="Times New Roman" w:eastAsia="Times New Roman" w:hAnsi="Times New Roman"/>
          <w:sz w:val="22"/>
          <w:szCs w:val="22"/>
          <w:color w:val="auto"/>
        </w:rPr>
        <w:t>”). In addition, upon a Qualifying Termination, for 24 months (the “</w:t>
      </w: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91" w:lineRule="exact"/>
        <w:rPr>
          <w:sz w:val="20"/>
          <w:szCs w:val="20"/>
          <w:color w:val="auto"/>
        </w:rPr>
      </w:pPr>
    </w:p>
    <w:p>
      <w:pPr>
        <w:ind w:left="580" w:firstLine="541"/>
        <w:spacing w:after="0" w:line="232" w:lineRule="auto"/>
        <w:tabs>
          <w:tab w:leader="none" w:pos="173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2"/>
          <w:szCs w:val="22"/>
          <w:u w:val="single" w:color="auto"/>
          <w:color w:val="auto"/>
        </w:rPr>
        <w:t>Pro-Ration Fraction</w:t>
      </w:r>
      <w:r>
        <w:rPr>
          <w:rFonts w:ascii="Times New Roman" w:cs="Times New Roman" w:eastAsia="Times New Roman" w:hAnsi="Times New Roman"/>
          <w:sz w:val="22"/>
          <w:szCs w:val="22"/>
          <w:color w:val="auto"/>
        </w:rPr>
        <w:t>”); 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80"/>
          </w:cols>
          <w:pgMar w:left="240" w:top="261" w:right="279" w:bottom="1440" w:gutter="0" w:footer="0" w:header="0"/>
        </w:sectPr>
      </w:pPr>
    </w:p>
    <w:bookmarkStart w:id="112" w:name="page113"/>
    <w:bookmarkEnd w:id="112"/>
    <w:p>
      <w:pPr>
        <w:ind w:left="580" w:right="20" w:firstLine="541"/>
        <w:spacing w:after="0" w:line="249" w:lineRule="auto"/>
        <w:tabs>
          <w:tab w:leader="none" w:pos="180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71"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74" w:lineRule="exact"/>
        <w:rPr>
          <w:sz w:val="20"/>
          <w:szCs w:val="20"/>
          <w:color w:val="auto"/>
        </w:rPr>
      </w:pPr>
    </w:p>
    <w:p>
      <w:pPr>
        <w:ind w:right="20" w:firstLine="579"/>
        <w:spacing w:after="0" w:line="235" w:lineRule="auto"/>
        <w:tabs>
          <w:tab w:leader="none" w:pos="94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83" w:lineRule="exact"/>
        <w:rPr>
          <w:rFonts w:ascii="Times New Roman" w:cs="Times New Roman" w:eastAsia="Times New Roman" w:hAnsi="Times New Roman"/>
          <w:sz w:val="22"/>
          <w:szCs w:val="22"/>
          <w:color w:val="auto"/>
        </w:rPr>
      </w:pPr>
    </w:p>
    <w:p>
      <w:pPr>
        <w:ind w:firstLine="579"/>
        <w:spacing w:after="0" w:line="236" w:lineRule="auto"/>
        <w:tabs>
          <w:tab w:leader="none" w:pos="93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right="180" w:firstLine="579"/>
        <w:spacing w:after="0" w:line="236" w:lineRule="auto"/>
        <w:tabs>
          <w:tab w:leader="none" w:pos="87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2" w:lineRule="exact"/>
        <w:rPr>
          <w:sz w:val="20"/>
          <w:szCs w:val="20"/>
          <w:color w:val="auto"/>
        </w:rPr>
      </w:pPr>
    </w:p>
    <w:p>
      <w:pPr>
        <w:ind w:left="1300" w:hanging="721"/>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conviction of the Executive of, or a guilty or nolo contendere plea (or the equivalent in a non-United States jurisdiction) by the Executive to, a felony (or the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80"/>
          </w:cols>
          <w:pgMar w:left="240" w:top="261" w:right="2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 in a non-United States jurisdiction), or of any other crime that legally prohibits the Executive from working for the Firm;</w:t>
      </w:r>
    </w:p>
    <w:p>
      <w:pPr>
        <w:spacing w:after="0" w:line="26" w:lineRule="exact"/>
        <w:rPr>
          <w:sz w:val="20"/>
          <w:szCs w:val="20"/>
          <w:color w:val="auto"/>
        </w:rPr>
      </w:pPr>
    </w:p>
    <w:p>
      <w:pPr>
        <w:ind w:right="40" w:firstLine="8"/>
        <w:spacing w:after="0" w:line="231" w:lineRule="auto"/>
        <w:tabs>
          <w:tab w:leader="none" w:pos="31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2"/>
          <w:szCs w:val="22"/>
          <w:u w:val="single" w:color="auto"/>
          <w:color w:val="auto"/>
        </w:rPr>
        <w:t>Applicable Board</w:t>
      </w:r>
      <w:r>
        <w:rPr>
          <w:rFonts w:ascii="Times New Roman" w:cs="Times New Roman" w:eastAsia="Times New Roman" w:hAnsi="Times New Roman"/>
          <w:sz w:val="22"/>
          <w:szCs w:val="22"/>
          <w:color w:val="auto"/>
        </w:rPr>
        <w:t>”) finding that, in the good faith opinion of the Applicable Board, circumstances constituting Cause exist.</w:t>
      </w:r>
    </w:p>
    <w:p>
      <w:pPr>
        <w:spacing w:after="0" w:line="185" w:lineRule="exact"/>
        <w:rPr>
          <w:sz w:val="20"/>
          <w:szCs w:val="20"/>
          <w:color w:val="auto"/>
        </w:rPr>
      </w:pPr>
    </w:p>
    <w:p>
      <w:pPr>
        <w:ind w:firstLine="571"/>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261" w:right="239" w:bottom="1440" w:gutter="0" w:footer="0" w:header="0"/>
        </w:sectPr>
      </w:pPr>
    </w:p>
    <w:bookmarkStart w:id="114" w:name="page115"/>
    <w:bookmarkEnd w:id="114"/>
    <w:p>
      <w:pPr>
        <w:ind w:right="6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firstLine="571"/>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of comparable size, or greater, to Lazard’s asset management group, on the other hand, and (B) such transaction is approved by the Board of Directors of Lazard, (iii) a material breach by the Firm of the terms of this Agreement, including any material failure by the Firm to comply with Section 3(c) of this Agreement or the nondisparagement covenant in Section 8 of this Agreement, or (iv) without the Executive’s written consent, any requirement that the Executive’s principal place of employment be relocated to a location that increases the Executive’s commute from his primary residence by more than thirty</w:t>
      </w:r>
    </w:p>
    <w:p>
      <w:pPr>
        <w:spacing w:after="0" w:line="6" w:lineRule="exact"/>
        <w:rPr>
          <w:sz w:val="20"/>
          <w:szCs w:val="20"/>
          <w:color w:val="auto"/>
        </w:rPr>
      </w:pPr>
    </w:p>
    <w:p>
      <w:pPr>
        <w:ind w:right="180" w:firstLine="8"/>
        <w:spacing w:after="0" w:line="232" w:lineRule="auto"/>
        <w:tabs>
          <w:tab w:leader="none" w:pos="41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77" w:lineRule="exact"/>
        <w:rPr>
          <w:rFonts w:ascii="Times New Roman" w:cs="Times New Roman" w:eastAsia="Times New Roman" w:hAnsi="Times New Roman"/>
          <w:sz w:val="22"/>
          <w:szCs w:val="22"/>
          <w:color w:val="auto"/>
        </w:rPr>
      </w:pPr>
    </w:p>
    <w:p>
      <w:pPr>
        <w:ind w:right="340" w:firstLine="579"/>
        <w:spacing w:after="0" w:line="258" w:lineRule="auto"/>
        <w:tabs>
          <w:tab w:leader="none" w:pos="1273"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Limitations on Payments</w:t>
      </w:r>
      <w:r>
        <w:rPr>
          <w:rFonts w:ascii="Times New Roman" w:cs="Times New Roman" w:eastAsia="Times New Roman" w:hAnsi="Times New Roman"/>
          <w:sz w:val="22"/>
          <w:szCs w:val="22"/>
          <w:color w:val="auto"/>
        </w:rPr>
        <w:t>. In the event that it is determined by the reasonable computation by a nationally recognized certified public accounting firm that shall be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261"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by the Firm prior to any transaction constituting a change of control (which accounting firm shall in no event be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accounting firm for the entity seeking to effectuate such change of control) and reasonably acceptable to the Executive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which determination shall be certified by the Accountant and set forth in a certificate delivered to the Executive</w:t>
      </w:r>
    </w:p>
    <w:p>
      <w:pPr>
        <w:spacing w:after="0" w:line="231" w:lineRule="auto"/>
        <w:rPr>
          <w:sz w:val="20"/>
          <w:szCs w:val="20"/>
          <w:color w:val="auto"/>
        </w:rPr>
      </w:pPr>
      <w:r>
        <w:rPr>
          <w:rFonts w:ascii="Times New Roman" w:cs="Times New Roman" w:eastAsia="Times New Roman" w:hAnsi="Times New Roman"/>
          <w:sz w:val="22"/>
          <w:szCs w:val="22"/>
          <w:color w:val="auto"/>
        </w:rPr>
        <w:t>setting forth in reasonable detail the basis of the Accountant’s determinations, that the aggregate amount of the payments,</w:t>
      </w:r>
    </w:p>
    <w:p>
      <w:pPr>
        <w:spacing w:after="0"/>
        <w:rPr>
          <w:sz w:val="20"/>
          <w:szCs w:val="20"/>
          <w:color w:val="auto"/>
        </w:rPr>
      </w:pPr>
      <w:r>
        <w:rPr>
          <w:rFonts w:ascii="Times New Roman" w:cs="Times New Roman" w:eastAsia="Times New Roman" w:hAnsi="Times New Roman"/>
          <w:sz w:val="21"/>
          <w:szCs w:val="21"/>
          <w:color w:val="auto"/>
        </w:rPr>
        <w:t>distributions, benefits and entitlements in the nature of compensation (within the meaning of Section 280G(B)(2) of the Code)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Firm or any affiliate to or for the Executive’s benefit (including any payment, distribution, benefit or entitlement made by any</w:t>
      </w:r>
    </w:p>
    <w:p>
      <w:pPr>
        <w:spacing w:after="0" w:line="232" w:lineRule="auto"/>
        <w:rPr>
          <w:sz w:val="20"/>
          <w:szCs w:val="20"/>
          <w:color w:val="auto"/>
        </w:rPr>
      </w:pPr>
      <w:r>
        <w:rPr>
          <w:rFonts w:ascii="Times New Roman" w:cs="Times New Roman" w:eastAsia="Times New Roman" w:hAnsi="Times New Roman"/>
          <w:sz w:val="22"/>
          <w:szCs w:val="22"/>
          <w:color w:val="auto"/>
        </w:rPr>
        <w:t>person or entity effecting a change of control), in each case, that constitute “parachute payments” within the meaning of</w:t>
      </w:r>
    </w:p>
    <w:p>
      <w:pPr>
        <w:spacing w:after="0" w:line="230" w:lineRule="auto"/>
        <w:rPr>
          <w:sz w:val="20"/>
          <w:szCs w:val="20"/>
          <w:color w:val="auto"/>
        </w:rPr>
      </w:pPr>
      <w:r>
        <w:rPr>
          <w:rFonts w:ascii="Times New Roman" w:cs="Times New Roman" w:eastAsia="Times New Roman" w:hAnsi="Times New Roman"/>
          <w:sz w:val="22"/>
          <w:szCs w:val="22"/>
          <w:color w:val="auto"/>
        </w:rPr>
        <w:t>Section 280G of the Code (such payments, the “</w:t>
      </w: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 that, but for this Section 3(f), would be payable to the</w:t>
      </w:r>
    </w:p>
    <w:p>
      <w:pPr>
        <w:spacing w:after="0" w:line="231" w:lineRule="auto"/>
        <w:rPr>
          <w:sz w:val="20"/>
          <w:szCs w:val="20"/>
          <w:color w:val="auto"/>
        </w:rPr>
      </w:pPr>
      <w:r>
        <w:rPr>
          <w:rFonts w:ascii="Times New Roman" w:cs="Times New Roman" w:eastAsia="Times New Roman" w:hAnsi="Times New Roman"/>
          <w:sz w:val="22"/>
          <w:szCs w:val="22"/>
          <w:color w:val="auto"/>
        </w:rPr>
        <w:t>Executive, exceeds the greatest amount of Parachute Payments that could be paid to the Executive without giving rise to any</w:t>
      </w:r>
    </w:p>
    <w:p>
      <w:pPr>
        <w:spacing w:after="0"/>
        <w:rPr>
          <w:sz w:val="20"/>
          <w:szCs w:val="20"/>
          <w:color w:val="auto"/>
        </w:rPr>
      </w:pPr>
      <w:r>
        <w:rPr>
          <w:rFonts w:ascii="Times New Roman" w:cs="Times New Roman" w:eastAsia="Times New Roman" w:hAnsi="Times New Roman"/>
          <w:sz w:val="21"/>
          <w:szCs w:val="21"/>
          <w:color w:val="auto"/>
        </w:rPr>
        <w:t>liability for any excise tax imposed by Section 4999 of the Code (or any successor provision thereto) or any similar tax imposed by</w:t>
      </w:r>
    </w:p>
    <w:p>
      <w:pPr>
        <w:spacing w:after="0" w:line="232" w:lineRule="auto"/>
        <w:rPr>
          <w:sz w:val="20"/>
          <w:szCs w:val="20"/>
          <w:color w:val="auto"/>
        </w:rPr>
      </w:pPr>
      <w:r>
        <w:rPr>
          <w:rFonts w:ascii="Times New Roman" w:cs="Times New Roman" w:eastAsia="Times New Roman" w:hAnsi="Times New Roman"/>
          <w:sz w:val="22"/>
          <w:szCs w:val="22"/>
          <w:color w:val="auto"/>
        </w:rPr>
        <w:t>state or local law (such tax or taxes being hereafter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aggregate amount of</w:t>
      </w:r>
    </w:p>
    <w:p>
      <w:pPr>
        <w:spacing w:after="0" w:line="230" w:lineRule="auto"/>
        <w:rPr>
          <w:sz w:val="20"/>
          <w:szCs w:val="20"/>
          <w:color w:val="auto"/>
        </w:rPr>
      </w:pPr>
      <w:r>
        <w:rPr>
          <w:rFonts w:ascii="Times New Roman" w:cs="Times New Roman" w:eastAsia="Times New Roman" w:hAnsi="Times New Roman"/>
          <w:sz w:val="22"/>
          <w:szCs w:val="22"/>
          <w:color w:val="auto"/>
        </w:rPr>
        <w:t>Parachute Payments payable to the Executive shall equal the amount that produces the greatest after-tax benefit to the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after taking into account first any positions to mitigate such Excise Tax (including mitigation under a “reasonable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analysis) and second any Excise Tax payable by the Executive. For the avoidance of doubt, this provision shall reduce the amount</w:t>
      </w:r>
    </w:p>
    <w:p>
      <w:pPr>
        <w:spacing w:after="0" w:line="232" w:lineRule="auto"/>
        <w:rPr>
          <w:sz w:val="20"/>
          <w:szCs w:val="20"/>
          <w:color w:val="auto"/>
        </w:rPr>
      </w:pPr>
      <w:r>
        <w:rPr>
          <w:rFonts w:ascii="Times New Roman" w:cs="Times New Roman" w:eastAsia="Times New Roman" w:hAnsi="Times New Roman"/>
          <w:sz w:val="22"/>
          <w:szCs w:val="22"/>
          <w:color w:val="auto"/>
        </w:rPr>
        <w:t>of Parachute Payments otherwise payable to the Executive, only if doing so would place the Executive in a better net after-tax</w:t>
      </w:r>
    </w:p>
    <w:p>
      <w:pPr>
        <w:spacing w:after="0" w:line="230" w:lineRule="auto"/>
        <w:rPr>
          <w:sz w:val="20"/>
          <w:szCs w:val="20"/>
          <w:color w:val="auto"/>
        </w:rPr>
      </w:pPr>
      <w:r>
        <w:rPr>
          <w:rFonts w:ascii="Times New Roman" w:cs="Times New Roman" w:eastAsia="Times New Roman" w:hAnsi="Times New Roman"/>
          <w:sz w:val="22"/>
          <w:szCs w:val="22"/>
          <w:color w:val="auto"/>
        </w:rPr>
        <w:t>economic position as compared with not doing so (taking into account the Excise Tax payable in respect of such Parachute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Payments). The Firm shall reduce or eliminate the Parachute Payments, as necessary, by first reducing or eliminating the portion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Parachute Payments provided under this Agreement (the “</w:t>
      </w:r>
      <w:r>
        <w:rPr>
          <w:rFonts w:ascii="Times New Roman" w:cs="Times New Roman" w:eastAsia="Times New Roman" w:hAnsi="Times New Roman"/>
          <w:sz w:val="21"/>
          <w:szCs w:val="21"/>
          <w:u w:val="single" w:color="auto"/>
          <w:color w:val="auto"/>
        </w:rPr>
        <w:t>Agreement Payments</w:t>
      </w:r>
      <w:r>
        <w:rPr>
          <w:rFonts w:ascii="Times New Roman" w:cs="Times New Roman" w:eastAsia="Times New Roman" w:hAnsi="Times New Roman"/>
          <w:sz w:val="21"/>
          <w:szCs w:val="21"/>
          <w:color w:val="auto"/>
        </w:rPr>
        <w:t>”) that are payable in cash and then by reducing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eliminating the non-cash portion of the Agreement Payments, in each case, in reverse order beginning with payments or benefits</w:t>
      </w:r>
    </w:p>
    <w:p>
      <w:pPr>
        <w:spacing w:after="0" w:line="232" w:lineRule="auto"/>
        <w:rPr>
          <w:sz w:val="20"/>
          <w:szCs w:val="20"/>
          <w:color w:val="auto"/>
        </w:rPr>
      </w:pPr>
      <w:r>
        <w:rPr>
          <w:rFonts w:ascii="Times New Roman" w:cs="Times New Roman" w:eastAsia="Times New Roman" w:hAnsi="Times New Roman"/>
          <w:sz w:val="22"/>
          <w:szCs w:val="22"/>
          <w:color w:val="auto"/>
        </w:rPr>
        <w:t>that are to be paid the furthest in time from the Date of Termination. For purposes of reducing the Parachute Payments to the</w:t>
      </w:r>
    </w:p>
    <w:p>
      <w:pPr>
        <w:spacing w:after="0"/>
        <w:rPr>
          <w:sz w:val="20"/>
          <w:szCs w:val="20"/>
          <w:color w:val="auto"/>
        </w:rPr>
      </w:pPr>
      <w:r>
        <w:rPr>
          <w:rFonts w:ascii="Times New Roman" w:cs="Times New Roman" w:eastAsia="Times New Roman" w:hAnsi="Times New Roman"/>
          <w:sz w:val="22"/>
          <w:szCs w:val="22"/>
          <w:color w:val="auto"/>
        </w:rPr>
        <w:t>Executive, only the Agreement Payments (and no other Parachute Payments) shall be reduced.</w:t>
      </w:r>
    </w:p>
    <w:p>
      <w:pPr>
        <w:spacing w:after="0" w:line="182" w:lineRule="exact"/>
        <w:rPr>
          <w:sz w:val="20"/>
          <w:szCs w:val="20"/>
          <w:color w:val="auto"/>
        </w:rPr>
      </w:pPr>
    </w:p>
    <w:p>
      <w:pPr>
        <w:ind w:right="100" w:firstLine="571"/>
        <w:spacing w:after="0" w:line="245" w:lineRule="auto"/>
        <w:rPr>
          <w:sz w:val="20"/>
          <w:szCs w:val="20"/>
          <w:color w:val="auto"/>
        </w:rPr>
      </w:pPr>
      <w:r>
        <w:rPr>
          <w:rFonts w:ascii="Times New Roman" w:cs="Times New Roman" w:eastAsia="Times New Roman" w:hAnsi="Times New Roman"/>
          <w:sz w:val="21"/>
          <w:szCs w:val="21"/>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60"/>
          </w:cols>
          <w:pgMar w:left="240" w:top="261" w:right="299" w:bottom="1440" w:gutter="0" w:footer="0" w:header="0"/>
        </w:sectPr>
      </w:pPr>
    </w:p>
    <w:bookmarkStart w:id="116" w:name="page117"/>
    <w:bookmarkEnd w:id="116"/>
    <w:p>
      <w:pPr>
        <w:ind w:left="-20" w:firstLine="579"/>
        <w:spacing w:after="0" w:line="242" w:lineRule="auto"/>
        <w:tabs>
          <w:tab w:leader="none" w:pos="128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Times New Roman" w:cs="Times New Roman" w:eastAsia="Times New Roman" w:hAnsi="Times New Roman"/>
          <w:sz w:val="21"/>
          <w:szCs w:val="21"/>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00"/>
          </w:cols>
          <w:pgMar w:left="260" w:top="261" w:right="239" w:bottom="1440" w:gutter="0" w:footer="0" w:header="0"/>
        </w:sectPr>
      </w:pPr>
    </w:p>
    <w:bookmarkStart w:id="117" w:name="page118"/>
    <w:bookmarkEnd w:id="117"/>
    <w:p>
      <w:pPr>
        <w:ind w:right="20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Thereafter, the payments and benefits will continue, if applicable, for the relevant period set forth in this Agreement, as the case may be.</w:t>
      </w:r>
    </w:p>
    <w:p>
      <w:pPr>
        <w:spacing w:after="0" w:line="158" w:lineRule="exact"/>
        <w:rPr>
          <w:sz w:val="20"/>
          <w:szCs w:val="20"/>
          <w:color w:val="auto"/>
        </w:rPr>
      </w:pPr>
    </w:p>
    <w:p>
      <w:pPr>
        <w:ind w:right="20" w:firstLine="579"/>
        <w:spacing w:after="0" w:line="243" w:lineRule="auto"/>
        <w:tabs>
          <w:tab w:leader="none" w:pos="1219"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85" w:lineRule="exact"/>
        <w:rPr>
          <w:rFonts w:ascii="Times New Roman" w:cs="Times New Roman" w:eastAsia="Times New Roman" w:hAnsi="Times New Roman"/>
          <w:sz w:val="21"/>
          <w:szCs w:val="21"/>
          <w:color w:val="auto"/>
        </w:rPr>
      </w:pPr>
    </w:p>
    <w:p>
      <w:pPr>
        <w:ind w:firstLine="579"/>
        <w:spacing w:after="0" w:line="244" w:lineRule="auto"/>
        <w:tabs>
          <w:tab w:leader="none" w:pos="1219"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months after the Date of Termination by the Firm without Cause or by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261" w:right="239" w:bottom="1440" w:gutter="0" w:footer="0" w:header="0"/>
        </w:sectPr>
      </w:pPr>
    </w:p>
    <w:bookmarkStart w:id="118" w:name="page119"/>
    <w:bookmarkEnd w:id="118"/>
    <w:p>
      <w:pPr>
        <w:ind w:right="20"/>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for Good Reason (such period, the “</w:t>
      </w:r>
      <w:r>
        <w:rPr>
          <w:rFonts w:ascii="Times New Roman" w:cs="Times New Roman" w:eastAsia="Times New Roman" w:hAnsi="Times New Roman"/>
          <w:sz w:val="21"/>
          <w:szCs w:val="21"/>
          <w:u w:val="single" w:color="auto"/>
          <w:color w:val="auto"/>
        </w:rPr>
        <w:t>Noncompete Restriction Period</w:t>
      </w:r>
      <w:r>
        <w:rPr>
          <w:rFonts w:ascii="Times New Roman" w:cs="Times New Roman" w:eastAsia="Times New Roman" w:hAnsi="Times New Roman"/>
          <w:sz w:val="21"/>
          <w:szCs w:val="21"/>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Times New Roman" w:cs="Times New Roman" w:eastAsia="Times New Roman" w:hAnsi="Times New Roman"/>
          <w:sz w:val="21"/>
          <w:szCs w:val="21"/>
          <w:u w:val="single" w:color="auto"/>
          <w:color w:val="auto"/>
        </w:rPr>
        <w:t>Competing Activity</w:t>
      </w:r>
      <w:r>
        <w:rPr>
          <w:rFonts w:ascii="Times New Roman" w:cs="Times New Roman" w:eastAsia="Times New Roman" w:hAnsi="Times New Roman"/>
          <w:sz w:val="21"/>
          <w:szCs w:val="21"/>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Times New Roman" w:cs="Times New Roman" w:eastAsia="Times New Roman" w:hAnsi="Times New Roman"/>
          <w:sz w:val="21"/>
          <w:szCs w:val="21"/>
          <w:u w:val="single" w:color="auto"/>
          <w:color w:val="auto"/>
        </w:rPr>
        <w:t>Competitive Enterprise</w:t>
      </w:r>
      <w:r>
        <w:rPr>
          <w:rFonts w:ascii="Times New Roman" w:cs="Times New Roman" w:eastAsia="Times New Roman" w:hAnsi="Times New Roman"/>
          <w:sz w:val="21"/>
          <w:szCs w:val="21"/>
          <w:color w:val="auto"/>
        </w:rPr>
        <w:t>” shall mean a business (or business unit) that (1) engages in any activity or</w:t>
      </w:r>
    </w:p>
    <w:p>
      <w:pPr>
        <w:ind w:firstLine="8"/>
        <w:spacing w:after="0" w:line="232" w:lineRule="auto"/>
        <w:tabs>
          <w:tab w:leader="none" w:pos="30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81" w:lineRule="exact"/>
        <w:rPr>
          <w:rFonts w:ascii="Times New Roman" w:cs="Times New Roman" w:eastAsia="Times New Roman" w:hAnsi="Times New Roman"/>
          <w:sz w:val="22"/>
          <w:szCs w:val="22"/>
          <w:color w:val="auto"/>
        </w:rPr>
      </w:pPr>
    </w:p>
    <w:p>
      <w:pPr>
        <w:ind w:firstLine="579"/>
        <w:spacing w:after="0" w:line="239" w:lineRule="auto"/>
        <w:tabs>
          <w:tab w:leader="none" w:pos="130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right="20" w:firstLine="579"/>
        <w:spacing w:after="0" w:line="245" w:lineRule="auto"/>
        <w:tabs>
          <w:tab w:leader="none" w:pos="1219"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78" w:lineRule="exact"/>
        <w:rPr>
          <w:rFonts w:ascii="Times New Roman" w:cs="Times New Roman" w:eastAsia="Times New Roman" w:hAnsi="Times New Roman"/>
          <w:sz w:val="21"/>
          <w:szCs w:val="21"/>
          <w:color w:val="auto"/>
        </w:rPr>
      </w:pPr>
    </w:p>
    <w:p>
      <w:pPr>
        <w:ind w:right="440" w:firstLine="579"/>
        <w:spacing w:after="0" w:line="244" w:lineRule="auto"/>
        <w:tabs>
          <w:tab w:leader="none" w:pos="121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00"/>
          </w:cols>
          <w:pgMar w:left="240" w:top="261" w:right="259" w:bottom="1440" w:gutter="0" w:footer="0" w:header="0"/>
        </w:sectPr>
      </w:pPr>
    </w:p>
    <w:bookmarkStart w:id="119" w:name="page120"/>
    <w:bookmarkEnd w:id="119"/>
    <w:p>
      <w:pPr>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7" w:lineRule="exact"/>
        <w:rPr>
          <w:sz w:val="20"/>
          <w:szCs w:val="20"/>
          <w:color w:val="auto"/>
        </w:rPr>
      </w:pPr>
    </w:p>
    <w:p>
      <w:pPr>
        <w:ind w:right="40" w:firstLine="579"/>
        <w:spacing w:after="0" w:line="232" w:lineRule="auto"/>
        <w:tabs>
          <w:tab w:leader="none" w:pos="121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84" w:lineRule="exact"/>
        <w:rPr>
          <w:rFonts w:ascii="Times New Roman" w:cs="Times New Roman" w:eastAsia="Times New Roman" w:hAnsi="Times New Roman"/>
          <w:sz w:val="22"/>
          <w:szCs w:val="22"/>
          <w:color w:val="auto"/>
        </w:rPr>
      </w:pPr>
    </w:p>
    <w:p>
      <w:pPr>
        <w:ind w:right="120" w:firstLine="579"/>
        <w:spacing w:after="0" w:line="238" w:lineRule="auto"/>
        <w:tabs>
          <w:tab w:leader="none" w:pos="121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right="80" w:firstLine="579"/>
        <w:spacing w:after="0" w:line="258" w:lineRule="auto"/>
        <w:tabs>
          <w:tab w:leader="none" w:pos="132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If any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261" w:right="239" w:bottom="1440" w:gutter="0" w:footer="0" w:header="0"/>
        </w:sectPr>
      </w:pPr>
    </w:p>
    <w:bookmarkStart w:id="120" w:name="page121"/>
    <w:bookmarkEnd w:id="120"/>
    <w:p>
      <w:pPr>
        <w:ind w:right="4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82" w:lineRule="exact"/>
        <w:rPr>
          <w:sz w:val="20"/>
          <w:szCs w:val="20"/>
          <w:color w:val="auto"/>
        </w:rPr>
      </w:pPr>
    </w:p>
    <w:p>
      <w:pPr>
        <w:ind w:firstLine="579"/>
        <w:spacing w:after="0" w:line="233" w:lineRule="auto"/>
        <w:tabs>
          <w:tab w:leader="none" w:pos="130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83" w:lineRule="exact"/>
        <w:rPr>
          <w:rFonts w:ascii="Times New Roman" w:cs="Times New Roman" w:eastAsia="Times New Roman" w:hAnsi="Times New Roman"/>
          <w:sz w:val="22"/>
          <w:szCs w:val="22"/>
          <w:color w:val="auto"/>
        </w:rPr>
      </w:pPr>
    </w:p>
    <w:p>
      <w:pPr>
        <w:ind w:right="120" w:firstLine="579"/>
        <w:spacing w:after="0" w:line="233" w:lineRule="auto"/>
        <w:tabs>
          <w:tab w:leader="none" w:pos="129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86" w:lineRule="exact"/>
        <w:rPr>
          <w:sz w:val="20"/>
          <w:szCs w:val="20"/>
          <w:color w:val="auto"/>
        </w:rPr>
      </w:pPr>
    </w:p>
    <w:p>
      <w:pPr>
        <w:ind w:right="260" w:firstLine="579"/>
        <w:spacing w:after="0" w:line="244" w:lineRule="auto"/>
        <w:tabs>
          <w:tab w:leader="none" w:pos="131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261" w:right="239" w:bottom="1440" w:gutter="0" w:footer="0" w:header="0"/>
        </w:sectPr>
      </w:pPr>
    </w:p>
    <w:bookmarkStart w:id="121" w:name="page122"/>
    <w:bookmarkEnd w:id="121"/>
    <w:p>
      <w:pPr>
        <w:ind w:right="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79" w:lineRule="exact"/>
        <w:rPr>
          <w:sz w:val="20"/>
          <w:szCs w:val="20"/>
          <w:color w:val="auto"/>
        </w:rPr>
      </w:pPr>
    </w:p>
    <w:p>
      <w:pPr>
        <w:ind w:right="20" w:firstLine="579"/>
        <w:spacing w:after="0" w:line="232" w:lineRule="auto"/>
        <w:tabs>
          <w:tab w:leader="none" w:pos="132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2"/>
          <w:szCs w:val="22"/>
          <w:u w:val="single" w:color="auto"/>
          <w:color w:val="auto"/>
        </w:rPr>
        <w:t>Employment Related Matters</w:t>
      </w:r>
      <w:r>
        <w:rPr>
          <w:rFonts w:ascii="Times New Roman" w:cs="Times New Roman" w:eastAsia="Times New Roman" w:hAnsi="Times New Roman"/>
          <w:sz w:val="22"/>
          <w:szCs w:val="22"/>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promptly repay to Lazard Group all such amounts if the Executive fails to prevail on at least one material issue in dispute in any such contest.</w:t>
      </w:r>
    </w:p>
    <w:p>
      <w:pPr>
        <w:spacing w:after="0" w:line="192" w:lineRule="exact"/>
        <w:rPr>
          <w:rFonts w:ascii="Times New Roman" w:cs="Times New Roman" w:eastAsia="Times New Roman" w:hAnsi="Times New Roman"/>
          <w:sz w:val="22"/>
          <w:szCs w:val="22"/>
          <w:color w:val="auto"/>
        </w:rPr>
      </w:pPr>
    </w:p>
    <w:p>
      <w:pPr>
        <w:ind w:firstLine="579"/>
        <w:spacing w:after="0" w:line="234" w:lineRule="auto"/>
        <w:tabs>
          <w:tab w:leader="none" w:pos="132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60"/>
          </w:cols>
          <w:pgMar w:left="240" w:top="261" w:right="299" w:bottom="1440" w:gutter="0" w:footer="0" w:header="0"/>
        </w:sectPr>
      </w:pPr>
    </w:p>
    <w:bookmarkStart w:id="122" w:name="page123"/>
    <w:bookmarkEnd w:id="122"/>
    <w:p>
      <w:pPr>
        <w:ind w:left="-20" w:firstLine="579"/>
        <w:spacing w:after="0" w:line="234" w:lineRule="auto"/>
        <w:tabs>
          <w:tab w:leader="none" w:pos="130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0" w:lineRule="exact"/>
        <w:rPr>
          <w:sz w:val="20"/>
          <w:szCs w:val="20"/>
          <w:color w:val="auto"/>
        </w:rPr>
      </w:pPr>
    </w:p>
    <w:p>
      <w:pPr>
        <w:ind w:left="-20" w:right="40" w:firstLine="579"/>
        <w:spacing w:after="0" w:line="247" w:lineRule="auto"/>
        <w:tabs>
          <w:tab w:leader="none" w:pos="1289"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73" w:lineRule="exact"/>
        <w:rPr>
          <w:sz w:val="20"/>
          <w:szCs w:val="20"/>
          <w:color w:val="auto"/>
        </w:rPr>
      </w:pPr>
    </w:p>
    <w:p>
      <w:pPr>
        <w:ind w:left="-20" w:right="440" w:firstLine="579"/>
        <w:spacing w:after="0" w:line="239" w:lineRule="auto"/>
        <w:tabs>
          <w:tab w:leader="none" w:pos="130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ind w:left="-20" w:right="280" w:firstLine="579"/>
        <w:spacing w:after="0" w:line="258" w:lineRule="auto"/>
        <w:tabs>
          <w:tab w:leader="none" w:pos="130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w:t>
      </w:r>
    </w:p>
    <w:p>
      <w:pPr>
        <w:spacing w:after="0" w:line="158" w:lineRule="exact"/>
        <w:rPr>
          <w:sz w:val="20"/>
          <w:szCs w:val="20"/>
          <w:color w:val="auto"/>
        </w:rPr>
      </w:pPr>
    </w:p>
    <w:p>
      <w:pPr>
        <w:ind w:left="-20" w:right="140" w:firstLine="579"/>
        <w:spacing w:after="0" w:line="244" w:lineRule="auto"/>
        <w:tabs>
          <w:tab w:leader="none" w:pos="128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left="-20" w:firstLine="579"/>
        <w:spacing w:after="0" w:line="239" w:lineRule="auto"/>
        <w:tabs>
          <w:tab w:leader="none" w:pos="127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80"/>
          </w:cols>
          <w:pgMar w:left="260" w:top="261" w:right="259" w:bottom="1440" w:gutter="0" w:footer="0" w:header="0"/>
        </w:sectPr>
      </w:pPr>
    </w:p>
    <w:bookmarkStart w:id="123" w:name="page124"/>
    <w:bookmarkEnd w:id="123"/>
    <w:p>
      <w:pPr>
        <w:ind w:left="-20" w:firstLine="579"/>
        <w:spacing w:after="0" w:line="233" w:lineRule="auto"/>
        <w:tabs>
          <w:tab w:leader="none" w:pos="128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86" w:lineRule="exact"/>
        <w:rPr>
          <w:rFonts w:ascii="Times New Roman" w:cs="Times New Roman" w:eastAsia="Times New Roman" w:hAnsi="Times New Roman"/>
          <w:sz w:val="22"/>
          <w:szCs w:val="22"/>
          <w:color w:val="auto"/>
        </w:rPr>
      </w:pPr>
    </w:p>
    <w:p>
      <w:pPr>
        <w:ind w:left="-20" w:right="20" w:firstLine="579"/>
        <w:spacing w:after="0" w:line="244" w:lineRule="auto"/>
        <w:tabs>
          <w:tab w:leader="none" w:pos="127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3" w:lineRule="exact"/>
        <w:rPr>
          <w:rFonts w:ascii="Times New Roman" w:cs="Times New Roman" w:eastAsia="Times New Roman" w:hAnsi="Times New Roman"/>
          <w:sz w:val="22"/>
          <w:szCs w:val="22"/>
          <w:color w:val="auto"/>
        </w:rPr>
      </w:pPr>
    </w:p>
    <w:p>
      <w:pPr>
        <w:ind w:left="-20" w:firstLine="579"/>
        <w:spacing w:after="0" w:line="236" w:lineRule="auto"/>
        <w:tabs>
          <w:tab w:leader="none" w:pos="125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2" w:lineRule="exact"/>
        <w:rPr>
          <w:rFonts w:ascii="Times New Roman" w:cs="Times New Roman" w:eastAsia="Times New Roman" w:hAnsi="Times New Roman"/>
          <w:sz w:val="22"/>
          <w:szCs w:val="22"/>
          <w:color w:val="auto"/>
        </w:rPr>
      </w:pPr>
    </w:p>
    <w:p>
      <w:pPr>
        <w:ind w:left="-20" w:right="460" w:firstLine="579"/>
        <w:spacing w:after="0" w:line="258" w:lineRule="auto"/>
        <w:tabs>
          <w:tab w:leader="none" w:pos="128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left="-20" w:right="60" w:firstLine="579"/>
        <w:spacing w:after="0" w:line="239" w:lineRule="auto"/>
        <w:tabs>
          <w:tab w:leader="none" w:pos="128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left="-20" w:right="40" w:firstLine="579"/>
        <w:spacing w:after="0" w:line="238" w:lineRule="auto"/>
        <w:tabs>
          <w:tab w:leader="none" w:pos="12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after-tax cost to the Executive of such benefits be greater than the cost applicable to similarly situated executives of the Firm who have not terminated employment or, following a</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380"/>
          </w:cols>
          <w:pgMar w:left="260" w:top="260" w:right="259" w:bottom="1440" w:gutter="0" w:footer="0" w:header="0"/>
        </w:sectPr>
      </w:pPr>
    </w:p>
    <w:bookmarkStart w:id="124" w:name="page125"/>
    <w:bookmarkEnd w:id="124"/>
    <w:p>
      <w:pPr>
        <w:ind w:right="70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the cost applicable to the Executive immediately prior to the Change in Control, if more favorable to the Executive.</w:t>
      </w:r>
    </w:p>
    <w:p>
      <w:pPr>
        <w:spacing w:after="0" w:line="158" w:lineRule="exact"/>
        <w:rPr>
          <w:sz w:val="20"/>
          <w:szCs w:val="20"/>
          <w:color w:val="auto"/>
        </w:rPr>
      </w:pPr>
    </w:p>
    <w:p>
      <w:pPr>
        <w:ind w:right="220" w:firstLine="579"/>
        <w:spacing w:after="0" w:line="282" w:lineRule="auto"/>
        <w:tabs>
          <w:tab w:leader="none" w:pos="126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4" w:lineRule="exact"/>
        <w:rPr>
          <w:rFonts w:ascii="Times New Roman" w:cs="Times New Roman" w:eastAsia="Times New Roman" w:hAnsi="Times New Roman"/>
          <w:sz w:val="21"/>
          <w:szCs w:val="21"/>
          <w:color w:val="auto"/>
        </w:rPr>
      </w:pPr>
    </w:p>
    <w:p>
      <w:pPr>
        <w:ind w:right="100" w:firstLine="579"/>
        <w:spacing w:after="0" w:line="236" w:lineRule="auto"/>
        <w:tabs>
          <w:tab w:leader="none" w:pos="130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82" w:lineRule="exact"/>
        <w:rPr>
          <w:rFonts w:ascii="Times New Roman" w:cs="Times New Roman" w:eastAsia="Times New Roman" w:hAnsi="Times New Roman"/>
          <w:sz w:val="22"/>
          <w:szCs w:val="22"/>
          <w:color w:val="auto"/>
        </w:rPr>
      </w:pPr>
    </w:p>
    <w:p>
      <w:pPr>
        <w:ind w:firstLine="579"/>
        <w:spacing w:after="0" w:line="234" w:lineRule="auto"/>
        <w:tabs>
          <w:tab w:leader="none" w:pos="126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4" w:lineRule="exact"/>
        <w:rPr>
          <w:sz w:val="20"/>
          <w:szCs w:val="20"/>
          <w:color w:val="auto"/>
        </w:rPr>
      </w:pPr>
    </w:p>
    <w:p>
      <w:pPr>
        <w:ind w:right="200" w:firstLine="579"/>
        <w:spacing w:after="0" w:line="239" w:lineRule="auto"/>
        <w:tabs>
          <w:tab w:leader="none" w:pos="1327"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261" w:right="239" w:bottom="1440" w:gutter="0" w:footer="0" w:header="0"/>
        </w:sectPr>
      </w:pPr>
    </w:p>
    <w:bookmarkStart w:id="125" w:name="page126"/>
    <w:bookmarkEnd w:id="125"/>
    <w:p>
      <w:pPr>
        <w:ind w:right="220"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3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GROUP LLC (on its behalf,</w:t>
      </w:r>
    </w:p>
    <w:p>
      <w:pPr>
        <w:spacing w:after="0" w:line="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and on behalf of its subsidiaries and</w:t>
      </w:r>
    </w:p>
    <w:p>
      <w:pPr>
        <w:ind w:left="6860"/>
        <w:spacing w:after="0"/>
        <w:rPr>
          <w:sz w:val="20"/>
          <w:szCs w:val="20"/>
          <w:color w:val="auto"/>
        </w:rPr>
      </w:pPr>
      <w:r>
        <w:rPr>
          <w:rFonts w:ascii="Times New Roman" w:cs="Times New Roman" w:eastAsia="Times New Roman" w:hAnsi="Times New Roman"/>
          <w:sz w:val="22"/>
          <w:szCs w:val="22"/>
          <w:color w:val="auto"/>
        </w:rPr>
        <w:t>affiliates),</w:t>
      </w:r>
    </w:p>
    <w:p>
      <w:pPr>
        <w:spacing w:after="0" w:line="19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90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Ashish Bhutani</w:t>
            </w:r>
          </w:p>
        </w:tc>
      </w:tr>
      <w:tr>
        <w:trPr>
          <w:trHeight w:val="27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Ashish Bhutani</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261" w:right="239" w:bottom="1440" w:gutter="0" w:footer="0" w:header="0"/>
        </w:sectPr>
      </w:pPr>
    </w:p>
    <w:bookmarkStart w:id="126" w:name="page127"/>
    <w:bookmarkEnd w:id="126"/>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w w:val="95"/>
              </w:rPr>
              <w:t>Exhibit A</w:t>
            </w:r>
          </w:p>
        </w:tc>
      </w:tr>
      <w:tr>
        <w:trPr>
          <w:trHeight w:val="492"/>
        </w:trPr>
        <w:tc>
          <w:tcPr>
            <w:tcW w:w="2660" w:type="dxa"/>
            <w:vAlign w:val="bottom"/>
          </w:tcPr>
          <w:p>
            <w:pPr>
              <w:spacing w:after="0"/>
              <w:rPr>
                <w:sz w:val="24"/>
                <w:szCs w:val="24"/>
                <w:color w:val="auto"/>
              </w:rPr>
            </w:pPr>
          </w:p>
        </w:tc>
        <w:tc>
          <w:tcPr>
            <w:tcW w:w="8180" w:type="dxa"/>
            <w:vAlign w:val="bottom"/>
            <w:gridSpan w:val="8"/>
          </w:tcPr>
          <w:p>
            <w:pPr>
              <w:jc w:val="right"/>
              <w:ind w:right="3900"/>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tc>
      </w:tr>
      <w:tr>
        <w:trPr>
          <w:trHeight w:val="407"/>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Waiver and General Release (“Agreement”), dated as of</w:t>
            </w:r>
          </w:p>
        </w:tc>
        <w:tc>
          <w:tcPr>
            <w:tcW w:w="640" w:type="dxa"/>
            <w:vAlign w:val="bottom"/>
          </w:tcPr>
          <w:p>
            <w:pPr>
              <w:spacing w:after="0"/>
              <w:rPr>
                <w:sz w:val="24"/>
                <w:szCs w:val="24"/>
                <w:color w:val="auto"/>
              </w:rPr>
            </w:pPr>
          </w:p>
        </w:tc>
        <w:tc>
          <w:tcPr>
            <w:tcW w:w="530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w w:val="97"/>
              </w:rPr>
              <w:t>, by and between Ashish Bhutani (“Employee” or “you”) and</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ind w:right="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Lazard Group LLC (the “Company”)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220" w:hanging="641"/>
        <w:spacing w:after="0"/>
        <w:tabs>
          <w:tab w:leader="none" w:pos="12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-13970</wp:posOffset>
            </wp:positionV>
            <wp:extent cx="4114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2" w:lineRule="exact"/>
        <w:rPr>
          <w:sz w:val="20"/>
          <w:szCs w:val="20"/>
          <w:color w:val="auto"/>
        </w:rPr>
      </w:pPr>
    </w:p>
    <w:p>
      <w:pPr>
        <w:ind w:right="160" w:firstLine="579"/>
        <w:spacing w:after="0" w:line="238" w:lineRule="auto"/>
        <w:tabs>
          <w:tab w:leader="none" w:pos="121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that are conditioned on the Release Requirement (as defined in Section 3(d)(iii))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60" w:firstLine="579"/>
        <w:spacing w:after="0" w:line="238" w:lineRule="auto"/>
        <w:tabs>
          <w:tab w:leader="none" w:pos="121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77" w:lineRule="exact"/>
        <w:rPr>
          <w:rFonts w:ascii="Times New Roman" w:cs="Times New Roman" w:eastAsia="Times New Roman" w:hAnsi="Times New Roman"/>
          <w:sz w:val="22"/>
          <w:szCs w:val="22"/>
          <w:color w:val="auto"/>
        </w:rPr>
      </w:pPr>
    </w:p>
    <w:p>
      <w:pPr>
        <w:ind w:right="40" w:firstLine="579"/>
        <w:spacing w:after="0" w:line="238" w:lineRule="auto"/>
        <w:tabs>
          <w:tab w:leader="none" w:pos="121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238" w:right="239" w:bottom="1440" w:gutter="0" w:footer="0" w:header="0"/>
        </w:sectPr>
      </w:pPr>
    </w:p>
    <w:bookmarkStart w:id="127" w:name="page128"/>
    <w:bookmarkEnd w:id="127"/>
    <w:p>
      <w:pPr>
        <w:ind w:right="94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58" w:lineRule="exact"/>
        <w:rPr>
          <w:sz w:val="20"/>
          <w:szCs w:val="20"/>
          <w:color w:val="auto"/>
        </w:rPr>
      </w:pPr>
    </w:p>
    <w:p>
      <w:pPr>
        <w:jc w:val="both"/>
        <w:ind w:firstLine="1332"/>
        <w:spacing w:after="0" w:line="233" w:lineRule="auto"/>
        <w:tabs>
          <w:tab w:leader="none" w:pos="2163" w:val="left"/>
        </w:tabs>
        <w:numPr>
          <w:ilvl w:val="2"/>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86" w:lineRule="exact"/>
        <w:rPr>
          <w:rFonts w:ascii="Times New Roman" w:cs="Times New Roman" w:eastAsia="Times New Roman" w:hAnsi="Times New Roman"/>
          <w:sz w:val="22"/>
          <w:szCs w:val="22"/>
          <w:color w:val="auto"/>
        </w:rPr>
      </w:pPr>
    </w:p>
    <w:p>
      <w:pPr>
        <w:jc w:val="both"/>
        <w:ind w:firstLine="1263"/>
        <w:spacing w:after="0" w:line="233" w:lineRule="auto"/>
        <w:tabs>
          <w:tab w:leader="none" w:pos="191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86" w:lineRule="exact"/>
        <w:rPr>
          <w:rFonts w:ascii="Times New Roman" w:cs="Times New Roman" w:eastAsia="Times New Roman" w:hAnsi="Times New Roman"/>
          <w:sz w:val="22"/>
          <w:szCs w:val="22"/>
          <w:color w:val="auto"/>
        </w:rPr>
      </w:pPr>
    </w:p>
    <w:p>
      <w:pPr>
        <w:jc w:val="both"/>
        <w:ind w:firstLine="579"/>
        <w:spacing w:after="0" w:line="238" w:lineRule="auto"/>
        <w:tabs>
          <w:tab w:leader="none" w:pos="123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261" w:right="239" w:bottom="1440" w:gutter="0" w:footer="0" w:header="0"/>
        </w:sectPr>
      </w:pPr>
    </w:p>
    <w:bookmarkStart w:id="128" w:name="page129"/>
    <w:bookmarkEnd w:id="128"/>
    <w:p>
      <w:pPr>
        <w:jc w:val="both"/>
        <w:ind w:firstLine="579"/>
        <w:spacing w:after="0" w:line="238" w:lineRule="auto"/>
        <w:tabs>
          <w:tab w:leader="none" w:pos="135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jc w:val="both"/>
        <w:ind w:firstLine="1250"/>
        <w:spacing w:after="0" w:line="238" w:lineRule="auto"/>
        <w:tabs>
          <w:tab w:leader="none" w:pos="2009"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Times New Roman" w:cs="Times New Roman" w:eastAsia="Times New Roman" w:hAnsi="Times New Roman"/>
          <w:sz w:val="22"/>
          <w:szCs w:val="22"/>
          <w:color w:val="auto"/>
        </w:rPr>
        <w:t>requirements, based on the written legal advice of your counsel, you will give prompt notice of such request to</w:t>
      </w:r>
      <w:r>
        <w:rPr>
          <w:sz w:val="20"/>
          <w:szCs w:val="20"/>
          <w:color w:val="auto"/>
        </w:rPr>
        <w:tab/>
      </w:r>
      <w:r>
        <w:rPr>
          <w:rFonts w:ascii="Times New Roman" w:cs="Times New Roman" w:eastAsia="Times New Roman" w:hAnsi="Times New Roman"/>
          <w:sz w:val="21"/>
          <w:szCs w:val="21"/>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78" w:lineRule="exact"/>
        <w:rPr>
          <w:sz w:val="20"/>
          <w:szCs w:val="20"/>
          <w:color w:val="auto"/>
        </w:rPr>
      </w:pPr>
    </w:p>
    <w:p>
      <w:pPr>
        <w:jc w:val="both"/>
        <w:ind w:firstLine="579"/>
        <w:spacing w:after="0" w:line="244" w:lineRule="auto"/>
        <w:tabs>
          <w:tab w:leader="none" w:pos="128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73" w:lineRule="exact"/>
        <w:rPr>
          <w:rFonts w:ascii="Times New Roman" w:cs="Times New Roman" w:eastAsia="Times New Roman" w:hAnsi="Times New Roman"/>
          <w:sz w:val="22"/>
          <w:szCs w:val="22"/>
          <w:color w:val="auto"/>
        </w:rPr>
      </w:pPr>
    </w:p>
    <w:p>
      <w:pPr>
        <w:jc w:val="both"/>
        <w:ind w:firstLine="579"/>
        <w:spacing w:after="0" w:line="233" w:lineRule="auto"/>
        <w:tabs>
          <w:tab w:leader="none" w:pos="131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83" w:lineRule="exact"/>
        <w:rPr>
          <w:rFonts w:ascii="Times New Roman" w:cs="Times New Roman" w:eastAsia="Times New Roman" w:hAnsi="Times New Roman"/>
          <w:sz w:val="22"/>
          <w:szCs w:val="22"/>
          <w:color w:val="auto"/>
        </w:rPr>
      </w:pPr>
    </w:p>
    <w:p>
      <w:pPr>
        <w:jc w:val="both"/>
        <w:ind w:firstLine="579"/>
        <w:spacing w:after="0" w:line="238" w:lineRule="auto"/>
        <w:tabs>
          <w:tab w:leader="none" w:pos="136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261" w:right="239" w:bottom="1440" w:gutter="0" w:footer="0" w:header="0"/>
        </w:sectPr>
      </w:pPr>
    </w:p>
    <w:bookmarkStart w:id="129" w:name="page130"/>
    <w:bookmarkEnd w:id="129"/>
    <w:p>
      <w:pPr>
        <w:ind w:firstLine="579"/>
        <w:spacing w:after="0" w:line="258" w:lineRule="auto"/>
        <w:tabs>
          <w:tab w:leader="none" w:pos="132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53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jc w:val="both"/>
        <w:ind w:right="20" w:firstLine="162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579"/>
        <w:spacing w:after="0" w:line="258" w:lineRule="auto"/>
        <w:tabs>
          <w:tab w:leader="none" w:pos="13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579"/>
        <w:spacing w:after="0" w:line="258" w:lineRule="auto"/>
        <w:tabs>
          <w:tab w:leader="none" w:pos="136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firstLine="158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579"/>
        <w:spacing w:after="0" w:line="239" w:lineRule="auto"/>
        <w:tabs>
          <w:tab w:leader="none" w:pos="159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80" w:lineRule="exact"/>
        <w:rPr>
          <w:rFonts w:ascii="Times New Roman" w:cs="Times New Roman" w:eastAsia="Times New Roman" w:hAnsi="Times New Roman"/>
          <w:sz w:val="22"/>
          <w:szCs w:val="22"/>
          <w:color w:val="auto"/>
        </w:rPr>
      </w:pPr>
    </w:p>
    <w:p>
      <w:pPr>
        <w:jc w:val="both"/>
        <w:ind w:firstLine="579"/>
        <w:spacing w:after="0" w:line="235" w:lineRule="auto"/>
        <w:tabs>
          <w:tab w:leader="none" w:pos="144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ind w:left="1460" w:hanging="881"/>
        <w:spacing w:after="0"/>
        <w:tabs>
          <w:tab w:leader="none" w:pos="14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w:t>
      </w:r>
    </w:p>
    <w:p>
      <w:pPr>
        <w:spacing w:after="0" w:line="4" w:lineRule="exact"/>
        <w:rPr>
          <w:sz w:val="20"/>
          <w:szCs w:val="20"/>
          <w:color w:val="auto"/>
        </w:rPr>
      </w:pPr>
    </w:p>
    <w:p>
      <w:pPr>
        <w:spacing w:after="0"/>
        <w:tabs>
          <w:tab w:leader="none" w:pos="4680" w:val="left"/>
          <w:tab w:leader="none" w:pos="6600" w:val="left"/>
        </w:tabs>
        <w:rPr>
          <w:sz w:val="20"/>
          <w:szCs w:val="20"/>
          <w:color w:val="auto"/>
        </w:rPr>
      </w:pPr>
      <w:r>
        <w:rPr>
          <w:rFonts w:ascii="Times New Roman" w:cs="Times New Roman" w:eastAsia="Times New Roman" w:hAnsi="Times New Roman"/>
          <w:sz w:val="22"/>
          <w:szCs w:val="22"/>
          <w:color w:val="auto"/>
        </w:rPr>
        <w:t>Plaza, New York, NY 10020, Attention:</w:t>
      </w:r>
      <w:r>
        <w:rPr>
          <w:sz w:val="20"/>
          <w:szCs w:val="20"/>
          <w:color w:val="auto"/>
        </w:rPr>
        <w:tab/>
      </w:r>
      <w:r>
        <w:rPr>
          <w:rFonts w:ascii="Times New Roman" w:cs="Times New Roman" w:eastAsia="Times New Roman" w:hAnsi="Times New Roman"/>
          <w:sz w:val="22"/>
          <w:szCs w:val="22"/>
          <w:color w:val="auto"/>
        </w:rPr>
        <w:t>, on or before</w:t>
      </w:r>
      <w:r>
        <w:rPr>
          <w:sz w:val="20"/>
          <w:szCs w:val="20"/>
          <w:color w:val="auto"/>
        </w:rPr>
        <w:tab/>
      </w:r>
      <w:r>
        <w:rPr>
          <w:rFonts w:ascii="Times New Roman" w:cs="Times New Roman" w:eastAsia="Times New Roman" w:hAnsi="Times New Roman"/>
          <w:sz w:val="21"/>
          <w:szCs w:val="21"/>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6" w:lineRule="auto"/>
        <w:tabs>
          <w:tab w:leader="none" w:pos="30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revoke it by indicating your desire to do so in writing delivered to 22</w:t>
      </w:r>
    </w:p>
    <w:p>
      <w:pPr>
        <w:sectPr>
          <w:pgSz w:w="11900" w:h="16838" w:orient="portrait"/>
          <w:cols w:equalWidth="0" w:num="1">
            <w:col w:w="11420"/>
          </w:cols>
          <w:pgMar w:left="240" w:top="261" w:right="239" w:bottom="1440" w:gutter="0" w:footer="0" w:header="0"/>
        </w:sectPr>
      </w:pPr>
    </w:p>
    <w:bookmarkStart w:id="130" w:name="page131"/>
    <w:bookmarkEnd w:id="130"/>
    <w:p>
      <w:pPr>
        <w:ind w:right="300" w:firstLine="1134"/>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6858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2" w:lineRule="exact"/>
        <w:rPr>
          <w:sz w:val="20"/>
          <w:szCs w:val="20"/>
          <w:color w:val="auto"/>
        </w:rPr>
      </w:pPr>
    </w:p>
    <w:p>
      <w:pPr>
        <w:ind w:firstLine="579"/>
        <w:spacing w:after="0" w:line="258" w:lineRule="auto"/>
        <w:tabs>
          <w:tab w:leader="none" w:pos="143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ind w:left="1540" w:hanging="961"/>
        <w:spacing w:after="0"/>
        <w:tabs>
          <w:tab w:leader="none" w:pos="15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Awards [(other than the</w:t>
      </w:r>
      <w:r>
        <w:rPr>
          <w:sz w:val="20"/>
          <w:szCs w:val="20"/>
          <w:color w:val="auto"/>
        </w:rPr>
        <w:tab/>
      </w:r>
      <w:r>
        <w:rPr>
          <w:rFonts w:ascii="Times New Roman" w:cs="Times New Roman" w:eastAsia="Times New Roman" w:hAnsi="Times New Roman"/>
          <w:sz w:val="21"/>
          <w:szCs w:val="21"/>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60" w:type="dxa"/>
            <w:vAlign w:val="bottom"/>
            <w:gridSpan w:val="3"/>
          </w:tcPr>
          <w:p>
            <w:pPr>
              <w:ind w:left="4020"/>
              <w:spacing w:after="0"/>
              <w:rPr>
                <w:sz w:val="20"/>
                <w:szCs w:val="20"/>
                <w:color w:val="auto"/>
              </w:rPr>
            </w:pPr>
            <w:r>
              <w:rPr>
                <w:rFonts w:ascii="Times New Roman" w:cs="Times New Roman" w:eastAsia="Times New Roman" w:hAnsi="Times New Roman"/>
                <w:sz w:val="22"/>
                <w:szCs w:val="22"/>
                <w:color w:val="auto"/>
              </w:rPr>
              <w:t>Date:</w:t>
            </w:r>
          </w:p>
        </w:tc>
      </w:tr>
      <w:tr>
        <w:trPr>
          <w:trHeight w:val="236"/>
        </w:trPr>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top w:val="single" w:sz="8" w:color="auto"/>
            </w:tcBorders>
            <w:gridSpan w:val="4"/>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58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r>
      <w:tr>
        <w:trPr>
          <w:trHeight w:val="230"/>
        </w:trPr>
        <w:tc>
          <w:tcPr>
            <w:tcW w:w="13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STATE OF</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6"/>
          </w:tcPr>
          <w:p>
            <w:pPr>
              <w:ind w:left="1520"/>
              <w:spacing w:after="0" w:line="230"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6"/>
        </w:trPr>
        <w:tc>
          <w:tcPr>
            <w:tcW w:w="10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60" w:type="dxa"/>
            <w:vAlign w:val="bottom"/>
            <w:gridSpan w:val="3"/>
          </w:tcPr>
          <w:p>
            <w:pPr>
              <w:ind w:left="140"/>
              <w:spacing w:after="0" w:line="237" w:lineRule="exact"/>
              <w:rPr>
                <w:sz w:val="20"/>
                <w:szCs w:val="20"/>
                <w:color w:val="auto"/>
              </w:rPr>
            </w:pPr>
            <w:r>
              <w:rPr>
                <w:rFonts w:ascii="Times New Roman" w:cs="Times New Roman" w:eastAsia="Times New Roman" w:hAnsi="Times New Roman"/>
                <w:sz w:val="22"/>
                <w:szCs w:val="22"/>
                <w:color w:val="auto"/>
              </w:rPr>
              <w:t>) ss.:</w:t>
            </w:r>
          </w:p>
        </w:tc>
      </w:tr>
      <w:tr>
        <w:trPr>
          <w:trHeight w:val="230"/>
        </w:trPr>
        <w:tc>
          <w:tcPr>
            <w:tcW w:w="134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6"/>
          </w:tcPr>
          <w:p>
            <w:pPr>
              <w:ind w:left="1520"/>
              <w:spacing w:after="0" w:line="230"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9"/>
        </w:trPr>
        <w:tc>
          <w:tcPr>
            <w:tcW w:w="134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rPr>
              <w:t>On this</w:t>
            </w: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day of</w:t>
            </w: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3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ind w:left="5940" w:right="480" w:hanging="5933"/>
        <w:spacing w:after="0" w:line="488" w:lineRule="auto"/>
        <w:rPr>
          <w:sz w:val="20"/>
          <w:szCs w:val="20"/>
          <w:color w:val="auto"/>
        </w:rPr>
      </w:pPr>
      <w:r>
        <w:rPr>
          <w:rFonts w:ascii="Times New Roman" w:cs="Times New Roman" w:eastAsia="Times New Roman" w:hAnsi="Times New Roman"/>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-352425</wp:posOffset>
            </wp:positionV>
            <wp:extent cx="18180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260"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RELATING TO RETENTION AND</w:t>
      </w:r>
    </w:p>
    <w:p>
      <w:pPr>
        <w:jc w:val="center"/>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jc w:val="both"/>
        <w:ind w:right="120" w:firstLine="571"/>
        <w:spacing w:after="0" w:line="239" w:lineRule="auto"/>
        <w:rPr>
          <w:sz w:val="20"/>
          <w:szCs w:val="20"/>
          <w:color w:val="auto"/>
        </w:rPr>
      </w:pPr>
      <w:r>
        <w:rPr>
          <w:rFonts w:ascii="Times New Roman" w:cs="Times New Roman" w:eastAsia="Times New Roman" w:hAnsi="Times New Roman"/>
          <w:sz w:val="22"/>
          <w:szCs w:val="22"/>
          <w:color w:val="auto"/>
        </w:rPr>
        <w:t>AMENDED AND RESTATED AGREEMENT, dated as of March 9, 2016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Matthieu Bucaille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380" w:firstLine="571"/>
        <w:spacing w:after="0" w:line="244" w:lineRule="auto"/>
        <w:rPr>
          <w:sz w:val="20"/>
          <w:szCs w:val="20"/>
          <w:color w:val="auto"/>
        </w:rPr>
      </w:pPr>
      <w:r>
        <w:rPr>
          <w:rFonts w:ascii="Times New Roman" w:cs="Times New Roman" w:eastAsia="Times New Roman" w:hAnsi="Times New Roman"/>
          <w:sz w:val="22"/>
          <w:szCs w:val="22"/>
          <w:color w:val="auto"/>
        </w:rPr>
        <w:t>WHEREAS, the Executive previously entered into an Agreement Relating to Retention and Noncompetition and Other Covenants with Lazard and Lazard Group, dated as of October 4, 2004, as amended on April 1, 2011 and March 14, 2013 (such agreement, together with all schedules and attachments thereto, the “</w:t>
      </w:r>
      <w:r>
        <w:rPr>
          <w:rFonts w:ascii="Times New Roman" w:cs="Times New Roman" w:eastAsia="Times New Roman" w:hAnsi="Times New Roman"/>
          <w:sz w:val="22"/>
          <w:szCs w:val="22"/>
          <w:u w:val="single" w:color="auto"/>
          <w:color w:val="auto"/>
        </w:rPr>
        <w:t>Prior Retention Agreement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60" w:firstLine="571"/>
        <w:spacing w:after="0" w:line="238" w:lineRule="auto"/>
        <w:rPr>
          <w:sz w:val="20"/>
          <w:szCs w:val="20"/>
          <w:color w:val="auto"/>
        </w:rPr>
      </w:pPr>
      <w:r>
        <w:rPr>
          <w:rFonts w:ascii="Times New Roman" w:cs="Times New Roman" w:eastAsia="Times New Roman" w:hAnsi="Times New Roman"/>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WHEREAS, as of the date hereof, the Executive is the Chief Financial Officer of Lazard and Lazard Group.</w:t>
      </w:r>
    </w:p>
    <w:p>
      <w:pPr>
        <w:spacing w:after="0" w:line="206"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20" w:firstLine="579"/>
        <w:spacing w:after="0" w:line="233" w:lineRule="auto"/>
        <w:tabs>
          <w:tab w:leader="none" w:pos="121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08" w:right="239" w:bottom="1440" w:gutter="0" w:footer="0" w:header="0"/>
        </w:sectPr>
      </w:pPr>
    </w:p>
    <w:bookmarkStart w:id="132" w:name="page133"/>
    <w:bookmarkEnd w:id="132"/>
    <w:p>
      <w:pPr>
        <w:ind w:right="18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74" w:lineRule="exact"/>
        <w:rPr>
          <w:sz w:val="20"/>
          <w:szCs w:val="20"/>
          <w:color w:val="auto"/>
        </w:rPr>
      </w:pPr>
    </w:p>
    <w:p>
      <w:pPr>
        <w:ind w:left="1220" w:hanging="641"/>
        <w:spacing w:after="0"/>
        <w:tabs>
          <w:tab w:leader="none" w:pos="12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right="660" w:firstLine="579"/>
        <w:spacing w:after="0" w:line="258" w:lineRule="auto"/>
        <w:tabs>
          <w:tab w:leader="none" w:pos="121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firstLine="579"/>
        <w:spacing w:after="0" w:line="243" w:lineRule="auto"/>
        <w:tabs>
          <w:tab w:leader="none" w:pos="130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Responsibilities; Code of Conduct</w:t>
      </w:r>
      <w:r>
        <w:rPr>
          <w:rFonts w:ascii="Times New Roman" w:cs="Times New Roman" w:eastAsia="Times New Roman" w:hAnsi="Times New Roman"/>
          <w:sz w:val="21"/>
          <w:szCs w:val="21"/>
          <w:color w:val="auto"/>
        </w:rPr>
        <w:t xml:space="preserve">. During the Term until the Specified Expiration Date, the Executive shall continue to (i) serve as either, in Lazard’s sole discretion, (A) the Chief Financial Officer of Lazard and Lazard Group, with such authority, duties and responsibilities as are consistent with the authority, duties and responsibilities exercised by the Executive on the date hereof or (B) </w:t>
      </w:r>
      <w:r>
        <w:rPr>
          <w:rFonts w:ascii="Times New Roman" w:cs="Times New Roman" w:eastAsia="Times New Roman" w:hAnsi="Times New Roman"/>
          <w:sz w:val="21"/>
          <w:szCs w:val="21"/>
          <w:i w:val="1"/>
          <w:iCs w:val="1"/>
          <w:color w:val="auto"/>
        </w:rPr>
        <w:t>Associe-Gerant</w:t>
      </w:r>
      <w:r>
        <w:rPr>
          <w:rFonts w:ascii="Times New Roman" w:cs="Times New Roman" w:eastAsia="Times New Roman" w:hAnsi="Times New Roman"/>
          <w:sz w:val="21"/>
          <w:szCs w:val="21"/>
          <w:color w:val="auto"/>
        </w:rPr>
        <w:t xml:space="preserve"> and Vice Chairman of European Investment Banking of, or in another senior leadership position with, the Firm in Paris, France (such position a “</w:t>
      </w:r>
      <w:r>
        <w:rPr>
          <w:rFonts w:ascii="Times New Roman" w:cs="Times New Roman" w:eastAsia="Times New Roman" w:hAnsi="Times New Roman"/>
          <w:sz w:val="21"/>
          <w:szCs w:val="21"/>
          <w:u w:val="single" w:color="auto"/>
          <w:color w:val="auto"/>
        </w:rPr>
        <w:t>Lazard Paris Position</w:t>
      </w:r>
      <w:r>
        <w:rPr>
          <w:rFonts w:ascii="Times New Roman" w:cs="Times New Roman" w:eastAsia="Times New Roman" w:hAnsi="Times New Roman"/>
          <w:sz w:val="21"/>
          <w:szCs w:val="21"/>
          <w:color w:val="auto"/>
        </w:rPr>
        <w:t>”), with such authority, duties and responsibilities as are consistent with such positions (provided that, without his consent, the Executive’s principal place of employment may not be transferred to Paris, France prior to 90 days after such change in position), (ii) report directly to (A) the Firm’s Chief Executive Officer and the Audit Committee of the Board of Directors of Lazard, if the Executive is then serving as Chief Financial Officer of Lazard and Lazard Group, or (B) the Firm’s Chief Executive Officer or, after consultation with the Executive, Chief Operating Officer, if the Executive is then serving in a Lazard Paris Position,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Lazard agrees that at any time prior to the Specified Expiration Date, the Executive shall be entitled to resign from his position as Chief Financial Officer of Lazard and Lazard Group and commence employment in a Lazard Paris Position, in which case this Agreement shall remain in effect until the Specified Expiration Date and such change in position shall not constitute a termination of employment or resignation for purposes of this Agreement. In the event that the Executive commences a Lazard Paris Position, until the Specified Expiration Date, the Executive shall receive total compensation commensurate with his contributions to the Firm, his seniority and the level of his position, taking into account what others in similar positions have been or are being paid. Notwithstanding anything contained herein to the contrary, upon a Change in Control, if the Executive is not then serving in a Lazard Paris Position, Lazard shall cease to have the right to require the Executive to serve in such position and relocate to Paris, France.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261" w:right="239" w:bottom="1440" w:gutter="0" w:footer="0" w:header="0"/>
        </w:sectPr>
      </w:pPr>
    </w:p>
    <w:bookmarkStart w:id="133" w:name="page134"/>
    <w:bookmarkEnd w:id="133"/>
    <w:p>
      <w:pPr>
        <w:ind w:left="1240" w:hanging="721"/>
        <w:spacing w:after="0"/>
        <w:tabs>
          <w:tab w:leader="none" w:pos="12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 w:right="140" w:firstLine="579"/>
        <w:spacing w:after="0" w:line="234" w:lineRule="auto"/>
        <w:tabs>
          <w:tab w:leader="none" w:pos="120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ending on the Specified Expiration Date, subject to the Executive’s continued employment hereunder, the Executive shall be entitled to receive an annual base salary of not less than $750,000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4" w:lineRule="exact"/>
        <w:rPr>
          <w:rFonts w:ascii="Times New Roman" w:cs="Times New Roman" w:eastAsia="Times New Roman" w:hAnsi="Times New Roman"/>
          <w:sz w:val="22"/>
          <w:szCs w:val="22"/>
          <w:color w:val="auto"/>
        </w:rPr>
      </w:pPr>
    </w:p>
    <w:p>
      <w:pPr>
        <w:ind w:left="-60" w:firstLine="579"/>
        <w:spacing w:after="0" w:line="245" w:lineRule="auto"/>
        <w:tabs>
          <w:tab w:leader="none" w:pos="126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as an executive officer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71" w:lineRule="exact"/>
        <w:rPr>
          <w:rFonts w:ascii="Times New Roman" w:cs="Times New Roman" w:eastAsia="Times New Roman" w:hAnsi="Times New Roman"/>
          <w:sz w:val="21"/>
          <w:szCs w:val="21"/>
          <w:color w:val="auto"/>
        </w:rPr>
      </w:pPr>
    </w:p>
    <w:p>
      <w:pPr>
        <w:ind w:left="-60" w:right="300" w:firstLine="579"/>
        <w:spacing w:after="0" w:line="244" w:lineRule="auto"/>
        <w:tabs>
          <w:tab w:leader="none" w:pos="132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3" w:lineRule="exact"/>
        <w:rPr>
          <w:rFonts w:ascii="Times New Roman" w:cs="Times New Roman" w:eastAsia="Times New Roman" w:hAnsi="Times New Roman"/>
          <w:sz w:val="22"/>
          <w:szCs w:val="22"/>
          <w:color w:val="auto"/>
        </w:rPr>
      </w:pPr>
    </w:p>
    <w:p>
      <w:pPr>
        <w:ind w:left="-60" w:right="80" w:firstLine="579"/>
        <w:spacing w:after="0" w:line="235" w:lineRule="auto"/>
        <w:tabs>
          <w:tab w:leader="none" w:pos="130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 Furthermore, subject to the Executive’s continued employment in New York, (A) commencing April 1, 2016 and for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20"/>
          </w:cols>
          <w:pgMar w:left="300" w:top="261" w:right="279" w:bottom="1440" w:gutter="0" w:footer="0" w:header="0"/>
        </w:sectPr>
      </w:pPr>
    </w:p>
    <w:bookmarkStart w:id="134" w:name="page135"/>
    <w:bookmarkEnd w:id="134"/>
    <w:p>
      <w:pPr>
        <w:spacing w:after="0" w:line="24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2016, the Executive shall be entitled to reimbursement, in an amount not to exceed $5,000 per month, for the rent on the Executive’s residence in the New York City metropolitan area (the “</w:t>
      </w:r>
      <w:r>
        <w:rPr>
          <w:rFonts w:ascii="Times New Roman" w:cs="Times New Roman" w:eastAsia="Times New Roman" w:hAnsi="Times New Roman"/>
          <w:sz w:val="21"/>
          <w:szCs w:val="21"/>
          <w:u w:val="single" w:color="auto"/>
          <w:color w:val="auto"/>
        </w:rPr>
        <w:t>Housing Allowance</w:t>
      </w:r>
      <w:r>
        <w:rPr>
          <w:rFonts w:ascii="Times New Roman" w:cs="Times New Roman" w:eastAsia="Times New Roman" w:hAnsi="Times New Roman"/>
          <w:sz w:val="21"/>
          <w:szCs w:val="21"/>
          <w:color w:val="auto"/>
        </w:rPr>
        <w:t>”), and (B) in respect of the first semester of the 2016-2017 academic year, the Executive shall be entitled to reimbursement for 50% of private school tuition for each of the Executive’s children who is under the age of 18 years old (the “</w:t>
      </w:r>
      <w:r>
        <w:rPr>
          <w:rFonts w:ascii="Times New Roman" w:cs="Times New Roman" w:eastAsia="Times New Roman" w:hAnsi="Times New Roman"/>
          <w:sz w:val="21"/>
          <w:szCs w:val="21"/>
          <w:u w:val="single" w:color="auto"/>
          <w:color w:val="auto"/>
        </w:rPr>
        <w:t>Tuition Reimbursement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Lazard transfers the Executive to a Lazard Paris Position during 2016 and the Executive has already paid such children’s tuition prior to such transfer, the Executive shall be entitled to the Tuition Reimbursement and, through the remainder of 2016, the Housing Allowance. Within 30 days following the end of each calendar quarter during which the Executive is entitled to the Housing Allowance and Tuition Reimbursement, the Executive will provide the Firm with an invoice that sets forth the amount, if any, incurred with respect to the Housing Allowance and the Tuition Reimbursement during the preceding calendar quarter. Within 30 days following the Firm’s receipt of each such invoice, the Firm shall pay the Executive an amount in cash in U.S. dollars equal to the amount set forth on the invoice, subject to the limits set forth in clauses (A) and (B) of this Section 3(c)(iv). In addition, in the event Lazard elects to require the Executive to serve in a Lazard Paris Position at any time prior to the Specified Expiration Date, Lazard shall reimburse the Executive for his reasonable and customary expenses associated with the relocation of his family, family belongings and household possessions from New York City to Paris, France on the same basis as applied to the Executive in respect of his prior relocation to New York City as well as any other extraordinary, out of pocket expenses relating to such relocation, and, in the event Lazard elects to require the Executive to serve in a Lazard Paris Position prior to the end of an academic year, Lazard shall reimburse the Executive for his return trips (on a roundtrip basis) from Paris, France to New York City on a reasonable frequency (the “</w:t>
      </w:r>
      <w:r>
        <w:rPr>
          <w:rFonts w:ascii="Times New Roman" w:cs="Times New Roman" w:eastAsia="Times New Roman" w:hAnsi="Times New Roman"/>
          <w:sz w:val="21"/>
          <w:szCs w:val="21"/>
          <w:u w:val="single" w:color="auto"/>
          <w:color w:val="auto"/>
        </w:rPr>
        <w:t>Relocation Reimbursement</w:t>
      </w:r>
      <w:r>
        <w:rPr>
          <w:rFonts w:ascii="Times New Roman" w:cs="Times New Roman" w:eastAsia="Times New Roman" w:hAnsi="Times New Roman"/>
          <w:sz w:val="21"/>
          <w:szCs w:val="21"/>
          <w:color w:val="auto"/>
        </w:rPr>
        <w:t>”). Subject to the Executive’s continued employment, with respect to any period prior to the Specified Expiration Date in which the Executive is entitled to the Housing Allowance, the Tuition Reimbursement or the Relocation Reimbursement, the Executive shall be entitled to an additional payment (an “</w:t>
      </w:r>
      <w:r>
        <w:rPr>
          <w:rFonts w:ascii="Times New Roman" w:cs="Times New Roman" w:eastAsia="Times New Roman" w:hAnsi="Times New Roman"/>
          <w:sz w:val="21"/>
          <w:szCs w:val="21"/>
          <w:u w:val="single" w:color="auto"/>
          <w:color w:val="auto"/>
        </w:rPr>
        <w:t>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with respect to the Housing Allowance, the Tuition Reimbursement and the Relocation Reimbursement in an amount such that after payment by the Executive of all taxes (including any interest or penalties imposed with respect to such taxes), including any income taxes (and any interest and penalties imposed with respect thereto) upon the Additional Payment, but excluding any income taxes and penalties imposed pursuant to Section 409A of the Code (as defined in Section 3(d)(ii)(I)), the Executive retains an amount of the Additional Payment equal to all taxes upon the Housing Allowance, the Tuition Reimbursement and the Relocation Reimbursement (such taxes, the “</w:t>
      </w:r>
      <w:r>
        <w:rPr>
          <w:rFonts w:ascii="Times New Roman" w:cs="Times New Roman" w:eastAsia="Times New Roman" w:hAnsi="Times New Roman"/>
          <w:sz w:val="21"/>
          <w:szCs w:val="21"/>
          <w:u w:val="single" w:color="auto"/>
          <w:color w:val="auto"/>
        </w:rPr>
        <w:t>Additional Taxes</w:t>
      </w:r>
      <w:r>
        <w:rPr>
          <w:rFonts w:ascii="Times New Roman" w:cs="Times New Roman" w:eastAsia="Times New Roman" w:hAnsi="Times New Roman"/>
          <w:sz w:val="21"/>
          <w:szCs w:val="21"/>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the Tuition Reimbursement or the Relocation Reimbursement are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Section 3(c)(iv),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261" w:right="239" w:bottom="1440" w:gutter="0" w:footer="0" w:header="0"/>
        </w:sectPr>
      </w:pPr>
    </w:p>
    <w:bookmarkStart w:id="135" w:name="page136"/>
    <w:bookmarkEnd w:id="135"/>
    <w:p>
      <w:pPr>
        <w:ind w:left="-40" w:right="20" w:firstLine="579"/>
        <w:spacing w:after="0" w:line="236" w:lineRule="auto"/>
        <w:tabs>
          <w:tab w:leader="none" w:pos="126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82" w:lineRule="exact"/>
        <w:rPr>
          <w:sz w:val="20"/>
          <w:szCs w:val="20"/>
          <w:color w:val="auto"/>
        </w:rPr>
      </w:pPr>
    </w:p>
    <w:p>
      <w:pPr>
        <w:ind w:left="-40" w:firstLine="579"/>
        <w:spacing w:after="0" w:line="243" w:lineRule="auto"/>
        <w:tabs>
          <w:tab w:leader="none" w:pos="84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the terms of this Section 3(d)(ii) shall apply. The Firm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1"/>
          <w:szCs w:val="21"/>
          <w:u w:val="single" w:color="auto"/>
          <w:color w:val="auto"/>
        </w:rPr>
        <w:t>Average Bonus</w:t>
      </w:r>
      <w:r>
        <w:rPr>
          <w:rFonts w:ascii="Times New Roman" w:cs="Times New Roman" w:eastAsia="Times New Roman" w:hAnsi="Times New Roman"/>
          <w:sz w:val="21"/>
          <w:szCs w:val="21"/>
          <w:color w:val="auto"/>
        </w:rPr>
        <w:t>”). In addition, upon a Qualifying Termination, for 24 months (the “</w:t>
      </w:r>
      <w:r>
        <w:rPr>
          <w:rFonts w:ascii="Times New Roman" w:cs="Times New Roman" w:eastAsia="Times New Roman" w:hAnsi="Times New Roman"/>
          <w:sz w:val="21"/>
          <w:szCs w:val="21"/>
          <w:u w:val="single" w:color="auto"/>
          <w:color w:val="auto"/>
        </w:rPr>
        <w:t>Benefit Continuation Period</w:t>
      </w:r>
      <w:r>
        <w:rPr>
          <w:rFonts w:ascii="Times New Roman" w:cs="Times New Roman" w:eastAsia="Times New Roman" w:hAnsi="Times New Roman"/>
          <w:sz w:val="21"/>
          <w:szCs w:val="21"/>
          <w:color w:val="auto"/>
        </w:rPr>
        <w:t>”), the Executive and his eligible dependents shall continue to be eligible to participate in the medical and dental benefit plans of the Firm on the same basis as the Executive participated in such plans immediately prior to the Date of Termination, to the extent that the applicable plan permits such continued participation for all or any portion of such period (it being agreed that the Firm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the Firm.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40"/>
          </w:cols>
          <w:pgMar w:left="280" w:top="261" w:right="279" w:bottom="1440" w:gutter="0" w:footer="0" w:header="0"/>
        </w:sectPr>
      </w:pPr>
    </w:p>
    <w:bookmarkStart w:id="136" w:name="page137"/>
    <w:bookmarkEnd w:id="136"/>
    <w:p>
      <w:pPr>
        <w:ind w:left="580" w:firstLine="541"/>
        <w:spacing w:after="0" w:line="232" w:lineRule="auto"/>
        <w:tabs>
          <w:tab w:leader="none" w:pos="173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2"/>
          <w:szCs w:val="22"/>
          <w:u w:val="single" w:color="auto"/>
          <w:color w:val="auto"/>
        </w:rPr>
        <w:t>Pro-Ration Fraction</w:t>
      </w:r>
      <w:r>
        <w:rPr>
          <w:rFonts w:ascii="Times New Roman" w:cs="Times New Roman" w:eastAsia="Times New Roman" w:hAnsi="Times New Roman"/>
          <w:sz w:val="22"/>
          <w:szCs w:val="22"/>
          <w:color w:val="auto"/>
        </w:rPr>
        <w:t>”); or</w:t>
      </w:r>
    </w:p>
    <w:p>
      <w:pPr>
        <w:spacing w:after="0" w:line="193" w:lineRule="exact"/>
        <w:rPr>
          <w:sz w:val="20"/>
          <w:szCs w:val="20"/>
          <w:color w:val="auto"/>
        </w:rPr>
      </w:pPr>
    </w:p>
    <w:p>
      <w:pPr>
        <w:ind w:left="580" w:right="20" w:firstLine="541"/>
        <w:spacing w:after="0" w:line="249" w:lineRule="auto"/>
        <w:tabs>
          <w:tab w:leader="none" w:pos="18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71"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74" w:lineRule="exact"/>
        <w:rPr>
          <w:sz w:val="20"/>
          <w:szCs w:val="20"/>
          <w:color w:val="auto"/>
        </w:rPr>
      </w:pPr>
    </w:p>
    <w:p>
      <w:pPr>
        <w:ind w:right="20" w:firstLine="579"/>
        <w:spacing w:after="0" w:line="235" w:lineRule="auto"/>
        <w:tabs>
          <w:tab w:leader="none" w:pos="94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80"/>
          </w:cols>
          <w:pgMar w:left="240" w:top="261" w:right="279" w:bottom="1440" w:gutter="0" w:footer="0" w:header="0"/>
        </w:sectPr>
      </w:pPr>
    </w:p>
    <w:bookmarkStart w:id="137" w:name="page138"/>
    <w:bookmarkEnd w:id="137"/>
    <w:p>
      <w:pPr>
        <w:ind w:firstLine="579"/>
        <w:spacing w:after="0" w:line="236" w:lineRule="auto"/>
        <w:tabs>
          <w:tab w:leader="none" w:pos="93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right="180" w:firstLine="579"/>
        <w:spacing w:after="0" w:line="236" w:lineRule="auto"/>
        <w:tabs>
          <w:tab w:leader="none" w:pos="87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74" w:lineRule="exact"/>
        <w:rPr>
          <w:sz w:val="20"/>
          <w:szCs w:val="20"/>
          <w:color w:val="auto"/>
        </w:rPr>
      </w:pPr>
    </w:p>
    <w:p>
      <w:pPr>
        <w:ind w:left="1300" w:hanging="721"/>
        <w:spacing w:after="0"/>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right="20" w:firstLine="571"/>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(i)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(x) the Firm’s Chief Executive Officer or the Audit Committee of the Board of Directors of Lazard, if the Executive is then serving as Chief Financial Officer of Lazard, or (y) the person to whom the Executive reports in accordance with Section 3(b)(ii)(B), if the Executive is then serving in a Lazard Paris Position,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advice of counsel to the Firm or the direct instructions of the Firm’s Chief Executive Officer, the Audit Committee of the Board of Directors of Lazard or, solely if the Executive is then serving in a Lazard Paris Position, the person to whom the Executive reports in accordance with Section 3(b)(ii)(B). Except in the case of a termination of the Executive’s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80"/>
          </w:cols>
          <w:pgMar w:left="240" w:top="261" w:right="279" w:bottom="1440" w:gutter="0" w:footer="0" w:header="0"/>
        </w:sectPr>
      </w:pPr>
    </w:p>
    <w:bookmarkStart w:id="138" w:name="page139"/>
    <w:bookmarkEnd w:id="138"/>
    <w:p>
      <w:pPr>
        <w:ind w:right="8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2"/>
          <w:szCs w:val="22"/>
          <w:u w:val="single" w:color="auto"/>
          <w:color w:val="auto"/>
        </w:rPr>
        <w:t>Applicable Board</w:t>
      </w:r>
      <w:r>
        <w:rPr>
          <w:rFonts w:ascii="Times New Roman" w:cs="Times New Roman" w:eastAsia="Times New Roman" w:hAnsi="Times New Roman"/>
          <w:sz w:val="22"/>
          <w:szCs w:val="22"/>
          <w:color w:val="auto"/>
        </w:rPr>
        <w:t>”) finding that, in the good faith opinion of the Applicable Board, circumstances constituting Cause exist.</w:t>
      </w:r>
    </w:p>
    <w:p>
      <w:pPr>
        <w:spacing w:after="0" w:line="177" w:lineRule="exact"/>
        <w:rPr>
          <w:sz w:val="20"/>
          <w:szCs w:val="20"/>
          <w:color w:val="auto"/>
        </w:rPr>
      </w:pPr>
    </w:p>
    <w:p>
      <w:pPr>
        <w:ind w:firstLine="571"/>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the Firm formally notifies the Executive in writing that it does not intend to cure, unless the Firm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60" w:firstLine="57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3(b)(i)(A) or (B), as applicable, of this Agreement (without regard to whether or not the Specified Expiration Date has passed and which, in the event of a Change in Control, shall be deemed to be those described in Section 3(b)(i) that applied to the Executive as of immediately prior to the date of such Change in Control), or any other action by the Firm which results in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260" w:right="239" w:bottom="1440" w:gutter="0" w:footer="0" w:header="0"/>
        </w:sectPr>
      </w:pPr>
    </w:p>
    <w:bookmarkStart w:id="139" w:name="page140"/>
    <w:bookmarkEnd w:id="139"/>
    <w:p>
      <w:pPr>
        <w:ind w:right="120"/>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diminution in such positions (including status, offices, titles and reporting requirements), authority, duties or responsibilities from those contemplated by Section 3(b)(i)(A) or (B), as applicable, of this Agreement (without regard to whether or not the Specified Expiration Date has passed and which, in the event of a Change in Control, shall be deemed to be those described in Section 3(b)(i) that applied to the Executive as of immediately prior to the date of such Change in Control),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in New York City or Paris, France, as applicable, by more than thirty (30) miles, and which, in the event of a Change in Control, shall be deemed to be the principal place of employment applicable to the Executive as of immediately prior to the date of such Change in Control.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w:t>
      </w:r>
    </w:p>
    <w:p>
      <w:pPr>
        <w:spacing w:after="0" w:line="7" w:lineRule="exact"/>
        <w:rPr>
          <w:sz w:val="20"/>
          <w:szCs w:val="20"/>
          <w:color w:val="auto"/>
        </w:rPr>
      </w:pPr>
    </w:p>
    <w:p>
      <w:pPr>
        <w:ind w:right="160" w:firstLine="8"/>
        <w:spacing w:after="0" w:line="232" w:lineRule="auto"/>
        <w:tabs>
          <w:tab w:leader="none" w:pos="41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1" w:lineRule="exact"/>
        <w:rPr>
          <w:rFonts w:ascii="Times New Roman" w:cs="Times New Roman" w:eastAsia="Times New Roman" w:hAnsi="Times New Roman"/>
          <w:sz w:val="22"/>
          <w:szCs w:val="22"/>
          <w:color w:val="auto"/>
        </w:rPr>
      </w:pPr>
    </w:p>
    <w:p>
      <w:pPr>
        <w:ind w:firstLine="579"/>
        <w:spacing w:after="0" w:line="244" w:lineRule="auto"/>
        <w:tabs>
          <w:tab w:leader="none" w:pos="127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Limitations on Payments</w:t>
      </w:r>
      <w:r>
        <w:rPr>
          <w:rFonts w:ascii="Times New Roman" w:cs="Times New Roman" w:eastAsia="Times New Roman" w:hAnsi="Times New Roman"/>
          <w:sz w:val="21"/>
          <w:szCs w:val="21"/>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Times New Roman" w:cs="Times New Roman" w:eastAsia="Times New Roman" w:hAnsi="Times New Roman"/>
          <w:sz w:val="21"/>
          <w:szCs w:val="21"/>
          <w:u w:val="single" w:color="auto"/>
          <w:color w:val="auto"/>
        </w:rPr>
        <w:t>Parachute Payments</w:t>
      </w:r>
      <w:r>
        <w:rPr>
          <w:rFonts w:ascii="Times New Roman" w:cs="Times New Roman" w:eastAsia="Times New Roman" w:hAnsi="Times New Roman"/>
          <w:sz w:val="21"/>
          <w:szCs w:val="21"/>
          <w:color w:val="auto"/>
        </w:rPr>
        <w:t>”) that, but for this</w:t>
      </w:r>
    </w:p>
    <w:p>
      <w:pPr>
        <w:spacing w:after="0" w:line="2" w:lineRule="exact"/>
        <w:rPr>
          <w:rFonts w:ascii="Times New Roman" w:cs="Times New Roman" w:eastAsia="Times New Roman" w:hAnsi="Times New Roman"/>
          <w:sz w:val="21"/>
          <w:szCs w:val="21"/>
          <w:color w:val="auto"/>
        </w:rPr>
      </w:pPr>
    </w:p>
    <w:p>
      <w:pPr>
        <w:ind w:right="4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Times New Roman" w:cs="Times New Roman" w:eastAsia="Times New Roman" w:hAnsi="Times New Roman"/>
          <w:sz w:val="22"/>
          <w:szCs w:val="22"/>
          <w:u w:val="single" w:color="auto"/>
          <w:color w:val="auto"/>
        </w:rPr>
        <w:t>Excise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261" w:right="239" w:bottom="1440" w:gutter="0" w:footer="0" w:header="0"/>
        </w:sectPr>
      </w:pPr>
    </w:p>
    <w:bookmarkStart w:id="140" w:name="page141"/>
    <w:bookmarkEnd w:id="140"/>
    <w:p>
      <w:pPr>
        <w:ind w:right="1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Times New Roman" w:cs="Times New Roman" w:eastAsia="Times New Roman" w:hAnsi="Times New Roman"/>
          <w:sz w:val="22"/>
          <w:szCs w:val="22"/>
          <w:u w:val="single" w:color="auto"/>
          <w:color w:val="auto"/>
        </w:rPr>
        <w:t>Agreement Payments</w:t>
      </w:r>
      <w:r>
        <w:rPr>
          <w:rFonts w:ascii="Times New Roman" w:cs="Times New Roman" w:eastAsia="Times New Roman" w:hAnsi="Times New Roman"/>
          <w:sz w:val="22"/>
          <w:szCs w:val="22"/>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79" w:lineRule="exact"/>
        <w:rPr>
          <w:sz w:val="20"/>
          <w:szCs w:val="20"/>
          <w:color w:val="auto"/>
        </w:rPr>
      </w:pPr>
    </w:p>
    <w:p>
      <w:pPr>
        <w:ind w:firstLine="571"/>
        <w:spacing w:after="0" w:line="245" w:lineRule="auto"/>
        <w:rPr>
          <w:sz w:val="20"/>
          <w:szCs w:val="20"/>
          <w:color w:val="auto"/>
        </w:rPr>
      </w:pPr>
      <w:r>
        <w:rPr>
          <w:rFonts w:ascii="Times New Roman" w:cs="Times New Roman" w:eastAsia="Times New Roman" w:hAnsi="Times New Roman"/>
          <w:sz w:val="21"/>
          <w:szCs w:val="21"/>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78" w:lineRule="exact"/>
        <w:rPr>
          <w:sz w:val="20"/>
          <w:szCs w:val="20"/>
          <w:color w:val="auto"/>
        </w:rPr>
      </w:pPr>
    </w:p>
    <w:p>
      <w:pPr>
        <w:ind w:right="120" w:firstLine="567"/>
        <w:spacing w:after="0" w:line="233" w:lineRule="auto"/>
        <w:tabs>
          <w:tab w:leader="none" w:pos="129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w:t>
      </w:r>
    </w:p>
    <w:p>
      <w:pPr>
        <w:spacing w:after="0" w:line="1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80"/>
          </w:cols>
          <w:pgMar w:left="240" w:top="261" w:right="379" w:bottom="1440" w:gutter="0" w:footer="0" w:header="0"/>
        </w:sectPr>
      </w:pPr>
    </w:p>
    <w:bookmarkStart w:id="141" w:name="page142"/>
    <w:bookmarkEnd w:id="141"/>
    <w:p>
      <w:pPr>
        <w:ind w:right="20"/>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w:t>
      </w:r>
    </w:p>
    <w:p>
      <w:pPr>
        <w:spacing w:after="0" w:line="2" w:lineRule="exact"/>
        <w:rPr>
          <w:sz w:val="20"/>
          <w:szCs w:val="20"/>
          <w:color w:val="auto"/>
        </w:rPr>
      </w:pPr>
    </w:p>
    <w:p>
      <w:pPr>
        <w:ind w:firstLine="8"/>
        <w:spacing w:after="0" w:line="243" w:lineRule="auto"/>
        <w:tabs>
          <w:tab w:leader="none" w:pos="31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76" w:lineRule="exact"/>
        <w:rPr>
          <w:rFonts w:ascii="Times New Roman" w:cs="Times New Roman" w:eastAsia="Times New Roman" w:hAnsi="Times New Roman"/>
          <w:sz w:val="21"/>
          <w:szCs w:val="21"/>
          <w:color w:val="auto"/>
        </w:rPr>
      </w:pPr>
    </w:p>
    <w:p>
      <w:pPr>
        <w:ind w:right="20" w:firstLine="579"/>
        <w:spacing w:after="0" w:line="233" w:lineRule="auto"/>
        <w:tabs>
          <w:tab w:leader="none" w:pos="121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00"/>
          </w:cols>
          <w:pgMar w:left="240" w:top="261" w:right="259" w:bottom="1440" w:gutter="0" w:footer="0" w:header="0"/>
        </w:sectPr>
      </w:pPr>
    </w:p>
    <w:bookmarkStart w:id="142" w:name="page143"/>
    <w:bookmarkEnd w:id="142"/>
    <w:p>
      <w:pPr>
        <w:ind w:right="6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84" w:lineRule="exact"/>
        <w:rPr>
          <w:sz w:val="20"/>
          <w:szCs w:val="20"/>
          <w:color w:val="auto"/>
        </w:rPr>
      </w:pPr>
    </w:p>
    <w:p>
      <w:pPr>
        <w:ind w:firstLine="579"/>
        <w:spacing w:after="0" w:line="244" w:lineRule="auto"/>
        <w:tabs>
          <w:tab w:leader="none" w:pos="1219"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2" w:lineRule="exact"/>
        <w:rPr>
          <w:rFonts w:ascii="Times New Roman" w:cs="Times New Roman" w:eastAsia="Times New Roman" w:hAnsi="Times New Roman"/>
          <w:sz w:val="21"/>
          <w:szCs w:val="21"/>
          <w:color w:val="auto"/>
        </w:rPr>
      </w:pPr>
    </w:p>
    <w:p>
      <w:pPr>
        <w:ind w:left="320" w:hanging="312"/>
        <w:spacing w:after="0" w:line="230" w:lineRule="auto"/>
        <w:tabs>
          <w:tab w:leader="none" w:pos="3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months after the Date of Termination by the Firm without Cause or by the Executive for Good Reason (such period, the</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Noncompete Restriction Period</w:t>
      </w:r>
      <w:r>
        <w:rPr>
          <w:rFonts w:ascii="Times New Roman" w:cs="Times New Roman" w:eastAsia="Times New Roman" w:hAnsi="Times New Roman"/>
          <w:sz w:val="21"/>
          <w:szCs w:val="21"/>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Times New Roman" w:cs="Times New Roman" w:eastAsia="Times New Roman" w:hAnsi="Times New Roman"/>
          <w:sz w:val="21"/>
          <w:szCs w:val="21"/>
          <w:u w:val="single" w:color="auto"/>
          <w:color w:val="auto"/>
        </w:rPr>
        <w:t>Competing Activity</w:t>
      </w:r>
      <w:r>
        <w:rPr>
          <w:rFonts w:ascii="Times New Roman" w:cs="Times New Roman" w:eastAsia="Times New Roman" w:hAnsi="Times New Roman"/>
          <w:sz w:val="21"/>
          <w:szCs w:val="21"/>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Times New Roman" w:cs="Times New Roman" w:eastAsia="Times New Roman" w:hAnsi="Times New Roman"/>
          <w:sz w:val="21"/>
          <w:szCs w:val="21"/>
          <w:u w:val="single" w:color="auto"/>
          <w:color w:val="auto"/>
        </w:rPr>
        <w:t>Competitive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Enterprise</w:t>
      </w:r>
      <w:r>
        <w:rPr>
          <w:rFonts w:ascii="Times New Roman" w:cs="Times New Roman" w:eastAsia="Times New Roman" w:hAnsi="Times New Roman"/>
          <w:sz w:val="21"/>
          <w:szCs w:val="21"/>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261" w:right="239" w:bottom="1440" w:gutter="0" w:footer="0" w:header="0"/>
        </w:sectPr>
      </w:pPr>
    </w:p>
    <w:bookmarkStart w:id="143" w:name="page144"/>
    <w:bookmarkEnd w:id="143"/>
    <w:p>
      <w:pPr>
        <w:ind w:left="-20" w:right="20" w:firstLine="579"/>
        <w:spacing w:after="0" w:line="239" w:lineRule="auto"/>
        <w:tabs>
          <w:tab w:leader="none" w:pos="128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left="-20" w:right="40" w:firstLine="579"/>
        <w:spacing w:after="0" w:line="245" w:lineRule="auto"/>
        <w:tabs>
          <w:tab w:leader="none" w:pos="119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78" w:lineRule="exact"/>
        <w:rPr>
          <w:rFonts w:ascii="Times New Roman" w:cs="Times New Roman" w:eastAsia="Times New Roman" w:hAnsi="Times New Roman"/>
          <w:sz w:val="21"/>
          <w:szCs w:val="21"/>
          <w:color w:val="auto"/>
        </w:rPr>
      </w:pPr>
    </w:p>
    <w:p>
      <w:pPr>
        <w:ind w:left="-20" w:firstLine="579"/>
        <w:spacing w:after="0" w:line="235" w:lineRule="auto"/>
        <w:tabs>
          <w:tab w:leader="none" w:pos="119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3" w:lineRule="exact"/>
        <w:rPr>
          <w:rFonts w:ascii="Times New Roman" w:cs="Times New Roman" w:eastAsia="Times New Roman" w:hAnsi="Times New Roman"/>
          <w:sz w:val="22"/>
          <w:szCs w:val="22"/>
          <w:color w:val="auto"/>
        </w:rPr>
      </w:pPr>
    </w:p>
    <w:p>
      <w:pPr>
        <w:ind w:left="-20" w:right="40" w:firstLine="579"/>
        <w:spacing w:after="0" w:line="234" w:lineRule="auto"/>
        <w:tabs>
          <w:tab w:leader="none" w:pos="119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00"/>
          </w:cols>
          <w:pgMar w:left="260" w:top="261" w:right="239" w:bottom="1440" w:gutter="0" w:footer="0" w:header="0"/>
        </w:sectPr>
      </w:pPr>
    </w:p>
    <w:bookmarkStart w:id="144" w:name="page145"/>
    <w:bookmarkEnd w:id="144"/>
    <w:p>
      <w:pPr>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86" w:lineRule="exact"/>
        <w:rPr>
          <w:sz w:val="20"/>
          <w:szCs w:val="20"/>
          <w:color w:val="auto"/>
        </w:rPr>
      </w:pPr>
    </w:p>
    <w:p>
      <w:pPr>
        <w:ind w:right="120" w:firstLine="579"/>
        <w:spacing w:after="0" w:line="238" w:lineRule="auto"/>
        <w:tabs>
          <w:tab w:leader="none" w:pos="121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firstLine="579"/>
        <w:spacing w:after="0" w:line="235" w:lineRule="auto"/>
        <w:tabs>
          <w:tab w:leader="none" w:pos="132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84" w:lineRule="exact"/>
        <w:rPr>
          <w:sz w:val="20"/>
          <w:szCs w:val="20"/>
          <w:color w:val="auto"/>
        </w:rPr>
      </w:pPr>
    </w:p>
    <w:p>
      <w:pPr>
        <w:ind w:firstLine="579"/>
        <w:spacing w:after="0" w:line="234" w:lineRule="auto"/>
        <w:tabs>
          <w:tab w:leader="none" w:pos="130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261" w:right="239" w:bottom="1440" w:gutter="0" w:footer="0" w:header="0"/>
        </w:sectPr>
      </w:pPr>
    </w:p>
    <w:bookmarkStart w:id="145" w:name="page146"/>
    <w:bookmarkEnd w:id="145"/>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74" w:lineRule="exact"/>
        <w:rPr>
          <w:sz w:val="20"/>
          <w:szCs w:val="20"/>
          <w:color w:val="auto"/>
        </w:rPr>
      </w:pPr>
    </w:p>
    <w:p>
      <w:pPr>
        <w:ind w:right="20" w:firstLine="579"/>
        <w:spacing w:after="0" w:line="233" w:lineRule="auto"/>
        <w:tabs>
          <w:tab w:leader="none" w:pos="129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86" w:lineRule="exact"/>
        <w:rPr>
          <w:sz w:val="20"/>
          <w:szCs w:val="20"/>
          <w:color w:val="auto"/>
        </w:rPr>
      </w:pPr>
    </w:p>
    <w:p>
      <w:pPr>
        <w:ind w:firstLine="579"/>
        <w:spacing w:after="0" w:line="234" w:lineRule="auto"/>
        <w:tabs>
          <w:tab w:leader="none" w:pos="131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76" w:lineRule="exact"/>
        <w:rPr>
          <w:rFonts w:ascii="Times New Roman" w:cs="Times New Roman" w:eastAsia="Times New Roman" w:hAnsi="Times New Roman"/>
          <w:sz w:val="22"/>
          <w:szCs w:val="22"/>
          <w:color w:val="auto"/>
        </w:rPr>
      </w:pPr>
    </w:p>
    <w:p>
      <w:pPr>
        <w:ind w:right="60" w:firstLine="579"/>
        <w:spacing w:after="0" w:line="235" w:lineRule="auto"/>
        <w:tabs>
          <w:tab w:leader="none" w:pos="132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2"/>
          <w:szCs w:val="22"/>
          <w:u w:val="single" w:color="auto"/>
          <w:color w:val="auto"/>
        </w:rPr>
        <w:t>Employment Related Matters</w:t>
      </w:r>
      <w:r>
        <w:rPr>
          <w:rFonts w:ascii="Times New Roman" w:cs="Times New Roman" w:eastAsia="Times New Roman" w:hAnsi="Times New Roman"/>
          <w:sz w:val="22"/>
          <w:szCs w:val="22"/>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accordance with the commercial arbitration rules of the AAA. Prior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20"/>
          </w:cols>
          <w:pgMar w:left="240" w:top="26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Change in Control, each party shall bear its own costs and expenses of any such arbitration. Following a Change in Control,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Lazard Group shall pay to the Executive, as incurred, all legal fees and expenses reasonably incurred by the Executive or with</w:t>
      </w:r>
    </w:p>
    <w:p>
      <w:pPr>
        <w:spacing w:after="0"/>
        <w:rPr>
          <w:sz w:val="20"/>
          <w:szCs w:val="20"/>
          <w:color w:val="auto"/>
        </w:rPr>
      </w:pPr>
      <w:r>
        <w:rPr>
          <w:rFonts w:ascii="Times New Roman" w:cs="Times New Roman" w:eastAsia="Times New Roman" w:hAnsi="Times New Roman"/>
          <w:sz w:val="21"/>
          <w:szCs w:val="21"/>
          <w:color w:val="auto"/>
        </w:rPr>
        <w:t>respect to the Executive during his lifetime or within ten years after his death in connection with any contest by Lazard Group, the</w:t>
      </w:r>
    </w:p>
    <w:p>
      <w:pPr>
        <w:spacing w:after="0" w:line="232" w:lineRule="auto"/>
        <w:rPr>
          <w:sz w:val="20"/>
          <w:szCs w:val="20"/>
          <w:color w:val="auto"/>
        </w:rPr>
      </w:pPr>
      <w:r>
        <w:rPr>
          <w:rFonts w:ascii="Times New Roman" w:cs="Times New Roman" w:eastAsia="Times New Roman" w:hAnsi="Times New Roman"/>
          <w:sz w:val="22"/>
          <w:szCs w:val="22"/>
          <w:color w:val="auto"/>
        </w:rPr>
        <w:t>Executive or others of the validity or enforceability of, or liability under, any provision of this Agreement or any guarantee of</w:t>
      </w:r>
    </w:p>
    <w:p>
      <w:pPr>
        <w:spacing w:after="0"/>
        <w:rPr>
          <w:sz w:val="20"/>
          <w:szCs w:val="20"/>
          <w:color w:val="auto"/>
        </w:rPr>
      </w:pPr>
      <w:r>
        <w:rPr>
          <w:rFonts w:ascii="Times New Roman" w:cs="Times New Roman" w:eastAsia="Times New Roman" w:hAnsi="Times New Roman"/>
          <w:sz w:val="21"/>
          <w:szCs w:val="21"/>
          <w:color w:val="auto"/>
        </w:rPr>
        <w:t>performance thereof (including any action to compel arbitration or enforce any arbitration award or as a result of any contest by the</w:t>
      </w:r>
    </w:p>
    <w:p>
      <w:pPr>
        <w:spacing w:after="0" w:line="232" w:lineRule="auto"/>
        <w:rPr>
          <w:sz w:val="20"/>
          <w:szCs w:val="20"/>
          <w:color w:val="auto"/>
        </w:rPr>
      </w:pPr>
      <w:r>
        <w:rPr>
          <w:rFonts w:ascii="Times New Roman" w:cs="Times New Roman" w:eastAsia="Times New Roman" w:hAnsi="Times New Roman"/>
          <w:sz w:val="22"/>
          <w:szCs w:val="22"/>
          <w:color w:val="auto"/>
        </w:rPr>
        <w:t>Executive about the amount of any payment pursuant to this Agreement, and whether or not any such contest is under this</w:t>
      </w:r>
    </w:p>
    <w:p>
      <w:pPr>
        <w:spacing w:after="0"/>
        <w:rPr>
          <w:sz w:val="20"/>
          <w:szCs w:val="20"/>
          <w:color w:val="auto"/>
        </w:rPr>
      </w:pPr>
      <w:r>
        <w:rPr>
          <w:rFonts w:ascii="Times New Roman" w:cs="Times New Roman" w:eastAsia="Times New Roman" w:hAnsi="Times New Roman"/>
          <w:sz w:val="21"/>
          <w:szCs w:val="21"/>
          <w:color w:val="auto"/>
        </w:rPr>
        <w:t>Section 12 or Section 13 of this Agreement or otherwise), plus Interest determined as of the date such legal fees and expenses were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shall promptly repay to Lazard Group all such amounts if the Executive fails to prevail on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least one material issue in dispute in any such contest.</w:t>
      </w:r>
    </w:p>
    <w:p>
      <w:pPr>
        <w:spacing w:after="0" w:line="182" w:lineRule="exact"/>
        <w:rPr>
          <w:sz w:val="20"/>
          <w:szCs w:val="20"/>
          <w:color w:val="auto"/>
        </w:rPr>
      </w:pPr>
    </w:p>
    <w:p>
      <w:pPr>
        <w:ind w:right="40" w:firstLine="579"/>
        <w:spacing w:after="0" w:line="234" w:lineRule="auto"/>
        <w:tabs>
          <w:tab w:leader="none" w:pos="132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84" w:lineRule="exact"/>
        <w:rPr>
          <w:rFonts w:ascii="Times New Roman" w:cs="Times New Roman" w:eastAsia="Times New Roman" w:hAnsi="Times New Roman"/>
          <w:sz w:val="22"/>
          <w:szCs w:val="22"/>
          <w:color w:val="auto"/>
        </w:rPr>
      </w:pPr>
    </w:p>
    <w:p>
      <w:pPr>
        <w:ind w:firstLine="579"/>
        <w:spacing w:after="0" w:line="234" w:lineRule="auto"/>
        <w:tabs>
          <w:tab w:leader="none" w:pos="132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0" w:lineRule="exact"/>
        <w:rPr>
          <w:sz w:val="20"/>
          <w:szCs w:val="20"/>
          <w:color w:val="auto"/>
        </w:rPr>
      </w:pPr>
    </w:p>
    <w:p>
      <w:pPr>
        <w:ind w:right="40" w:firstLine="579"/>
        <w:spacing w:after="0" w:line="238" w:lineRule="auto"/>
        <w:tabs>
          <w:tab w:leader="none" w:pos="130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00"/>
          </w:cols>
          <w:pgMar w:left="240" w:top="260" w:right="259" w:bottom="1440" w:gutter="0" w:footer="0" w:header="0"/>
        </w:sectPr>
      </w:pPr>
    </w:p>
    <w:bookmarkStart w:id="147" w:name="page148"/>
    <w:bookmarkEnd w:id="147"/>
    <w:p>
      <w:pPr>
        <w:ind w:right="8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81" w:lineRule="exact"/>
        <w:rPr>
          <w:sz w:val="20"/>
          <w:szCs w:val="20"/>
          <w:color w:val="auto"/>
        </w:rPr>
      </w:pPr>
    </w:p>
    <w:p>
      <w:pPr>
        <w:ind w:right="440" w:firstLine="579"/>
        <w:spacing w:after="0" w:line="239" w:lineRule="auto"/>
        <w:tabs>
          <w:tab w:leader="none" w:pos="13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jc w:val="both"/>
        <w:ind w:right="240" w:firstLine="579"/>
        <w:spacing w:after="0" w:line="244" w:lineRule="auto"/>
        <w:tabs>
          <w:tab w:leader="none" w:pos="132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 provided that in respect of the period prior to April 1, 2016, the Executive shall be entitled to housing and tuition reimbursements and related tax reimbursements in accordance with the Prior Retention Agreement.</w:t>
      </w:r>
    </w:p>
    <w:p>
      <w:pPr>
        <w:spacing w:after="0" w:line="174" w:lineRule="exact"/>
        <w:rPr>
          <w:sz w:val="20"/>
          <w:szCs w:val="20"/>
          <w:color w:val="auto"/>
        </w:rPr>
      </w:pPr>
    </w:p>
    <w:p>
      <w:pPr>
        <w:ind w:right="140" w:firstLine="579"/>
        <w:spacing w:after="0" w:line="244" w:lineRule="auto"/>
        <w:tabs>
          <w:tab w:leader="none" w:pos="130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firstLine="579"/>
        <w:spacing w:after="0" w:line="239" w:lineRule="auto"/>
        <w:tabs>
          <w:tab w:leader="none" w:pos="129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0" w:lineRule="exact"/>
        <w:rPr>
          <w:rFonts w:ascii="Times New Roman" w:cs="Times New Roman" w:eastAsia="Times New Roman" w:hAnsi="Times New Roman"/>
          <w:sz w:val="22"/>
          <w:szCs w:val="22"/>
          <w:color w:val="auto"/>
        </w:rPr>
      </w:pPr>
    </w:p>
    <w:p>
      <w:pPr>
        <w:ind w:firstLine="579"/>
        <w:spacing w:after="0" w:line="233" w:lineRule="auto"/>
        <w:tabs>
          <w:tab w:leader="none" w:pos="1309"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86" w:lineRule="exact"/>
        <w:rPr>
          <w:rFonts w:ascii="Times New Roman" w:cs="Times New Roman" w:eastAsia="Times New Roman" w:hAnsi="Times New Roman"/>
          <w:sz w:val="22"/>
          <w:szCs w:val="22"/>
          <w:color w:val="auto"/>
        </w:rPr>
      </w:pPr>
    </w:p>
    <w:p>
      <w:pPr>
        <w:ind w:right="420" w:firstLine="579"/>
        <w:spacing w:after="0" w:line="258" w:lineRule="auto"/>
        <w:tabs>
          <w:tab w:leader="none" w:pos="129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00"/>
          </w:cols>
          <w:pgMar w:left="240" w:top="260" w:right="259" w:bottom="1440" w:gutter="0" w:footer="0" w:header="0"/>
        </w:sectPr>
      </w:pPr>
    </w:p>
    <w:bookmarkStart w:id="148" w:name="page149"/>
    <w:bookmarkEnd w:id="148"/>
    <w:p>
      <w:pPr>
        <w:ind w:right="2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provision shall be deemed modified to the extent, but only to the extent, of such invalidity, illegality or unenforceability and the remaining provisions shall not be affected thereby.</w:t>
      </w:r>
    </w:p>
    <w:p>
      <w:pPr>
        <w:spacing w:after="0" w:line="158" w:lineRule="exact"/>
        <w:rPr>
          <w:sz w:val="20"/>
          <w:szCs w:val="20"/>
          <w:color w:val="auto"/>
        </w:rPr>
      </w:pPr>
    </w:p>
    <w:p>
      <w:pPr>
        <w:ind w:firstLine="579"/>
        <w:spacing w:after="0" w:line="236" w:lineRule="auto"/>
        <w:tabs>
          <w:tab w:leader="none" w:pos="127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2" w:lineRule="exact"/>
        <w:rPr>
          <w:rFonts w:ascii="Times New Roman" w:cs="Times New Roman" w:eastAsia="Times New Roman" w:hAnsi="Times New Roman"/>
          <w:sz w:val="22"/>
          <w:szCs w:val="22"/>
          <w:color w:val="auto"/>
        </w:rPr>
      </w:pPr>
    </w:p>
    <w:p>
      <w:pPr>
        <w:ind w:right="460" w:firstLine="579"/>
        <w:spacing w:after="0" w:line="258" w:lineRule="auto"/>
        <w:tabs>
          <w:tab w:leader="none" w:pos="130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right="60" w:firstLine="579"/>
        <w:spacing w:after="0" w:line="239" w:lineRule="auto"/>
        <w:tabs>
          <w:tab w:leader="none" w:pos="130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right="40" w:firstLine="579"/>
        <w:spacing w:after="0" w:line="236" w:lineRule="auto"/>
        <w:tabs>
          <w:tab w:leader="none" w:pos="126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82" w:lineRule="exact"/>
        <w:rPr>
          <w:rFonts w:ascii="Times New Roman" w:cs="Times New Roman" w:eastAsia="Times New Roman" w:hAnsi="Times New Roman"/>
          <w:sz w:val="22"/>
          <w:szCs w:val="22"/>
          <w:color w:val="auto"/>
        </w:rPr>
      </w:pPr>
    </w:p>
    <w:p>
      <w:pPr>
        <w:ind w:right="200" w:firstLine="579"/>
        <w:spacing w:after="0" w:line="282" w:lineRule="auto"/>
        <w:tabs>
          <w:tab w:leader="none" w:pos="1261"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4" w:lineRule="exact"/>
        <w:rPr>
          <w:rFonts w:ascii="Times New Roman" w:cs="Times New Roman" w:eastAsia="Times New Roman" w:hAnsi="Times New Roman"/>
          <w:sz w:val="21"/>
          <w:szCs w:val="21"/>
          <w:color w:val="auto"/>
        </w:rPr>
      </w:pPr>
    </w:p>
    <w:p>
      <w:pPr>
        <w:ind w:right="80" w:firstLine="579"/>
        <w:spacing w:after="0" w:line="236" w:lineRule="auto"/>
        <w:tabs>
          <w:tab w:leader="none" w:pos="130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82" w:lineRule="exact"/>
        <w:rPr>
          <w:rFonts w:ascii="Times New Roman" w:cs="Times New Roman" w:eastAsia="Times New Roman" w:hAnsi="Times New Roman"/>
          <w:sz w:val="22"/>
          <w:szCs w:val="22"/>
          <w:color w:val="auto"/>
        </w:rPr>
      </w:pPr>
    </w:p>
    <w:p>
      <w:pPr>
        <w:ind w:right="80" w:firstLine="579"/>
        <w:spacing w:after="0" w:line="244" w:lineRule="auto"/>
        <w:tabs>
          <w:tab w:leader="none" w:pos="126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00"/>
          </w:cols>
          <w:pgMar w:left="240" w:top="261" w:right="259" w:bottom="1440" w:gutter="0" w:footer="0" w:header="0"/>
        </w:sectPr>
      </w:pPr>
    </w:p>
    <w:bookmarkStart w:id="149" w:name="page150"/>
    <w:bookmarkEnd w:id="149"/>
    <w:p>
      <w:pPr>
        <w:ind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4" w:lineRule="exact"/>
        <w:rPr>
          <w:sz w:val="20"/>
          <w:szCs w:val="20"/>
          <w:color w:val="auto"/>
        </w:rPr>
      </w:pPr>
    </w:p>
    <w:p>
      <w:pPr>
        <w:ind w:right="120" w:firstLine="579"/>
        <w:spacing w:after="0" w:line="239" w:lineRule="auto"/>
        <w:tabs>
          <w:tab w:leader="none" w:pos="111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firstLine="571"/>
        <w:spacing w:after="0" w:line="258" w:lineRule="auto"/>
        <w:rPr>
          <w:sz w:val="20"/>
          <w:szCs w:val="20"/>
          <w:color w:val="auto"/>
        </w:rPr>
      </w:pPr>
      <w:r>
        <w:rPr>
          <w:rFonts w:ascii="Times New Roman" w:cs="Times New Roman" w:eastAsia="Times New Roman" w:hAnsi="Times New Roman"/>
          <w:sz w:val="22"/>
          <w:szCs w:val="22"/>
          <w:color w:val="auto"/>
        </w:rPr>
        <w:t>IN WITNESS WHEREOF, the Executive and the Firm hereto have caused this Agreement to be executed and delivered on the date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3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GROUP LLC (on its behalf,</w:t>
      </w:r>
    </w:p>
    <w:p>
      <w:pPr>
        <w:spacing w:after="0" w:line="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and on behalf of its subsidiaries and</w:t>
      </w:r>
    </w:p>
    <w:p>
      <w:pPr>
        <w:ind w:left="6860"/>
        <w:spacing w:after="0"/>
        <w:rPr>
          <w:sz w:val="20"/>
          <w:szCs w:val="20"/>
          <w:color w:val="auto"/>
        </w:rPr>
      </w:pPr>
      <w:r>
        <w:rPr>
          <w:rFonts w:ascii="Times New Roman" w:cs="Times New Roman" w:eastAsia="Times New Roman" w:hAnsi="Times New Roman"/>
          <w:sz w:val="22"/>
          <w:szCs w:val="22"/>
          <w:color w:val="auto"/>
        </w:rPr>
        <w:t>affiliates),</w:t>
      </w:r>
    </w:p>
    <w:p>
      <w:pPr>
        <w:spacing w:after="0" w:line="19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90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Matthieu Bucaille</w:t>
            </w:r>
          </w:p>
        </w:tc>
      </w:tr>
      <w:tr>
        <w:trPr>
          <w:trHeight w:val="27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Matthieu Bucaille</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261" w:right="239" w:bottom="1440" w:gutter="0" w:footer="0" w:header="0"/>
        </w:sectPr>
      </w:pPr>
    </w:p>
    <w:bookmarkStart w:id="150" w:name="page151"/>
    <w:bookmarkEnd w:id="150"/>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5"/>
              </w:rPr>
              <w:t>Exhibit A</w:t>
            </w:r>
          </w:p>
        </w:tc>
      </w:tr>
      <w:tr>
        <w:trPr>
          <w:trHeight w:val="492"/>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tc>
      </w:tr>
      <w:tr>
        <w:trPr>
          <w:trHeight w:val="407"/>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 by and between Matthieu Bucaille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ind w:right="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Lazard Group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220" w:hanging="641"/>
        <w:spacing w:after="0"/>
        <w:tabs>
          <w:tab w:leader="none" w:pos="122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-13970</wp:posOffset>
            </wp:positionV>
            <wp:extent cx="4114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2" w:lineRule="exact"/>
        <w:rPr>
          <w:sz w:val="20"/>
          <w:szCs w:val="20"/>
          <w:color w:val="auto"/>
        </w:rPr>
      </w:pPr>
    </w:p>
    <w:p>
      <w:pPr>
        <w:ind w:right="220" w:firstLine="579"/>
        <w:spacing w:after="0" w:line="244" w:lineRule="auto"/>
        <w:tabs>
          <w:tab w:leader="none" w:pos="121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238" w:right="239" w:bottom="1440" w:gutter="0" w:footer="0" w:header="0"/>
        </w:sectPr>
      </w:pPr>
    </w:p>
    <w:bookmarkStart w:id="151" w:name="page152"/>
    <w:bookmarkEnd w:id="151"/>
    <w:p>
      <w:pPr>
        <w:ind w:right="860"/>
        <w:spacing w:after="0" w:line="28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by and among the Company, Lazard Ltd and you, dated as of March 9, 2016 (such agreement, the “</w:t>
      </w:r>
      <w:r>
        <w:rPr>
          <w:rFonts w:ascii="Times New Roman" w:cs="Times New Roman" w:eastAsia="Times New Roman" w:hAnsi="Times New Roman"/>
          <w:sz w:val="21"/>
          <w:szCs w:val="21"/>
          <w:u w:val="single" w:color="auto"/>
          <w:color w:val="auto"/>
        </w:rPr>
        <w:t>Retention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that are conditioned on the Release Requirement (as defined in Section 3(d)(iii))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right="60" w:firstLine="579"/>
        <w:spacing w:after="0" w:line="238" w:lineRule="auto"/>
        <w:tabs>
          <w:tab w:leader="none" w:pos="121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77" w:lineRule="exact"/>
        <w:rPr>
          <w:rFonts w:ascii="Times New Roman" w:cs="Times New Roman" w:eastAsia="Times New Roman" w:hAnsi="Times New Roman"/>
          <w:sz w:val="22"/>
          <w:szCs w:val="22"/>
          <w:color w:val="auto"/>
        </w:rPr>
      </w:pPr>
    </w:p>
    <w:p>
      <w:pPr>
        <w:ind w:right="40" w:firstLine="579"/>
        <w:spacing w:after="0" w:line="235" w:lineRule="auto"/>
        <w:tabs>
          <w:tab w:leader="none" w:pos="121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83" w:lineRule="exact"/>
        <w:rPr>
          <w:rFonts w:ascii="Times New Roman" w:cs="Times New Roman" w:eastAsia="Times New Roman" w:hAnsi="Times New Roman"/>
          <w:sz w:val="22"/>
          <w:szCs w:val="22"/>
          <w:color w:val="auto"/>
        </w:rPr>
      </w:pPr>
    </w:p>
    <w:p>
      <w:pPr>
        <w:jc w:val="both"/>
        <w:ind w:firstLine="1433"/>
        <w:spacing w:after="0" w:line="233" w:lineRule="auto"/>
        <w:tabs>
          <w:tab w:leader="none" w:pos="2227"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86" w:lineRule="exact"/>
        <w:rPr>
          <w:rFonts w:ascii="Times New Roman" w:cs="Times New Roman" w:eastAsia="Times New Roman" w:hAnsi="Times New Roman"/>
          <w:sz w:val="22"/>
          <w:szCs w:val="22"/>
          <w:color w:val="auto"/>
        </w:rPr>
      </w:pPr>
    </w:p>
    <w:p>
      <w:pPr>
        <w:jc w:val="both"/>
        <w:ind w:firstLine="1397"/>
        <w:spacing w:after="0" w:line="236" w:lineRule="auto"/>
        <w:tabs>
          <w:tab w:leader="none" w:pos="2096"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260"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paid upon your Separation Date or in connection with your separation (including as described in Section 18 hereof),</w:t>
      </w:r>
    </w:p>
    <w:p>
      <w:pPr>
        <w:spacing w:after="0" w:line="26" w:lineRule="exact"/>
        <w:rPr>
          <w:sz w:val="20"/>
          <w:szCs w:val="20"/>
          <w:color w:val="auto"/>
        </w:rPr>
      </w:pPr>
    </w:p>
    <w:p>
      <w:pPr>
        <w:jc w:val="both"/>
        <w:ind w:firstLine="8"/>
        <w:spacing w:after="0" w:line="233" w:lineRule="auto"/>
        <w:tabs>
          <w:tab w:leader="none" w:pos="367"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77" w:lineRule="exact"/>
        <w:rPr>
          <w:rFonts w:ascii="Times New Roman" w:cs="Times New Roman" w:eastAsia="Times New Roman" w:hAnsi="Times New Roman"/>
          <w:sz w:val="22"/>
          <w:szCs w:val="22"/>
          <w:color w:val="auto"/>
        </w:rPr>
      </w:pPr>
    </w:p>
    <w:p>
      <w:pPr>
        <w:jc w:val="both"/>
        <w:ind w:firstLine="579"/>
        <w:spacing w:after="0" w:line="238" w:lineRule="auto"/>
        <w:tabs>
          <w:tab w:leader="none" w:pos="1232"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77" w:lineRule="exact"/>
        <w:rPr>
          <w:rFonts w:ascii="Times New Roman" w:cs="Times New Roman" w:eastAsia="Times New Roman" w:hAnsi="Times New Roman"/>
          <w:sz w:val="22"/>
          <w:szCs w:val="22"/>
          <w:color w:val="auto"/>
        </w:rPr>
      </w:pPr>
    </w:p>
    <w:p>
      <w:pPr>
        <w:jc w:val="both"/>
        <w:ind w:firstLine="579"/>
        <w:spacing w:after="0" w:line="238" w:lineRule="auto"/>
        <w:tabs>
          <w:tab w:leader="none" w:pos="135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jc w:val="both"/>
        <w:ind w:firstLine="1397"/>
        <w:spacing w:after="0" w:line="238" w:lineRule="auto"/>
        <w:tabs>
          <w:tab w:leader="none" w:pos="2110" w:val="left"/>
        </w:tabs>
        <w:numPr>
          <w:ilvl w:val="2"/>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Times New Roman" w:cs="Times New Roman" w:eastAsia="Times New Roman" w:hAnsi="Times New Roman"/>
          <w:sz w:val="22"/>
          <w:szCs w:val="22"/>
          <w:color w:val="auto"/>
        </w:rPr>
        <w:t>requirements, based on the written legal advice of your counsel, you will give prompt notice of such request to</w:t>
      </w:r>
      <w:r>
        <w:rPr>
          <w:sz w:val="20"/>
          <w:szCs w:val="20"/>
          <w:color w:val="auto"/>
        </w:rPr>
        <w:tab/>
      </w:r>
      <w:r>
        <w:rPr>
          <w:rFonts w:ascii="Times New Roman" w:cs="Times New Roman" w:eastAsia="Times New Roman" w:hAnsi="Times New Roman"/>
          <w:sz w:val="21"/>
          <w:szCs w:val="21"/>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78" w:lineRule="exact"/>
        <w:rPr>
          <w:sz w:val="20"/>
          <w:szCs w:val="20"/>
          <w:color w:val="auto"/>
        </w:rPr>
      </w:pPr>
    </w:p>
    <w:p>
      <w:pPr>
        <w:jc w:val="both"/>
        <w:ind w:firstLine="579"/>
        <w:spacing w:after="0" w:line="244" w:lineRule="auto"/>
        <w:tabs>
          <w:tab w:leader="none" w:pos="128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65" w:lineRule="exact"/>
        <w:rPr>
          <w:rFonts w:ascii="Times New Roman" w:cs="Times New Roman" w:eastAsia="Times New Roman" w:hAnsi="Times New Roman"/>
          <w:sz w:val="22"/>
          <w:szCs w:val="22"/>
          <w:color w:val="auto"/>
        </w:rPr>
      </w:pPr>
    </w:p>
    <w:p>
      <w:pPr>
        <w:jc w:val="both"/>
        <w:ind w:firstLine="579"/>
        <w:spacing w:after="0" w:line="236" w:lineRule="auto"/>
        <w:tabs>
          <w:tab w:leader="none" w:pos="131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261" w:right="239" w:bottom="1440" w:gutter="0" w:footer="0" w:header="0"/>
        </w:sectPr>
      </w:pPr>
    </w:p>
    <w:bookmarkStart w:id="153" w:name="page154"/>
    <w:bookmarkEnd w:id="153"/>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79" w:lineRule="exact"/>
        <w:rPr>
          <w:sz w:val="20"/>
          <w:szCs w:val="20"/>
          <w:color w:val="auto"/>
        </w:rPr>
      </w:pPr>
    </w:p>
    <w:p>
      <w:pPr>
        <w:jc w:val="both"/>
        <w:ind w:firstLine="579"/>
        <w:spacing w:after="0" w:line="238" w:lineRule="auto"/>
        <w:tabs>
          <w:tab w:leader="none" w:pos="136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77" w:lineRule="exact"/>
        <w:rPr>
          <w:rFonts w:ascii="Times New Roman" w:cs="Times New Roman" w:eastAsia="Times New Roman" w:hAnsi="Times New Roman"/>
          <w:sz w:val="22"/>
          <w:szCs w:val="22"/>
          <w:color w:val="auto"/>
        </w:rPr>
      </w:pPr>
    </w:p>
    <w:p>
      <w:pPr>
        <w:ind w:firstLine="579"/>
        <w:spacing w:after="0" w:line="258" w:lineRule="auto"/>
        <w:tabs>
          <w:tab w:leader="none" w:pos="132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53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jc w:val="both"/>
        <w:ind w:right="380" w:firstLine="1419"/>
        <w:spacing w:after="0" w:line="244" w:lineRule="auto"/>
        <w:tabs>
          <w:tab w:leader="none" w:pos="206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579"/>
        <w:spacing w:after="0" w:line="258" w:lineRule="auto"/>
        <w:tabs>
          <w:tab w:leader="none" w:pos="13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579"/>
        <w:spacing w:after="0" w:line="258" w:lineRule="auto"/>
        <w:tabs>
          <w:tab w:leader="none" w:pos="136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firstLine="1449"/>
        <w:spacing w:after="0" w:line="258" w:lineRule="auto"/>
        <w:tabs>
          <w:tab w:leader="none" w:pos="2142"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59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261" w:right="239" w:bottom="1440" w:gutter="0" w:footer="0" w:header="0"/>
        </w:sectPr>
      </w:pPr>
    </w:p>
    <w:bookmarkStart w:id="154" w:name="page155"/>
    <w:bookmarkEnd w:id="154"/>
    <w:p>
      <w:pPr>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any of the Company Entities. No other promises or agreements shall be binding unless in writing and signed by both the Company and you after the Effective Date (as defined below).</w:t>
      </w:r>
    </w:p>
    <w:p>
      <w:pPr>
        <w:spacing w:after="0" w:line="158" w:lineRule="exact"/>
        <w:rPr>
          <w:sz w:val="20"/>
          <w:szCs w:val="20"/>
          <w:color w:val="auto"/>
        </w:rPr>
      </w:pPr>
    </w:p>
    <w:p>
      <w:pPr>
        <w:jc w:val="both"/>
        <w:ind w:firstLine="579"/>
        <w:spacing w:after="0" w:line="235" w:lineRule="auto"/>
        <w:tabs>
          <w:tab w:leader="none" w:pos="144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ind w:left="1460" w:hanging="881"/>
        <w:spacing w:after="0"/>
        <w:tabs>
          <w:tab w:leader="none" w:pos="14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w:t>
      </w:r>
    </w:p>
    <w:tbl>
      <w:tblPr>
        <w:tblLayout w:type="fixed"/>
        <w:tblInd w:w="0" w:type="dxa"/>
        <w:tblCellMar>
          <w:top w:w="0" w:type="dxa"/>
          <w:left w:w="0" w:type="dxa"/>
          <w:bottom w:w="0" w:type="dxa"/>
          <w:right w:w="0" w:type="dxa"/>
        </w:tblCellMar>
      </w:tblPr>
      <w:tr>
        <w:trPr>
          <w:trHeight w:val="220"/>
        </w:trPr>
        <w:tc>
          <w:tcPr>
            <w:tcW w:w="3540" w:type="dxa"/>
            <w:vAlign w:val="bottom"/>
            <w:gridSpan w:val="3"/>
          </w:tcPr>
          <w:p>
            <w:pPr>
              <w:spacing w:after="0" w:line="220" w:lineRule="exact"/>
              <w:rPr>
                <w:sz w:val="20"/>
                <w:szCs w:val="20"/>
                <w:color w:val="auto"/>
              </w:rPr>
            </w:pPr>
            <w:r>
              <w:rPr>
                <w:rFonts w:ascii="Times New Roman" w:cs="Times New Roman" w:eastAsia="Times New Roman" w:hAnsi="Times New Roman"/>
                <w:sz w:val="22"/>
                <w:szCs w:val="22"/>
                <w:color w:val="auto"/>
                <w:w w:val="99"/>
              </w:rPr>
              <w:t>Plaza, New York, NY 10020, Attention:</w:t>
            </w:r>
          </w:p>
        </w:tc>
        <w:tc>
          <w:tcPr>
            <w:tcW w:w="1160" w:type="dxa"/>
            <w:vAlign w:val="bottom"/>
            <w:tcBorders>
              <w:bottom w:val="single" w:sz="8" w:color="auto"/>
            </w:tcBorders>
          </w:tcPr>
          <w:p>
            <w:pPr>
              <w:spacing w:after="0"/>
              <w:rPr>
                <w:sz w:val="19"/>
                <w:szCs w:val="19"/>
                <w:color w:val="auto"/>
              </w:rPr>
            </w:pPr>
          </w:p>
        </w:tc>
        <w:tc>
          <w:tcPr>
            <w:tcW w:w="122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 on or before</w:t>
            </w:r>
          </w:p>
        </w:tc>
        <w:tc>
          <w:tcPr>
            <w:tcW w:w="700" w:type="dxa"/>
            <w:vAlign w:val="bottom"/>
            <w:tcBorders>
              <w:bottom w:val="single" w:sz="8" w:color="auto"/>
            </w:tcBorders>
          </w:tcPr>
          <w:p>
            <w:pPr>
              <w:spacing w:after="0"/>
              <w:rPr>
                <w:sz w:val="19"/>
                <w:szCs w:val="19"/>
                <w:color w:val="auto"/>
              </w:rPr>
            </w:pPr>
          </w:p>
        </w:tc>
        <w:tc>
          <w:tcPr>
            <w:tcW w:w="48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2"/>
                <w:szCs w:val="22"/>
                <w:color w:val="auto"/>
                <w:w w:val="99"/>
              </w:rPr>
              <w:t>. After executing this Agreement, you shall have seven</w:t>
            </w:r>
          </w:p>
        </w:tc>
      </w:tr>
      <w:tr>
        <w:trPr>
          <w:trHeight w:val="223"/>
        </w:trPr>
        <w:tc>
          <w:tcPr>
            <w:tcW w:w="906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auto"/>
                <w:w w:val="98"/>
              </w:rPr>
              <w:t>(7) days (the “Revocation Period”) to revoke it by indicating your desire to do so in writing delivered to</w:t>
            </w:r>
          </w:p>
        </w:tc>
        <w:tc>
          <w:tcPr>
            <w:tcW w:w="112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at the address</w:t>
            </w:r>
          </w:p>
        </w:tc>
      </w:tr>
      <w:tr>
        <w:trPr>
          <w:trHeight w:val="20"/>
        </w:trPr>
        <w:tc>
          <w:tcPr>
            <w:tcW w:w="1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jc w:val="both"/>
        <w:spacing w:after="0" w:line="236" w:lineRule="auto"/>
        <w:rPr>
          <w:sz w:val="20"/>
          <w:szCs w:val="20"/>
          <w:color w:val="auto"/>
        </w:rPr>
      </w:pPr>
      <w:r>
        <w:rPr>
          <w:rFonts w:ascii="Times New Roman" w:cs="Times New Roman" w:eastAsia="Times New Roman" w:hAnsi="Times New Roman"/>
          <w:sz w:val="22"/>
          <w:szCs w:val="22"/>
          <w:color w:val="auto"/>
        </w:rPr>
        <w:t>above by no later than 5:00 p.m. on the seventh (7th) day after the date you sign this Agreement. The 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82" w:lineRule="exact"/>
        <w:rPr>
          <w:sz w:val="20"/>
          <w:szCs w:val="20"/>
          <w:color w:val="auto"/>
        </w:rPr>
      </w:pPr>
    </w:p>
    <w:p>
      <w:pPr>
        <w:ind w:firstLine="579"/>
        <w:spacing w:after="0" w:line="258" w:lineRule="auto"/>
        <w:tabs>
          <w:tab w:leader="none" w:pos="143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ind w:left="1540" w:hanging="961"/>
        <w:spacing w:after="0"/>
        <w:tabs>
          <w:tab w:leader="none" w:pos="15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Awards [(other than the</w:t>
      </w:r>
      <w:r>
        <w:rPr>
          <w:sz w:val="20"/>
          <w:szCs w:val="20"/>
          <w:color w:val="auto"/>
        </w:rPr>
        <w:tab/>
      </w:r>
      <w:r>
        <w:rPr>
          <w:rFonts w:ascii="Times New Roman" w:cs="Times New Roman" w:eastAsia="Times New Roman" w:hAnsi="Times New Roman"/>
          <w:sz w:val="21"/>
          <w:szCs w:val="21"/>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261"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53"/>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Signature:</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940" w:type="dxa"/>
            <w:vAlign w:val="bottom"/>
            <w:gridSpan w:val="3"/>
          </w:tcPr>
          <w:p>
            <w:pPr>
              <w:ind w:left="4020"/>
              <w:spacing w:after="0"/>
              <w:rPr>
                <w:sz w:val="20"/>
                <w:szCs w:val="20"/>
                <w:color w:val="auto"/>
              </w:rPr>
            </w:pPr>
            <w:r>
              <w:rPr>
                <w:rFonts w:ascii="Times New Roman" w:cs="Times New Roman" w:eastAsia="Times New Roman" w:hAnsi="Times New Roman"/>
                <w:sz w:val="22"/>
                <w:szCs w:val="22"/>
                <w:color w:val="auto"/>
              </w:rPr>
              <w:t>Date:</w:t>
            </w:r>
          </w:p>
        </w:tc>
      </w:tr>
      <w:tr>
        <w:trPr>
          <w:trHeight w:val="27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298"/>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w:t>
            </w:r>
          </w:p>
        </w:tc>
        <w:tc>
          <w:tcPr>
            <w:tcW w:w="5960" w:type="dxa"/>
            <w:vAlign w:val="bottom"/>
            <w:gridSpan w:val="6"/>
          </w:tcPr>
          <w:p>
            <w:pPr>
              <w:ind w:left="15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6"/>
        </w:trPr>
        <w:tc>
          <w:tcPr>
            <w:tcW w:w="10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gridSpan w:val="3"/>
          </w:tcPr>
          <w:p>
            <w:pPr>
              <w:ind w:left="140"/>
              <w:spacing w:after="0" w:line="237" w:lineRule="exact"/>
              <w:rPr>
                <w:sz w:val="20"/>
                <w:szCs w:val="20"/>
                <w:color w:val="auto"/>
              </w:rPr>
            </w:pPr>
            <w:r>
              <w:rPr>
                <w:rFonts w:ascii="Times New Roman" w:cs="Times New Roman" w:eastAsia="Times New Roman" w:hAnsi="Times New Roman"/>
                <w:sz w:val="22"/>
                <w:szCs w:val="22"/>
                <w:color w:val="auto"/>
              </w:rPr>
              <w:t>) ss.:</w:t>
            </w:r>
          </w:p>
        </w:tc>
      </w:tr>
      <w:tr>
        <w:trPr>
          <w:trHeight w:val="230"/>
        </w:trPr>
        <w:tc>
          <w:tcPr>
            <w:tcW w:w="134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1040" w:type="dxa"/>
            <w:vAlign w:val="bottom"/>
            <w:tcBorders>
              <w:bottom w:val="single" w:sz="8" w:color="auto"/>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920" w:type="dxa"/>
            <w:vAlign w:val="bottom"/>
            <w:gridSpan w:val="5"/>
          </w:tcPr>
          <w:p>
            <w:pPr>
              <w:ind w:left="1480"/>
              <w:spacing w:after="0" w:line="230"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9"/>
        </w:trPr>
        <w:tc>
          <w:tcPr>
            <w:tcW w:w="2380" w:type="dxa"/>
            <w:vAlign w:val="bottom"/>
            <w:gridSpan w:val="7"/>
          </w:tcPr>
          <w:p>
            <w:pPr>
              <w:ind w:left="580"/>
              <w:spacing w:after="0"/>
              <w:rPr>
                <w:sz w:val="20"/>
                <w:szCs w:val="20"/>
                <w:color w:val="auto"/>
              </w:rPr>
            </w:pPr>
            <w:r>
              <w:rPr>
                <w:rFonts w:ascii="Times New Roman" w:cs="Times New Roman" w:eastAsia="Times New Roman" w:hAnsi="Times New Roman"/>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9"/>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and who executed the foregoing Agreement, and [she/he] duly acknowledged to me that [she/he]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438150</wp:posOffset>
            </wp:positionV>
            <wp:extent cx="18180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Notary Public</w:t>
      </w: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940"/>
          </w:cols>
          <w:pgMar w:left="240" w:top="238" w:right="7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RELATING TO RETENTION AND</w:t>
      </w:r>
    </w:p>
    <w:p>
      <w:pPr>
        <w:jc w:val="center"/>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jc w:val="both"/>
        <w:ind w:right="120" w:firstLine="571"/>
        <w:spacing w:after="0" w:line="239" w:lineRule="auto"/>
        <w:rPr>
          <w:sz w:val="20"/>
          <w:szCs w:val="20"/>
          <w:color w:val="auto"/>
        </w:rPr>
      </w:pPr>
      <w:r>
        <w:rPr>
          <w:rFonts w:ascii="Times New Roman" w:cs="Times New Roman" w:eastAsia="Times New Roman" w:hAnsi="Times New Roman"/>
          <w:sz w:val="22"/>
          <w:szCs w:val="22"/>
          <w:color w:val="auto"/>
        </w:rPr>
        <w:t>AMENDED AND RESTATED AGREEMENT, dated as of March 9, 2016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Scott D. Hoffman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40" w:firstLine="571"/>
        <w:spacing w:after="0" w:line="244" w:lineRule="auto"/>
        <w:rPr>
          <w:sz w:val="20"/>
          <w:szCs w:val="20"/>
          <w:color w:val="auto"/>
        </w:rPr>
      </w:pPr>
      <w:r>
        <w:rPr>
          <w:rFonts w:ascii="Times New Roman" w:cs="Times New Roman" w:eastAsia="Times New Roman" w:hAnsi="Times New Roman"/>
          <w:sz w:val="22"/>
          <w:szCs w:val="22"/>
          <w:color w:val="auto"/>
        </w:rPr>
        <w:t>WHEREAS, the Executive previously entered into an Agreement Relating to Retention and Noncompetition and Other Covenants with Lazard and Lazard Group, dated as of May 4, 2005, as amended on May 7, 2008, February 23, 2011 and March 14, 2013 (such agreement, together with all schedules and attachments thereto, the “</w:t>
      </w:r>
      <w:r>
        <w:rPr>
          <w:rFonts w:ascii="Times New Roman" w:cs="Times New Roman" w:eastAsia="Times New Roman" w:hAnsi="Times New Roman"/>
          <w:sz w:val="22"/>
          <w:szCs w:val="22"/>
          <w:u w:val="single" w:color="auto"/>
          <w:color w:val="auto"/>
        </w:rPr>
        <w:t>Prior Retention Agreement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60" w:firstLine="571"/>
        <w:spacing w:after="0" w:line="238" w:lineRule="auto"/>
        <w:rPr>
          <w:sz w:val="20"/>
          <w:szCs w:val="20"/>
          <w:color w:val="auto"/>
        </w:rPr>
      </w:pPr>
      <w:r>
        <w:rPr>
          <w:rFonts w:ascii="Times New Roman" w:cs="Times New Roman" w:eastAsia="Times New Roman" w:hAnsi="Times New Roman"/>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WHEREAS, as of the date hereof, the Executive is the General Counsel of Lazard and Lazard Group.</w:t>
      </w:r>
    </w:p>
    <w:p>
      <w:pPr>
        <w:spacing w:after="0" w:line="206"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20" w:firstLine="579"/>
        <w:spacing w:after="0" w:line="233" w:lineRule="auto"/>
        <w:tabs>
          <w:tab w:leader="none" w:pos="116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08" w:right="239" w:bottom="1440" w:gutter="0" w:footer="0" w:header="0"/>
        </w:sectPr>
      </w:pPr>
    </w:p>
    <w:bookmarkStart w:id="157" w:name="page158"/>
    <w:bookmarkEnd w:id="157"/>
    <w:p>
      <w:pPr>
        <w:ind w:right="16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74" w:lineRule="exact"/>
        <w:rPr>
          <w:sz w:val="20"/>
          <w:szCs w:val="20"/>
          <w:color w:val="auto"/>
        </w:rPr>
      </w:pPr>
    </w:p>
    <w:p>
      <w:pPr>
        <w:ind w:left="1180" w:hanging="601"/>
        <w:spacing w:after="0"/>
        <w:tabs>
          <w:tab w:leader="none" w:pos="11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right="20" w:firstLine="579"/>
        <w:spacing w:after="0" w:line="258" w:lineRule="auto"/>
        <w:tabs>
          <w:tab w:leader="none" w:pos="116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firstLine="579"/>
        <w:spacing w:after="0" w:line="246" w:lineRule="auto"/>
        <w:tabs>
          <w:tab w:leader="none" w:pos="125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Responsibilities; Code of Conduct</w:t>
      </w:r>
      <w:r>
        <w:rPr>
          <w:rFonts w:ascii="Times New Roman" w:cs="Times New Roman" w:eastAsia="Times New Roman" w:hAnsi="Times New Roman"/>
          <w:sz w:val="21"/>
          <w:szCs w:val="21"/>
          <w:color w:val="auto"/>
        </w:rPr>
        <w:t>. During the Term until the Specified Expiration Date, the Executive shall continue to (i) serve as the General Counsel of Lazard and Lazard Group, with such authority, duties and responsibilities as are consistent with the authority, duties and responsibilities exercised by the Executive on the date hereof, (ii) report directly to the Firm’s Chief Executive Officer and the Board of Directors of Lazard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71" w:lineRule="exact"/>
        <w:rPr>
          <w:rFonts w:ascii="Times New Roman" w:cs="Times New Roman" w:eastAsia="Times New Roman" w:hAnsi="Times New Roman"/>
          <w:sz w:val="21"/>
          <w:szCs w:val="21"/>
          <w:color w:val="auto"/>
        </w:rPr>
      </w:pPr>
    </w:p>
    <w:p>
      <w:pPr>
        <w:ind w:left="1260" w:hanging="681"/>
        <w:spacing w:after="0"/>
        <w:tabs>
          <w:tab w:leader="none" w:pos="12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579"/>
        <w:spacing w:after="0" w:line="234" w:lineRule="auto"/>
        <w:tabs>
          <w:tab w:leader="none" w:pos="120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ending on the Specified Expiration Date, subject to the Executive’s continued employment hereunder, the Executive shall be entitled to receive an annual base salary of not less than $750,000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4" w:lineRule="exact"/>
        <w:rPr>
          <w:rFonts w:ascii="Times New Roman" w:cs="Times New Roman" w:eastAsia="Times New Roman" w:hAnsi="Times New Roman"/>
          <w:sz w:val="22"/>
          <w:szCs w:val="22"/>
          <w:color w:val="auto"/>
        </w:rPr>
      </w:pPr>
    </w:p>
    <w:p>
      <w:pPr>
        <w:ind w:right="20" w:firstLine="579"/>
        <w:spacing w:after="0" w:line="235" w:lineRule="auto"/>
        <w:tabs>
          <w:tab w:leader="none" w:pos="126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260" w:right="259" w:bottom="1440" w:gutter="0" w:footer="0" w:header="0"/>
        </w:sectPr>
      </w:pPr>
    </w:p>
    <w:bookmarkStart w:id="158" w:name="page159"/>
    <w:bookmarkEnd w:id="158"/>
    <w:p>
      <w:pPr>
        <w:ind w:right="30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84" w:lineRule="exact"/>
        <w:rPr>
          <w:sz w:val="20"/>
          <w:szCs w:val="20"/>
          <w:color w:val="auto"/>
        </w:rPr>
      </w:pPr>
    </w:p>
    <w:p>
      <w:pPr>
        <w:jc w:val="both"/>
        <w:ind w:firstLine="440"/>
        <w:spacing w:after="0" w:line="244" w:lineRule="auto"/>
        <w:tabs>
          <w:tab w:leader="none" w:pos="118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3" w:lineRule="exact"/>
        <w:rPr>
          <w:rFonts w:ascii="Times New Roman" w:cs="Times New Roman" w:eastAsia="Times New Roman" w:hAnsi="Times New Roman"/>
          <w:sz w:val="22"/>
          <w:szCs w:val="22"/>
          <w:color w:val="auto"/>
        </w:rPr>
      </w:pPr>
    </w:p>
    <w:p>
      <w:pPr>
        <w:ind w:right="20" w:firstLine="440"/>
        <w:spacing w:after="0" w:line="236" w:lineRule="auto"/>
        <w:tabs>
          <w:tab w:leader="none" w:pos="117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82" w:lineRule="exact"/>
        <w:rPr>
          <w:sz w:val="20"/>
          <w:szCs w:val="20"/>
          <w:color w:val="auto"/>
        </w:rPr>
      </w:pPr>
    </w:p>
    <w:p>
      <w:pPr>
        <w:ind w:right="60" w:firstLine="440"/>
        <w:spacing w:after="0" w:line="236" w:lineRule="auto"/>
        <w:tabs>
          <w:tab w:leader="none" w:pos="111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82" w:lineRule="exact"/>
        <w:rPr>
          <w:sz w:val="20"/>
          <w:szCs w:val="20"/>
          <w:color w:val="auto"/>
        </w:rPr>
      </w:pPr>
    </w:p>
    <w:p>
      <w:pPr>
        <w:ind w:right="140" w:firstLine="440"/>
        <w:spacing w:after="0" w:line="234" w:lineRule="auto"/>
        <w:tabs>
          <w:tab w:leader="none" w:pos="75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261" w:right="239" w:bottom="1440" w:gutter="0" w:footer="0" w:header="0"/>
        </w:sectPr>
      </w:pPr>
    </w:p>
    <w:bookmarkStart w:id="159" w:name="page160"/>
    <w:bookmarkEnd w:id="159"/>
    <w:p>
      <w:pPr>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2"/>
          <w:szCs w:val="22"/>
          <w:u w:val="single" w:color="auto"/>
          <w:color w:val="auto"/>
        </w:rPr>
        <w:t>Average Bonus</w:t>
      </w:r>
      <w:r>
        <w:rPr>
          <w:rFonts w:ascii="Times New Roman" w:cs="Times New Roman" w:eastAsia="Times New Roman" w:hAnsi="Times New Roman"/>
          <w:sz w:val="22"/>
          <w:szCs w:val="22"/>
          <w:color w:val="auto"/>
        </w:rPr>
        <w:t>”). In addition, upon a Qualifying Termination, for 24 months (the “</w:t>
      </w: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91" w:lineRule="exact"/>
        <w:rPr>
          <w:sz w:val="20"/>
          <w:szCs w:val="20"/>
          <w:color w:val="auto"/>
        </w:rPr>
      </w:pPr>
    </w:p>
    <w:p>
      <w:pPr>
        <w:ind w:left="580" w:firstLine="541"/>
        <w:spacing w:after="0" w:line="232" w:lineRule="auto"/>
        <w:tabs>
          <w:tab w:leader="none" w:pos="168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2"/>
          <w:szCs w:val="22"/>
          <w:u w:val="single" w:color="auto"/>
          <w:color w:val="auto"/>
        </w:rPr>
        <w:t>Pro-Ration Fraction</w:t>
      </w:r>
      <w:r>
        <w:rPr>
          <w:rFonts w:ascii="Times New Roman" w:cs="Times New Roman" w:eastAsia="Times New Roman" w:hAnsi="Times New Roman"/>
          <w:sz w:val="22"/>
          <w:szCs w:val="22"/>
          <w:color w:val="auto"/>
        </w:rPr>
        <w:t>”); or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80"/>
          </w:cols>
          <w:pgMar w:left="240" w:top="261" w:right="279" w:bottom="1440" w:gutter="0" w:footer="0" w:header="0"/>
        </w:sectPr>
      </w:pPr>
    </w:p>
    <w:bookmarkStart w:id="160" w:name="page161"/>
    <w:bookmarkEnd w:id="160"/>
    <w:p>
      <w:pPr>
        <w:ind w:left="580" w:right="20" w:firstLine="541"/>
        <w:spacing w:after="0" w:line="249" w:lineRule="auto"/>
        <w:tabs>
          <w:tab w:leader="none" w:pos="1752"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71"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74" w:lineRule="exact"/>
        <w:rPr>
          <w:sz w:val="20"/>
          <w:szCs w:val="20"/>
          <w:color w:val="auto"/>
        </w:rPr>
      </w:pPr>
    </w:p>
    <w:p>
      <w:pPr>
        <w:ind w:right="20" w:firstLine="579"/>
        <w:spacing w:after="0" w:line="235" w:lineRule="auto"/>
        <w:tabs>
          <w:tab w:leader="none" w:pos="94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83" w:lineRule="exact"/>
        <w:rPr>
          <w:rFonts w:ascii="Times New Roman" w:cs="Times New Roman" w:eastAsia="Times New Roman" w:hAnsi="Times New Roman"/>
          <w:sz w:val="22"/>
          <w:szCs w:val="22"/>
          <w:color w:val="auto"/>
        </w:rPr>
      </w:pPr>
    </w:p>
    <w:p>
      <w:pPr>
        <w:ind w:firstLine="579"/>
        <w:spacing w:after="0" w:line="236" w:lineRule="auto"/>
        <w:tabs>
          <w:tab w:leader="none" w:pos="93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right="180" w:firstLine="579"/>
        <w:spacing w:after="0" w:line="236" w:lineRule="auto"/>
        <w:tabs>
          <w:tab w:leader="none" w:pos="87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2" w:lineRule="exact"/>
        <w:rPr>
          <w:sz w:val="20"/>
          <w:szCs w:val="20"/>
          <w:color w:val="auto"/>
        </w:rPr>
      </w:pPr>
    </w:p>
    <w:p>
      <w:pPr>
        <w:ind w:left="1260" w:hanging="681"/>
        <w:spacing w:after="0"/>
        <w:tabs>
          <w:tab w:leader="none" w:pos="12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conviction of the Executive of, or a guilty or nolo contendere plea (or the equivalent in a non-United States jurisdiction) by the Executive to, a felony (or the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80"/>
          </w:cols>
          <w:pgMar w:left="240" w:top="261" w:right="2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 in a non-United States jurisdiction), or of any other crime that legally prohibits the Executive from working for the Firm;</w:t>
      </w:r>
    </w:p>
    <w:p>
      <w:pPr>
        <w:spacing w:after="0" w:line="26" w:lineRule="exact"/>
        <w:rPr>
          <w:sz w:val="20"/>
          <w:szCs w:val="20"/>
          <w:color w:val="auto"/>
        </w:rPr>
      </w:pPr>
    </w:p>
    <w:p>
      <w:pPr>
        <w:ind w:right="20" w:firstLine="8"/>
        <w:spacing w:after="0" w:line="242" w:lineRule="auto"/>
        <w:tabs>
          <w:tab w:leader="none" w:pos="318"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or the Board of Directors of Lazard,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1"/>
          <w:szCs w:val="21"/>
          <w:u w:val="single" w:color="auto"/>
          <w:color w:val="auto"/>
        </w:rPr>
        <w:t>Applicable Board</w:t>
      </w:r>
      <w:r>
        <w:rPr>
          <w:rFonts w:ascii="Times New Roman" w:cs="Times New Roman" w:eastAsia="Times New Roman" w:hAnsi="Times New Roman"/>
          <w:sz w:val="21"/>
          <w:szCs w:val="21"/>
          <w:color w:val="auto"/>
        </w:rPr>
        <w:t>”) finding that, in the good faith opinion of the Applicable Board, circumstances constituting Cause exist.</w:t>
      </w:r>
    </w:p>
    <w:p>
      <w:pPr>
        <w:spacing w:after="0" w:line="184" w:lineRule="exact"/>
        <w:rPr>
          <w:sz w:val="20"/>
          <w:szCs w:val="20"/>
          <w:color w:val="auto"/>
        </w:rPr>
      </w:pPr>
    </w:p>
    <w:p>
      <w:pPr>
        <w:ind w:firstLine="571"/>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261" w:right="239" w:bottom="1440" w:gutter="0" w:footer="0" w:header="0"/>
        </w:sectPr>
      </w:pPr>
    </w:p>
    <w:bookmarkStart w:id="162" w:name="page163"/>
    <w:bookmarkEnd w:id="162"/>
    <w:p>
      <w:pPr>
        <w:ind w:right="6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w:t>
      </w:r>
    </w:p>
    <w:p>
      <w:pPr>
        <w:spacing w:after="0" w:line="2" w:lineRule="exact"/>
        <w:rPr>
          <w:sz w:val="20"/>
          <w:szCs w:val="20"/>
          <w:color w:val="auto"/>
        </w:rPr>
      </w:pPr>
    </w:p>
    <w:p>
      <w:pPr>
        <w:ind w:right="180" w:firstLine="8"/>
        <w:spacing w:after="0" w:line="232" w:lineRule="auto"/>
        <w:tabs>
          <w:tab w:leader="none" w:pos="41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77" w:lineRule="exact"/>
        <w:rPr>
          <w:rFonts w:ascii="Times New Roman" w:cs="Times New Roman" w:eastAsia="Times New Roman" w:hAnsi="Times New Roman"/>
          <w:sz w:val="22"/>
          <w:szCs w:val="22"/>
          <w:color w:val="auto"/>
        </w:rPr>
      </w:pPr>
    </w:p>
    <w:p>
      <w:pPr>
        <w:ind w:right="140" w:firstLine="579"/>
        <w:spacing w:after="0" w:line="249" w:lineRule="auto"/>
        <w:tabs>
          <w:tab w:leader="none" w:pos="1219"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Limitations on Payments</w:t>
      </w:r>
      <w:r>
        <w:rPr>
          <w:rFonts w:ascii="Times New Roman" w:cs="Times New Roman" w:eastAsia="Times New Roman" w:hAnsi="Times New Roman"/>
          <w:sz w:val="21"/>
          <w:szCs w:val="21"/>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261" w:right="239" w:bottom="1440" w:gutter="0" w:footer="0" w:header="0"/>
        </w:sectPr>
      </w:pPr>
    </w:p>
    <w:bookmarkStart w:id="163" w:name="page164"/>
    <w:bookmarkEnd w:id="163"/>
    <w:p>
      <w:pPr>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Times New Roman" w:cs="Times New Roman" w:eastAsia="Times New Roman" w:hAnsi="Times New Roman"/>
          <w:sz w:val="21"/>
          <w:szCs w:val="21"/>
          <w:u w:val="single" w:color="auto"/>
          <w:color w:val="auto"/>
        </w:rPr>
        <w:t>Parachute Payments</w:t>
      </w:r>
      <w:r>
        <w:rPr>
          <w:rFonts w:ascii="Times New Roman" w:cs="Times New Roman" w:eastAsia="Times New Roman" w:hAnsi="Times New Roman"/>
          <w:sz w:val="21"/>
          <w:szCs w:val="21"/>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Times New Roman" w:cs="Times New Roman" w:eastAsia="Times New Roman" w:hAnsi="Times New Roman"/>
          <w:sz w:val="21"/>
          <w:szCs w:val="21"/>
          <w:u w:val="single" w:color="auto"/>
          <w:color w:val="auto"/>
        </w:rPr>
        <w:t>Agreement Payments</w:t>
      </w:r>
      <w:r>
        <w:rPr>
          <w:rFonts w:ascii="Times New Roman" w:cs="Times New Roman" w:eastAsia="Times New Roman" w:hAnsi="Times New Roman"/>
          <w:sz w:val="21"/>
          <w:szCs w:val="21"/>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77" w:lineRule="exact"/>
        <w:rPr>
          <w:sz w:val="20"/>
          <w:szCs w:val="20"/>
          <w:color w:val="auto"/>
        </w:rPr>
      </w:pPr>
    </w:p>
    <w:p>
      <w:pPr>
        <w:ind w:right="120" w:firstLine="571"/>
        <w:spacing w:after="0" w:line="245" w:lineRule="auto"/>
        <w:rPr>
          <w:sz w:val="20"/>
          <w:szCs w:val="20"/>
          <w:color w:val="auto"/>
        </w:rPr>
      </w:pPr>
      <w:r>
        <w:rPr>
          <w:rFonts w:ascii="Times New Roman" w:cs="Times New Roman" w:eastAsia="Times New Roman" w:hAnsi="Times New Roman"/>
          <w:sz w:val="21"/>
          <w:szCs w:val="21"/>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78" w:lineRule="exact"/>
        <w:rPr>
          <w:sz w:val="20"/>
          <w:szCs w:val="20"/>
          <w:color w:val="auto"/>
        </w:rPr>
      </w:pPr>
    </w:p>
    <w:p>
      <w:pPr>
        <w:ind w:right="160" w:firstLine="579"/>
        <w:spacing w:after="0" w:line="251" w:lineRule="auto"/>
        <w:tabs>
          <w:tab w:leader="none" w:pos="1255"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00"/>
          </w:cols>
          <w:pgMar w:left="240" w:top="261" w:right="259" w:bottom="1440" w:gutter="0" w:footer="0" w:header="0"/>
        </w:sectPr>
      </w:pPr>
    </w:p>
    <w:bookmarkStart w:id="164" w:name="page165"/>
    <w:bookmarkEnd w:id="164"/>
    <w:p>
      <w:pPr>
        <w:ind w:right="500"/>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w:t>
      </w:r>
    </w:p>
    <w:p>
      <w:pPr>
        <w:spacing w:after="0" w:line="4"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22"/>
          <w:szCs w:val="22"/>
          <w:color w:val="auto"/>
        </w:rPr>
        <w:t>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85" w:lineRule="exact"/>
        <w:rPr>
          <w:sz w:val="20"/>
          <w:szCs w:val="20"/>
          <w:color w:val="auto"/>
        </w:rPr>
      </w:pPr>
    </w:p>
    <w:p>
      <w:pPr>
        <w:ind w:firstLine="579"/>
        <w:spacing w:after="0" w:line="238" w:lineRule="auto"/>
        <w:tabs>
          <w:tab w:leader="none" w:pos="116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20"/>
          </w:cols>
          <w:pgMar w:left="240" w:top="261" w:right="339" w:bottom="1440" w:gutter="0" w:footer="0" w:header="0"/>
        </w:sectPr>
      </w:pPr>
    </w:p>
    <w:bookmarkStart w:id="165" w:name="page166"/>
    <w:bookmarkEnd w:id="165"/>
    <w:p>
      <w:pPr>
        <w:ind w:right="60"/>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90" w:lineRule="exact"/>
        <w:rPr>
          <w:sz w:val="20"/>
          <w:szCs w:val="20"/>
          <w:color w:val="auto"/>
        </w:rPr>
      </w:pPr>
    </w:p>
    <w:p>
      <w:pPr>
        <w:ind w:firstLine="579"/>
        <w:spacing w:after="0" w:line="244" w:lineRule="auto"/>
        <w:tabs>
          <w:tab w:leader="none" w:pos="1165" w:val="left"/>
        </w:tabs>
        <w:numPr>
          <w:ilvl w:val="1"/>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2" w:lineRule="exact"/>
        <w:rPr>
          <w:rFonts w:ascii="Times New Roman" w:cs="Times New Roman" w:eastAsia="Times New Roman" w:hAnsi="Times New Roman"/>
          <w:sz w:val="21"/>
          <w:szCs w:val="21"/>
          <w:color w:val="auto"/>
        </w:rPr>
      </w:pPr>
    </w:p>
    <w:p>
      <w:pPr>
        <w:ind w:left="320" w:hanging="312"/>
        <w:spacing w:after="0" w:line="230" w:lineRule="auto"/>
        <w:tabs>
          <w:tab w:leader="none" w:pos="3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months after the Date of Termination by the Firm without Cause or by the Executive for Good Reason (such period, the</w:t>
      </w:r>
    </w:p>
    <w:p>
      <w:pPr>
        <w:spacing w:after="0" w:line="1"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Restriction Period</w:t>
      </w:r>
      <w:r>
        <w:rPr>
          <w:rFonts w:ascii="Times New Roman" w:cs="Times New Roman" w:eastAsia="Times New Roman" w:hAnsi="Times New Roman"/>
          <w:sz w:val="22"/>
          <w:szCs w:val="22"/>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Times New Roman" w:cs="Times New Roman" w:eastAsia="Times New Roman" w:hAnsi="Times New Roman"/>
          <w:sz w:val="22"/>
          <w:szCs w:val="22"/>
          <w:u w:val="single" w:color="auto"/>
          <w:color w:val="auto"/>
        </w:rPr>
        <w:t>Competing Activity</w:t>
      </w:r>
      <w:r>
        <w:rPr>
          <w:rFonts w:ascii="Times New Roman" w:cs="Times New Roman" w:eastAsia="Times New Roman" w:hAnsi="Times New Roman"/>
          <w:sz w:val="22"/>
          <w:szCs w:val="22"/>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261" w:right="239" w:bottom="1440" w:gutter="0" w:footer="0" w:header="0"/>
        </w:sectPr>
      </w:pPr>
    </w:p>
    <w:bookmarkStart w:id="166" w:name="page167"/>
    <w:bookmarkEnd w:id="166"/>
    <w:p>
      <w:pPr>
        <w:ind w:right="2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acted for the Firm while employed by the Firm, and (B) “</w:t>
      </w:r>
      <w:r>
        <w:rPr>
          <w:rFonts w:ascii="Times New Roman" w:cs="Times New Roman" w:eastAsia="Times New Roman" w:hAnsi="Times New Roman"/>
          <w:sz w:val="22"/>
          <w:szCs w:val="22"/>
          <w:u w:val="single" w:color="auto"/>
          <w:color w:val="auto"/>
        </w:rPr>
        <w:t>Competitive Enterprise</w:t>
      </w:r>
      <w:r>
        <w:rPr>
          <w:rFonts w:ascii="Times New Roman" w:cs="Times New Roman" w:eastAsia="Times New Roman" w:hAnsi="Times New Roman"/>
          <w:sz w:val="22"/>
          <w:szCs w:val="22"/>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79" w:lineRule="exact"/>
        <w:rPr>
          <w:sz w:val="20"/>
          <w:szCs w:val="20"/>
          <w:color w:val="auto"/>
        </w:rPr>
      </w:pPr>
    </w:p>
    <w:p>
      <w:pPr>
        <w:ind w:right="80" w:firstLine="579"/>
        <w:spacing w:after="0" w:line="239" w:lineRule="auto"/>
        <w:tabs>
          <w:tab w:leader="none" w:pos="12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right="60" w:firstLine="579"/>
        <w:spacing w:after="0" w:line="245" w:lineRule="auto"/>
        <w:tabs>
          <w:tab w:leader="none" w:pos="116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78" w:lineRule="exact"/>
        <w:rPr>
          <w:rFonts w:ascii="Times New Roman" w:cs="Times New Roman" w:eastAsia="Times New Roman" w:hAnsi="Times New Roman"/>
          <w:sz w:val="21"/>
          <w:szCs w:val="21"/>
          <w:color w:val="auto"/>
        </w:rPr>
      </w:pPr>
    </w:p>
    <w:p>
      <w:pPr>
        <w:ind w:firstLine="579"/>
        <w:spacing w:after="0" w:line="235" w:lineRule="auto"/>
        <w:tabs>
          <w:tab w:leader="none" w:pos="116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3" w:lineRule="exact"/>
        <w:rPr>
          <w:rFonts w:ascii="Times New Roman" w:cs="Times New Roman" w:eastAsia="Times New Roman" w:hAnsi="Times New Roman"/>
          <w:sz w:val="22"/>
          <w:szCs w:val="22"/>
          <w:color w:val="auto"/>
        </w:rPr>
      </w:pPr>
    </w:p>
    <w:p>
      <w:pPr>
        <w:ind w:right="120" w:firstLine="579"/>
        <w:spacing w:after="0" w:line="258" w:lineRule="auto"/>
        <w:tabs>
          <w:tab w:leader="none" w:pos="116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261" w:right="239" w:bottom="1440" w:gutter="0" w:footer="0" w:header="0"/>
        </w:sectPr>
      </w:pPr>
    </w:p>
    <w:bookmarkStart w:id="167" w:name="page168"/>
    <w:bookmarkEnd w:id="167"/>
    <w:p>
      <w:pPr>
        <w:ind w:right="80"/>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88" w:lineRule="exact"/>
        <w:rPr>
          <w:sz w:val="20"/>
          <w:szCs w:val="20"/>
          <w:color w:val="auto"/>
        </w:rPr>
      </w:pPr>
    </w:p>
    <w:p>
      <w:pPr>
        <w:ind w:right="120" w:firstLine="579"/>
        <w:spacing w:after="0" w:line="238" w:lineRule="auto"/>
        <w:tabs>
          <w:tab w:leader="none" w:pos="1165"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firstLine="579"/>
        <w:spacing w:after="0" w:line="235" w:lineRule="auto"/>
        <w:tabs>
          <w:tab w:leader="none" w:pos="127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261" w:right="239" w:bottom="1440" w:gutter="0" w:footer="0" w:header="0"/>
        </w:sectPr>
      </w:pPr>
    </w:p>
    <w:bookmarkStart w:id="168" w:name="page169"/>
    <w:bookmarkEnd w:id="168"/>
    <w:p>
      <w:pPr>
        <w:ind w:left="-20" w:firstLine="579"/>
        <w:spacing w:after="0" w:line="233" w:lineRule="auto"/>
        <w:tabs>
          <w:tab w:leader="none" w:pos="123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83" w:lineRule="exact"/>
        <w:rPr>
          <w:rFonts w:ascii="Times New Roman" w:cs="Times New Roman" w:eastAsia="Times New Roman" w:hAnsi="Times New Roman"/>
          <w:sz w:val="22"/>
          <w:szCs w:val="22"/>
          <w:color w:val="auto"/>
        </w:rPr>
      </w:pPr>
    </w:p>
    <w:p>
      <w:pPr>
        <w:ind w:left="-20" w:right="120" w:firstLine="579"/>
        <w:spacing w:after="0" w:line="233" w:lineRule="auto"/>
        <w:tabs>
          <w:tab w:leader="none" w:pos="121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86" w:lineRule="exact"/>
        <w:rPr>
          <w:sz w:val="20"/>
          <w:szCs w:val="20"/>
          <w:color w:val="auto"/>
        </w:rPr>
      </w:pPr>
    </w:p>
    <w:p>
      <w:pPr>
        <w:ind w:left="-20" w:right="100" w:firstLine="579"/>
        <w:spacing w:after="0" w:line="234" w:lineRule="auto"/>
        <w:tabs>
          <w:tab w:leader="none" w:pos="1245"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00"/>
          </w:cols>
          <w:pgMar w:left="260" w:top="261" w:right="239" w:bottom="1440" w:gutter="0" w:footer="0" w:header="0"/>
        </w:sectPr>
      </w:pPr>
    </w:p>
    <w:bookmarkStart w:id="169" w:name="page170"/>
    <w:bookmarkEnd w:id="169"/>
    <w:p>
      <w:pPr>
        <w:ind w:right="28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8" w:lineRule="exact"/>
        <w:rPr>
          <w:sz w:val="20"/>
          <w:szCs w:val="20"/>
          <w:color w:val="auto"/>
        </w:rPr>
      </w:pPr>
    </w:p>
    <w:p>
      <w:pPr>
        <w:ind w:right="20" w:firstLine="579"/>
        <w:spacing w:after="0" w:line="232" w:lineRule="auto"/>
        <w:tabs>
          <w:tab w:leader="none" w:pos="127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2"/>
          <w:szCs w:val="22"/>
          <w:u w:val="single" w:color="auto"/>
          <w:color w:val="auto"/>
        </w:rPr>
        <w:t>Employment Related Matters</w:t>
      </w:r>
      <w:r>
        <w:rPr>
          <w:rFonts w:ascii="Times New Roman" w:cs="Times New Roman" w:eastAsia="Times New Roman" w:hAnsi="Times New Roman"/>
          <w:sz w:val="22"/>
          <w:szCs w:val="22"/>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promptly repay to Lazard Group all such amounts if the Executive fails to prevail on at least one material issue in dispute in any such contest.</w:t>
      </w:r>
    </w:p>
    <w:p>
      <w:pPr>
        <w:spacing w:after="0" w:line="192" w:lineRule="exact"/>
        <w:rPr>
          <w:rFonts w:ascii="Times New Roman" w:cs="Times New Roman" w:eastAsia="Times New Roman" w:hAnsi="Times New Roman"/>
          <w:sz w:val="22"/>
          <w:szCs w:val="22"/>
          <w:color w:val="auto"/>
        </w:rPr>
      </w:pPr>
    </w:p>
    <w:p>
      <w:pPr>
        <w:ind w:firstLine="579"/>
        <w:spacing w:after="0" w:line="234" w:lineRule="auto"/>
        <w:tabs>
          <w:tab w:leader="none" w:pos="127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84" w:lineRule="exact"/>
        <w:rPr>
          <w:rFonts w:ascii="Times New Roman" w:cs="Times New Roman" w:eastAsia="Times New Roman" w:hAnsi="Times New Roman"/>
          <w:sz w:val="22"/>
          <w:szCs w:val="22"/>
          <w:color w:val="auto"/>
        </w:rPr>
      </w:pPr>
    </w:p>
    <w:p>
      <w:pPr>
        <w:ind w:firstLine="579"/>
        <w:spacing w:after="0" w:line="236" w:lineRule="auto"/>
        <w:tabs>
          <w:tab w:leader="none" w:pos="127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60"/>
          </w:cols>
          <w:pgMar w:left="240" w:top="261" w:right="299" w:bottom="1440" w:gutter="0" w:footer="0" w:header="0"/>
        </w:sectPr>
      </w:pPr>
    </w:p>
    <w:bookmarkStart w:id="170" w:name="page171"/>
    <w:bookmarkEnd w:id="170"/>
    <w:p>
      <w:pPr>
        <w:ind w:right="14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1" w:lineRule="exact"/>
        <w:rPr>
          <w:sz w:val="20"/>
          <w:szCs w:val="20"/>
          <w:color w:val="auto"/>
        </w:rPr>
      </w:pPr>
    </w:p>
    <w:p>
      <w:pPr>
        <w:ind w:right="40" w:firstLine="579"/>
        <w:spacing w:after="0" w:line="247" w:lineRule="auto"/>
        <w:tabs>
          <w:tab w:leader="none" w:pos="1251"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73" w:lineRule="exact"/>
        <w:rPr>
          <w:sz w:val="20"/>
          <w:szCs w:val="20"/>
          <w:color w:val="auto"/>
        </w:rPr>
      </w:pPr>
    </w:p>
    <w:p>
      <w:pPr>
        <w:ind w:right="500" w:firstLine="579"/>
        <w:spacing w:after="0" w:line="239" w:lineRule="auto"/>
        <w:tabs>
          <w:tab w:leader="none" w:pos="127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ind w:right="340" w:firstLine="579"/>
        <w:spacing w:after="0" w:line="258" w:lineRule="auto"/>
        <w:tabs>
          <w:tab w:leader="none" w:pos="127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w:t>
      </w:r>
    </w:p>
    <w:p>
      <w:pPr>
        <w:spacing w:after="0" w:line="158" w:lineRule="exact"/>
        <w:rPr>
          <w:sz w:val="20"/>
          <w:szCs w:val="20"/>
          <w:color w:val="auto"/>
        </w:rPr>
      </w:pPr>
    </w:p>
    <w:p>
      <w:pPr>
        <w:ind w:right="200" w:firstLine="579"/>
        <w:spacing w:after="0" w:line="244" w:lineRule="auto"/>
        <w:tabs>
          <w:tab w:leader="none" w:pos="125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firstLine="579"/>
        <w:spacing w:after="0" w:line="238" w:lineRule="auto"/>
        <w:tabs>
          <w:tab w:leader="none" w:pos="124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(provided that if, at the time of delivery of a notice, the Executive is serving as Lazard’s General Counsel, such notice shall be directed to the attention of Lazard’s Chief Executive Officer),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77" w:lineRule="exact"/>
        <w:rPr>
          <w:rFonts w:ascii="Times New Roman" w:cs="Times New Roman" w:eastAsia="Times New Roman" w:hAnsi="Times New Roman"/>
          <w:sz w:val="22"/>
          <w:szCs w:val="22"/>
          <w:color w:val="auto"/>
        </w:rPr>
      </w:pPr>
    </w:p>
    <w:p>
      <w:pPr>
        <w:ind w:right="20" w:firstLine="579"/>
        <w:spacing w:after="0" w:line="236" w:lineRule="auto"/>
        <w:tabs>
          <w:tab w:leader="none" w:pos="125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261" w:right="239" w:bottom="1440" w:gutter="0" w:footer="0" w:header="0"/>
        </w:sectPr>
      </w:pPr>
    </w:p>
    <w:bookmarkStart w:id="171" w:name="page172"/>
    <w:bookmarkEnd w:id="171"/>
    <w:p>
      <w:pPr>
        <w:ind w:right="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84" w:lineRule="exact"/>
        <w:rPr>
          <w:sz w:val="20"/>
          <w:szCs w:val="20"/>
          <w:color w:val="auto"/>
        </w:rPr>
      </w:pPr>
    </w:p>
    <w:p>
      <w:pPr>
        <w:ind w:right="20" w:firstLine="579"/>
        <w:spacing w:after="0" w:line="244" w:lineRule="auto"/>
        <w:tabs>
          <w:tab w:leader="none" w:pos="1239"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3" w:lineRule="exact"/>
        <w:rPr>
          <w:rFonts w:ascii="Times New Roman" w:cs="Times New Roman" w:eastAsia="Times New Roman" w:hAnsi="Times New Roman"/>
          <w:sz w:val="22"/>
          <w:szCs w:val="22"/>
          <w:color w:val="auto"/>
        </w:rPr>
      </w:pPr>
    </w:p>
    <w:p>
      <w:pPr>
        <w:ind w:firstLine="579"/>
        <w:spacing w:after="0" w:line="236" w:lineRule="auto"/>
        <w:tabs>
          <w:tab w:leader="none" w:pos="121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2" w:lineRule="exact"/>
        <w:rPr>
          <w:rFonts w:ascii="Times New Roman" w:cs="Times New Roman" w:eastAsia="Times New Roman" w:hAnsi="Times New Roman"/>
          <w:sz w:val="22"/>
          <w:szCs w:val="22"/>
          <w:color w:val="auto"/>
        </w:rPr>
      </w:pPr>
    </w:p>
    <w:p>
      <w:pPr>
        <w:ind w:right="520" w:firstLine="579"/>
        <w:spacing w:after="0" w:line="258" w:lineRule="auto"/>
        <w:tabs>
          <w:tab w:leader="none" w:pos="1255"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right="60" w:firstLine="579"/>
        <w:spacing w:after="0" w:line="239" w:lineRule="auto"/>
        <w:tabs>
          <w:tab w:leader="none" w:pos="125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right="40" w:firstLine="579"/>
        <w:spacing w:after="0" w:line="236" w:lineRule="auto"/>
        <w:tabs>
          <w:tab w:leader="none" w:pos="1207"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82" w:lineRule="exact"/>
        <w:rPr>
          <w:rFonts w:ascii="Times New Roman" w:cs="Times New Roman" w:eastAsia="Times New Roman" w:hAnsi="Times New Roman"/>
          <w:sz w:val="22"/>
          <w:szCs w:val="22"/>
          <w:color w:val="auto"/>
        </w:rPr>
      </w:pPr>
    </w:p>
    <w:p>
      <w:pPr>
        <w:jc w:val="both"/>
        <w:ind w:right="260" w:firstLine="579"/>
        <w:spacing w:after="0" w:line="282" w:lineRule="auto"/>
        <w:tabs>
          <w:tab w:leader="none" w:pos="120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00"/>
          </w:cols>
          <w:pgMar w:left="240" w:top="261" w:right="259" w:bottom="1440" w:gutter="0" w:footer="0" w:header="0"/>
        </w:sectPr>
      </w:pPr>
    </w:p>
    <w:bookmarkStart w:id="172" w:name="page173"/>
    <w:bookmarkEnd w:id="172"/>
    <w:p>
      <w:pPr>
        <w:ind w:right="100" w:firstLine="579"/>
        <w:spacing w:after="0" w:line="236" w:lineRule="auto"/>
        <w:tabs>
          <w:tab w:leader="none" w:pos="1251"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82" w:lineRule="exact"/>
        <w:rPr>
          <w:rFonts w:ascii="Times New Roman" w:cs="Times New Roman" w:eastAsia="Times New Roman" w:hAnsi="Times New Roman"/>
          <w:sz w:val="22"/>
          <w:szCs w:val="22"/>
          <w:color w:val="auto"/>
        </w:rPr>
      </w:pPr>
    </w:p>
    <w:p>
      <w:pPr>
        <w:ind w:firstLine="579"/>
        <w:spacing w:after="0" w:line="234" w:lineRule="auto"/>
        <w:tabs>
          <w:tab w:leader="none" w:pos="120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4" w:lineRule="exact"/>
        <w:rPr>
          <w:sz w:val="20"/>
          <w:szCs w:val="20"/>
          <w:color w:val="auto"/>
        </w:rPr>
      </w:pPr>
    </w:p>
    <w:p>
      <w:pPr>
        <w:ind w:right="200" w:firstLine="579"/>
        <w:spacing w:after="0" w:line="239" w:lineRule="auto"/>
        <w:tabs>
          <w:tab w:leader="none" w:pos="127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261" w:right="239" w:bottom="1440" w:gutter="0" w:footer="0" w:header="0"/>
        </w:sectPr>
      </w:pPr>
    </w:p>
    <w:bookmarkStart w:id="173" w:name="page174"/>
    <w:bookmarkEnd w:id="173"/>
    <w:p>
      <w:pPr>
        <w:ind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p>
      <w:pPr>
        <w:ind w:left="6860"/>
        <w:spacing w:after="0"/>
        <w:tabs>
          <w:tab w:leader="none" w:pos="7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11430</wp:posOffset>
            </wp:positionV>
            <wp:extent cx="24269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 w:lineRule="exact"/>
        <w:rPr>
          <w:sz w:val="20"/>
          <w:szCs w:val="20"/>
          <w:color w:val="auto"/>
        </w:rPr>
      </w:pPr>
    </w:p>
    <w:p>
      <w:pPr>
        <w:ind w:left="6860"/>
        <w:spacing w:after="0"/>
        <w:tabs>
          <w:tab w:leader="none" w:pos="7680" w:val="left"/>
        </w:tabs>
        <w:rPr>
          <w:sz w:val="20"/>
          <w:szCs w:val="20"/>
          <w:color w:val="auto"/>
        </w:rPr>
      </w:pPr>
      <w:r>
        <w:rPr>
          <w:rFonts w:ascii="Times New Roman" w:cs="Times New Roman" w:eastAsia="Times New Roman" w:hAnsi="Times New Roman"/>
          <w:sz w:val="22"/>
          <w:szCs w:val="22"/>
          <w:color w:val="auto"/>
        </w:rPr>
        <w:t>Name:</w:t>
        <w:tab/>
        <w:t>Kenneth M. Jacobs</w:t>
      </w:r>
    </w:p>
    <w:p>
      <w:pPr>
        <w:ind w:left="6860"/>
        <w:spacing w:after="0" w:line="232" w:lineRule="auto"/>
        <w:tabs>
          <w:tab w:leader="none" w:pos="7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Chairman and</w:t>
      </w:r>
    </w:p>
    <w:p>
      <w:pPr>
        <w:ind w:left="77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GROUP LLC (on its behalf, and on</w:t>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behalf of its subsidiaries and affiliates),</w:t>
      </w:r>
    </w:p>
    <w:p>
      <w:pPr>
        <w:spacing w:after="0" w:line="182" w:lineRule="exact"/>
        <w:rPr>
          <w:sz w:val="20"/>
          <w:szCs w:val="20"/>
          <w:color w:val="auto"/>
        </w:rPr>
      </w:pPr>
    </w:p>
    <w:p>
      <w:pPr>
        <w:ind w:left="6860"/>
        <w:spacing w:after="0"/>
        <w:tabs>
          <w:tab w:leader="none" w:pos="7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11430</wp:posOffset>
            </wp:positionV>
            <wp:extent cx="24269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 w:lineRule="exact"/>
        <w:rPr>
          <w:sz w:val="20"/>
          <w:szCs w:val="20"/>
          <w:color w:val="auto"/>
        </w:rPr>
      </w:pPr>
    </w:p>
    <w:p>
      <w:pPr>
        <w:ind w:left="6860"/>
        <w:spacing w:after="0"/>
        <w:tabs>
          <w:tab w:leader="none" w:pos="7680" w:val="left"/>
        </w:tabs>
        <w:rPr>
          <w:sz w:val="20"/>
          <w:szCs w:val="20"/>
          <w:color w:val="auto"/>
        </w:rPr>
      </w:pPr>
      <w:r>
        <w:rPr>
          <w:rFonts w:ascii="Times New Roman" w:cs="Times New Roman" w:eastAsia="Times New Roman" w:hAnsi="Times New Roman"/>
          <w:sz w:val="22"/>
          <w:szCs w:val="22"/>
          <w:color w:val="auto"/>
        </w:rPr>
        <w:t>Name:</w:t>
        <w:tab/>
        <w:t>Kenneth M. Jacobs</w:t>
      </w:r>
    </w:p>
    <w:p>
      <w:pPr>
        <w:ind w:left="6860"/>
        <w:spacing w:after="0" w:line="232" w:lineRule="auto"/>
        <w:tabs>
          <w:tab w:leader="none" w:pos="7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Chairman and</w:t>
      </w:r>
    </w:p>
    <w:p>
      <w:pPr>
        <w:ind w:left="77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11430</wp:posOffset>
            </wp:positionV>
            <wp:extent cx="23152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2"/>
          <w:szCs w:val="22"/>
          <w:color w:val="auto"/>
        </w:rPr>
        <w:t>Scott D. Hoffman</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00"/>
          </w:cols>
          <w:pgMar w:left="240" w:top="261" w:right="459" w:bottom="1440" w:gutter="0" w:footer="0" w:header="0"/>
        </w:sectPr>
      </w:pPr>
    </w:p>
    <w:bookmarkStart w:id="174" w:name="page175"/>
    <w:bookmarkEnd w:id="174"/>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5"/>
              </w:rPr>
              <w:t>Exhibit A</w:t>
            </w:r>
          </w:p>
        </w:tc>
      </w:tr>
      <w:tr>
        <w:trPr>
          <w:trHeight w:val="492"/>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tc>
      </w:tr>
      <w:tr>
        <w:trPr>
          <w:trHeight w:val="407"/>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 by and between Scott D. Hoffman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ind w:right="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Lazard Group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80" w:hanging="601"/>
        <w:spacing w:after="0"/>
        <w:tabs>
          <w:tab w:leader="none" w:pos="11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-13970</wp:posOffset>
            </wp:positionV>
            <wp:extent cx="4114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2" w:lineRule="exact"/>
        <w:rPr>
          <w:sz w:val="20"/>
          <w:szCs w:val="20"/>
          <w:color w:val="auto"/>
        </w:rPr>
      </w:pPr>
    </w:p>
    <w:p>
      <w:pPr>
        <w:ind w:right="160" w:firstLine="579"/>
        <w:spacing w:after="0" w:line="238" w:lineRule="auto"/>
        <w:tabs>
          <w:tab w:leader="none" w:pos="116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that are conditioned on the Release Requirement (as defined in Section 3(d)(iii))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120" w:firstLine="579"/>
        <w:spacing w:after="0" w:line="238" w:lineRule="auto"/>
        <w:tabs>
          <w:tab w:leader="none" w:pos="116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77" w:lineRule="exact"/>
        <w:rPr>
          <w:rFonts w:ascii="Times New Roman" w:cs="Times New Roman" w:eastAsia="Times New Roman" w:hAnsi="Times New Roman"/>
          <w:sz w:val="22"/>
          <w:szCs w:val="22"/>
          <w:color w:val="auto"/>
        </w:rPr>
      </w:pPr>
    </w:p>
    <w:p>
      <w:pPr>
        <w:ind w:right="40" w:firstLine="579"/>
        <w:spacing w:after="0" w:line="238" w:lineRule="auto"/>
        <w:tabs>
          <w:tab w:leader="none" w:pos="116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238" w:right="239" w:bottom="1440" w:gutter="0" w:footer="0" w:header="0"/>
        </w:sectPr>
      </w:pPr>
    </w:p>
    <w:bookmarkStart w:id="175" w:name="page176"/>
    <w:bookmarkEnd w:id="175"/>
    <w:p>
      <w:pPr>
        <w:ind w:right="94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58" w:lineRule="exact"/>
        <w:rPr>
          <w:sz w:val="20"/>
          <w:szCs w:val="20"/>
          <w:color w:val="auto"/>
        </w:rPr>
      </w:pPr>
    </w:p>
    <w:p>
      <w:pPr>
        <w:jc w:val="both"/>
        <w:ind w:firstLine="1444"/>
        <w:spacing w:after="0" w:line="233" w:lineRule="auto"/>
        <w:tabs>
          <w:tab w:leader="none" w:pos="2185" w:val="left"/>
        </w:tabs>
        <w:numPr>
          <w:ilvl w:val="2"/>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86" w:lineRule="exact"/>
        <w:rPr>
          <w:rFonts w:ascii="Times New Roman" w:cs="Times New Roman" w:eastAsia="Times New Roman" w:hAnsi="Times New Roman"/>
          <w:sz w:val="22"/>
          <w:szCs w:val="22"/>
          <w:color w:val="auto"/>
        </w:rPr>
      </w:pPr>
    </w:p>
    <w:p>
      <w:pPr>
        <w:jc w:val="both"/>
        <w:ind w:firstLine="1371"/>
        <w:spacing w:after="0" w:line="233" w:lineRule="auto"/>
        <w:tabs>
          <w:tab w:leader="none" w:pos="1956"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86" w:lineRule="exact"/>
        <w:rPr>
          <w:rFonts w:ascii="Times New Roman" w:cs="Times New Roman" w:eastAsia="Times New Roman" w:hAnsi="Times New Roman"/>
          <w:sz w:val="22"/>
          <w:szCs w:val="22"/>
          <w:color w:val="auto"/>
        </w:rPr>
      </w:pPr>
    </w:p>
    <w:p>
      <w:pPr>
        <w:jc w:val="both"/>
        <w:ind w:firstLine="579"/>
        <w:spacing w:after="0" w:line="238" w:lineRule="auto"/>
        <w:tabs>
          <w:tab w:leader="none" w:pos="1192"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261" w:right="239" w:bottom="1440" w:gutter="0" w:footer="0" w:header="0"/>
        </w:sectPr>
      </w:pPr>
    </w:p>
    <w:bookmarkStart w:id="176" w:name="page177"/>
    <w:bookmarkEnd w:id="176"/>
    <w:p>
      <w:pPr>
        <w:jc w:val="both"/>
        <w:ind w:firstLine="579"/>
        <w:spacing w:after="0" w:line="238" w:lineRule="auto"/>
        <w:tabs>
          <w:tab w:leader="none" w:pos="130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ind w:right="200" w:firstLine="1119"/>
        <w:spacing w:after="0" w:line="249" w:lineRule="auto"/>
        <w:tabs>
          <w:tab w:leader="none" w:pos="1697"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Times New Roman" w:cs="Times New Roman" w:eastAsia="Times New Roman" w:hAnsi="Times New Roman"/>
          <w:sz w:val="22"/>
          <w:szCs w:val="22"/>
          <w:color w:val="auto"/>
        </w:rPr>
        <w:t>requirements, based on the written legal advice of your counsel, you will give prompt notice of such request to</w:t>
      </w:r>
      <w:r>
        <w:rPr>
          <w:sz w:val="20"/>
          <w:szCs w:val="20"/>
          <w:color w:val="auto"/>
        </w:rPr>
        <w:tab/>
      </w:r>
      <w:r>
        <w:rPr>
          <w:rFonts w:ascii="Times New Roman" w:cs="Times New Roman" w:eastAsia="Times New Roman" w:hAnsi="Times New Roman"/>
          <w:sz w:val="21"/>
          <w:szCs w:val="21"/>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right="60"/>
        <w:spacing w:after="0" w:line="235" w:lineRule="auto"/>
        <w:rPr>
          <w:sz w:val="20"/>
          <w:szCs w:val="20"/>
          <w:color w:val="auto"/>
        </w:rPr>
      </w:pPr>
      <w:r>
        <w:rPr>
          <w:rFonts w:ascii="Times New Roman" w:cs="Times New Roman" w:eastAsia="Times New Roman" w:hAnsi="Times New Roman"/>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78" w:lineRule="exact"/>
        <w:rPr>
          <w:sz w:val="20"/>
          <w:szCs w:val="20"/>
          <w:color w:val="auto"/>
        </w:rPr>
      </w:pPr>
    </w:p>
    <w:p>
      <w:pPr>
        <w:jc w:val="both"/>
        <w:ind w:firstLine="579"/>
        <w:spacing w:after="0" w:line="244" w:lineRule="auto"/>
        <w:tabs>
          <w:tab w:leader="none" w:pos="124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73" w:lineRule="exact"/>
        <w:rPr>
          <w:rFonts w:ascii="Times New Roman" w:cs="Times New Roman" w:eastAsia="Times New Roman" w:hAnsi="Times New Roman"/>
          <w:sz w:val="22"/>
          <w:szCs w:val="22"/>
          <w:color w:val="auto"/>
        </w:rPr>
      </w:pPr>
    </w:p>
    <w:p>
      <w:pPr>
        <w:jc w:val="both"/>
        <w:ind w:firstLine="579"/>
        <w:spacing w:after="0" w:line="233" w:lineRule="auto"/>
        <w:tabs>
          <w:tab w:leader="none" w:pos="1165"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83" w:lineRule="exact"/>
        <w:rPr>
          <w:rFonts w:ascii="Times New Roman" w:cs="Times New Roman" w:eastAsia="Times New Roman" w:hAnsi="Times New Roman"/>
          <w:sz w:val="22"/>
          <w:szCs w:val="22"/>
          <w:color w:val="auto"/>
        </w:rPr>
      </w:pPr>
    </w:p>
    <w:p>
      <w:pPr>
        <w:jc w:val="both"/>
        <w:ind w:firstLine="579"/>
        <w:spacing w:after="0" w:line="238" w:lineRule="auto"/>
        <w:tabs>
          <w:tab w:leader="none" w:pos="131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260" w:right="239" w:bottom="1440" w:gutter="0" w:footer="0" w:header="0"/>
        </w:sectPr>
      </w:pPr>
    </w:p>
    <w:bookmarkStart w:id="177" w:name="page178"/>
    <w:bookmarkEnd w:id="177"/>
    <w:p>
      <w:pPr>
        <w:ind w:right="20" w:firstLine="579"/>
        <w:spacing w:after="0" w:line="258" w:lineRule="auto"/>
        <w:tabs>
          <w:tab w:leader="none" w:pos="128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48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jc w:val="both"/>
        <w:ind w:right="20" w:firstLine="137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579"/>
        <w:spacing w:after="0" w:line="258" w:lineRule="auto"/>
        <w:tabs>
          <w:tab w:leader="none" w:pos="13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579"/>
        <w:spacing w:after="0" w:line="258" w:lineRule="auto"/>
        <w:tabs>
          <w:tab w:leader="none" w:pos="1327"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firstLine="139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579"/>
        <w:spacing w:after="0" w:line="239" w:lineRule="auto"/>
        <w:tabs>
          <w:tab w:leader="none" w:pos="154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80" w:lineRule="exact"/>
        <w:rPr>
          <w:rFonts w:ascii="Times New Roman" w:cs="Times New Roman" w:eastAsia="Times New Roman" w:hAnsi="Times New Roman"/>
          <w:sz w:val="22"/>
          <w:szCs w:val="22"/>
          <w:color w:val="auto"/>
        </w:rPr>
      </w:pPr>
    </w:p>
    <w:p>
      <w:pPr>
        <w:jc w:val="both"/>
        <w:ind w:firstLine="579"/>
        <w:spacing w:after="0" w:line="235" w:lineRule="auto"/>
        <w:tabs>
          <w:tab w:leader="none" w:pos="139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ind w:left="1400" w:hanging="821"/>
        <w:spacing w:after="0"/>
        <w:tabs>
          <w:tab w:leader="none" w:pos="14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w:t>
      </w:r>
    </w:p>
    <w:p>
      <w:pPr>
        <w:spacing w:after="0" w:line="4" w:lineRule="exact"/>
        <w:rPr>
          <w:sz w:val="20"/>
          <w:szCs w:val="20"/>
          <w:color w:val="auto"/>
        </w:rPr>
      </w:pPr>
    </w:p>
    <w:p>
      <w:pPr>
        <w:spacing w:after="0"/>
        <w:tabs>
          <w:tab w:leader="none" w:pos="4680" w:val="left"/>
          <w:tab w:leader="none" w:pos="6600" w:val="left"/>
        </w:tabs>
        <w:rPr>
          <w:sz w:val="20"/>
          <w:szCs w:val="20"/>
          <w:color w:val="auto"/>
        </w:rPr>
      </w:pPr>
      <w:r>
        <w:rPr>
          <w:rFonts w:ascii="Times New Roman" w:cs="Times New Roman" w:eastAsia="Times New Roman" w:hAnsi="Times New Roman"/>
          <w:sz w:val="22"/>
          <w:szCs w:val="22"/>
          <w:color w:val="auto"/>
        </w:rPr>
        <w:t>Plaza, New York, NY 10020, Attention:</w:t>
      </w:r>
      <w:r>
        <w:rPr>
          <w:sz w:val="20"/>
          <w:szCs w:val="20"/>
          <w:color w:val="auto"/>
        </w:rPr>
        <w:tab/>
      </w:r>
      <w:r>
        <w:rPr>
          <w:rFonts w:ascii="Times New Roman" w:cs="Times New Roman" w:eastAsia="Times New Roman" w:hAnsi="Times New Roman"/>
          <w:sz w:val="22"/>
          <w:szCs w:val="22"/>
          <w:color w:val="auto"/>
        </w:rPr>
        <w:t>, on or before</w:t>
      </w:r>
      <w:r>
        <w:rPr>
          <w:sz w:val="20"/>
          <w:szCs w:val="20"/>
          <w:color w:val="auto"/>
        </w:rPr>
        <w:tab/>
      </w:r>
      <w:r>
        <w:rPr>
          <w:rFonts w:ascii="Times New Roman" w:cs="Times New Roman" w:eastAsia="Times New Roman" w:hAnsi="Times New Roman"/>
          <w:sz w:val="21"/>
          <w:szCs w:val="21"/>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6" w:lineRule="auto"/>
        <w:tabs>
          <w:tab w:leader="none" w:pos="308"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revoke it by indicating your desire to do so in writing delivered to 22</w:t>
      </w:r>
    </w:p>
    <w:p>
      <w:pPr>
        <w:sectPr>
          <w:pgSz w:w="11900" w:h="16838" w:orient="portrait"/>
          <w:cols w:equalWidth="0" w:num="1">
            <w:col w:w="11420"/>
          </w:cols>
          <w:pgMar w:left="240" w:top="261" w:right="239" w:bottom="1440" w:gutter="0" w:footer="0" w:header="0"/>
        </w:sectPr>
      </w:pPr>
    </w:p>
    <w:bookmarkStart w:id="178" w:name="page179"/>
    <w:bookmarkEnd w:id="178"/>
    <w:p>
      <w:pPr>
        <w:jc w:val="both"/>
        <w:ind w:firstLine="1243"/>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886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2" w:lineRule="exact"/>
        <w:rPr>
          <w:sz w:val="20"/>
          <w:szCs w:val="20"/>
          <w:color w:val="auto"/>
        </w:rPr>
      </w:pPr>
    </w:p>
    <w:p>
      <w:pPr>
        <w:ind w:firstLine="579"/>
        <w:spacing w:after="0" w:line="258" w:lineRule="auto"/>
        <w:tabs>
          <w:tab w:leader="none" w:pos="139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ind w:left="1480" w:hanging="901"/>
        <w:spacing w:after="0"/>
        <w:tabs>
          <w:tab w:leader="none" w:pos="14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Awards [(other than the</w:t>
      </w:r>
      <w:r>
        <w:rPr>
          <w:sz w:val="20"/>
          <w:szCs w:val="20"/>
          <w:color w:val="auto"/>
        </w:rPr>
        <w:tab/>
      </w:r>
      <w:r>
        <w:rPr>
          <w:rFonts w:ascii="Times New Roman" w:cs="Times New Roman" w:eastAsia="Times New Roman" w:hAnsi="Times New Roman"/>
          <w:sz w:val="21"/>
          <w:szCs w:val="21"/>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Signature:</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40" w:type="dxa"/>
            <w:vAlign w:val="bottom"/>
            <w:gridSpan w:val="3"/>
          </w:tcPr>
          <w:p>
            <w:pPr>
              <w:ind w:left="3800"/>
              <w:spacing w:after="0"/>
              <w:rPr>
                <w:sz w:val="20"/>
                <w:szCs w:val="20"/>
                <w:color w:val="auto"/>
              </w:rPr>
            </w:pPr>
            <w:r>
              <w:rPr>
                <w:rFonts w:ascii="Times New Roman" w:cs="Times New Roman" w:eastAsia="Times New Roman" w:hAnsi="Times New Roman"/>
                <w:sz w:val="22"/>
                <w:szCs w:val="22"/>
                <w:color w:val="auto"/>
              </w:rPr>
              <w:t>Date:</w:t>
            </w:r>
          </w:p>
        </w:tc>
      </w:tr>
      <w:tr>
        <w:trPr>
          <w:trHeight w:val="27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406"/>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w:t>
            </w:r>
          </w:p>
        </w:tc>
        <w:tc>
          <w:tcPr>
            <w:tcW w:w="1600" w:type="dxa"/>
            <w:vAlign w:val="bottom"/>
            <w:gridSpan w:val="5"/>
          </w:tcPr>
          <w:p>
            <w:pPr>
              <w:ind w:left="1520"/>
              <w:spacing w:after="0"/>
              <w:rPr>
                <w:sz w:val="20"/>
                <w:szCs w:val="20"/>
                <w:color w:val="auto"/>
              </w:rPr>
            </w:pPr>
            <w:r>
              <w:rPr>
                <w:rFonts w:ascii="Times New Roman" w:cs="Times New Roman" w:eastAsia="Times New Roman" w:hAnsi="Times New Roman"/>
                <w:sz w:val="22"/>
                <w:szCs w:val="22"/>
                <w:color w:val="auto"/>
                <w:w w:val="81"/>
              </w:rPr>
              <w:t>)</w:t>
            </w:r>
          </w:p>
        </w:tc>
        <w:tc>
          <w:tcPr>
            <w:tcW w:w="4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10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40" w:type="dxa"/>
            <w:vAlign w:val="bottom"/>
            <w:gridSpan w:val="4"/>
          </w:tcPr>
          <w:p>
            <w:pPr>
              <w:ind w:left="520"/>
              <w:spacing w:after="0" w:line="237" w:lineRule="exact"/>
              <w:rPr>
                <w:sz w:val="20"/>
                <w:szCs w:val="20"/>
                <w:color w:val="auto"/>
              </w:rPr>
            </w:pPr>
            <w:r>
              <w:rPr>
                <w:rFonts w:ascii="Times New Roman" w:cs="Times New Roman" w:eastAsia="Times New Roman" w:hAnsi="Times New Roman"/>
                <w:sz w:val="22"/>
                <w:szCs w:val="22"/>
                <w:color w:val="auto"/>
              </w:rPr>
              <w:t>) ss.:</w:t>
            </w:r>
          </w:p>
        </w:tc>
      </w:tr>
      <w:tr>
        <w:trPr>
          <w:trHeight w:val="230"/>
        </w:trPr>
        <w:tc>
          <w:tcPr>
            <w:tcW w:w="134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1040" w:type="dxa"/>
            <w:vAlign w:val="bottom"/>
            <w:tcBorders>
              <w:bottom w:val="single" w:sz="8" w:color="auto"/>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gridSpan w:val="4"/>
          </w:tcPr>
          <w:p>
            <w:pPr>
              <w:ind w:left="1480"/>
              <w:spacing w:after="0" w:line="230" w:lineRule="exact"/>
              <w:rPr>
                <w:sz w:val="20"/>
                <w:szCs w:val="20"/>
                <w:color w:val="auto"/>
              </w:rPr>
            </w:pPr>
            <w:r>
              <w:rPr>
                <w:rFonts w:ascii="Times New Roman" w:cs="Times New Roman" w:eastAsia="Times New Roman" w:hAnsi="Times New Roman"/>
                <w:sz w:val="22"/>
                <w:szCs w:val="22"/>
                <w:color w:val="auto"/>
                <w:w w:val="81"/>
              </w:rPr>
              <w:t>)</w:t>
            </w:r>
          </w:p>
        </w:tc>
        <w:tc>
          <w:tcPr>
            <w:tcW w:w="4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9"/>
        </w:trPr>
        <w:tc>
          <w:tcPr>
            <w:tcW w:w="2380" w:type="dxa"/>
            <w:vAlign w:val="bottom"/>
            <w:gridSpan w:val="7"/>
          </w:tcPr>
          <w:p>
            <w:pPr>
              <w:ind w:left="580"/>
              <w:spacing w:after="0"/>
              <w:rPr>
                <w:sz w:val="20"/>
                <w:szCs w:val="20"/>
                <w:color w:val="auto"/>
              </w:rPr>
            </w:pPr>
            <w:r>
              <w:rPr>
                <w:rFonts w:ascii="Times New Roman" w:cs="Times New Roman" w:eastAsia="Times New Roman" w:hAnsi="Times New Roman"/>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ind w:left="5940" w:right="480" w:hanging="5933"/>
        <w:spacing w:after="0" w:line="416" w:lineRule="auto"/>
        <w:rPr>
          <w:sz w:val="20"/>
          <w:szCs w:val="20"/>
          <w:color w:val="auto"/>
        </w:rPr>
      </w:pPr>
      <w:r>
        <w:rPr>
          <w:rFonts w:ascii="Times New Roman" w:cs="Times New Roman" w:eastAsia="Times New Roman" w:hAnsi="Times New Roman"/>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-255905</wp:posOffset>
            </wp:positionV>
            <wp:extent cx="18180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261"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RELATING TO RETENTION AND</w:t>
      </w:r>
    </w:p>
    <w:p>
      <w:pPr>
        <w:jc w:val="center"/>
        <w:spacing w:after="0"/>
        <w:rPr>
          <w:sz w:val="20"/>
          <w:szCs w:val="20"/>
          <w:color w:val="auto"/>
        </w:rPr>
      </w:pPr>
      <w:r>
        <w:rPr>
          <w:rFonts w:ascii="Times New Roman" w:cs="Times New Roman" w:eastAsia="Times New Roman" w:hAnsi="Times New Roman"/>
          <w:sz w:val="22"/>
          <w:szCs w:val="22"/>
          <w:color w:val="auto"/>
        </w:rPr>
        <w:t>NONCOMPETITION AND OTHER COVENANTS</w:t>
      </w:r>
    </w:p>
    <w:p>
      <w:pPr>
        <w:spacing w:after="0" w:line="182" w:lineRule="exact"/>
        <w:rPr>
          <w:sz w:val="20"/>
          <w:szCs w:val="20"/>
          <w:color w:val="auto"/>
        </w:rPr>
      </w:pPr>
    </w:p>
    <w:p>
      <w:pPr>
        <w:jc w:val="both"/>
        <w:ind w:right="120" w:firstLine="571"/>
        <w:spacing w:after="0" w:line="239" w:lineRule="auto"/>
        <w:rPr>
          <w:sz w:val="20"/>
          <w:szCs w:val="20"/>
          <w:color w:val="auto"/>
        </w:rPr>
      </w:pPr>
      <w:r>
        <w:rPr>
          <w:rFonts w:ascii="Times New Roman" w:cs="Times New Roman" w:eastAsia="Times New Roman" w:hAnsi="Times New Roman"/>
          <w:sz w:val="22"/>
          <w:szCs w:val="22"/>
          <w:color w:val="auto"/>
        </w:rPr>
        <w:t>AMENDED AND RESTATED AGREEMENT, dated as of March 9, 2016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Lazard Ltd, a company incorporated under the laws of Bermuda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Lazard Group LLC, a Delaware limited liability company (“</w:t>
      </w:r>
      <w:r>
        <w:rPr>
          <w:rFonts w:ascii="Times New Roman" w:cs="Times New Roman" w:eastAsia="Times New Roman" w:hAnsi="Times New Roman"/>
          <w:sz w:val="22"/>
          <w:szCs w:val="22"/>
          <w:u w:val="single" w:color="auto"/>
          <w:color w:val="auto"/>
        </w:rPr>
        <w:t>Lazard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Group</w:t>
      </w:r>
      <w:r>
        <w:rPr>
          <w:rFonts w:ascii="Times New Roman" w:cs="Times New Roman" w:eastAsia="Times New Roman" w:hAnsi="Times New Roman"/>
          <w:sz w:val="22"/>
          <w:szCs w:val="22"/>
          <w:color w:val="auto"/>
        </w:rPr>
        <w:t>”), on its behalf and on behalf of its subsidiaries and affiliates (collectively with Lazard and Lazard Group, and its and their predecessors and successors,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and Alexander F. Stern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140" w:firstLine="571"/>
        <w:spacing w:after="0" w:line="244" w:lineRule="auto"/>
        <w:rPr>
          <w:sz w:val="20"/>
          <w:szCs w:val="20"/>
          <w:color w:val="auto"/>
        </w:rPr>
      </w:pPr>
      <w:r>
        <w:rPr>
          <w:rFonts w:ascii="Times New Roman" w:cs="Times New Roman" w:eastAsia="Times New Roman" w:hAnsi="Times New Roman"/>
          <w:sz w:val="22"/>
          <w:szCs w:val="22"/>
          <w:color w:val="auto"/>
        </w:rPr>
        <w:t>WHEREAS, the Executive previously entered into an Agreement Relating to Retention and Noncompetition and Other Covenants with Lazard and Lazard Group, dated as of October 4, 2004, as amended on March 23, 2010 and March 14, 2013 (such agreement, together with all schedules and attachments thereto, the “</w:t>
      </w:r>
      <w:r>
        <w:rPr>
          <w:rFonts w:ascii="Times New Roman" w:cs="Times New Roman" w:eastAsia="Times New Roman" w:hAnsi="Times New Roman"/>
          <w:sz w:val="22"/>
          <w:szCs w:val="22"/>
          <w:u w:val="single" w:color="auto"/>
          <w:color w:val="auto"/>
        </w:rPr>
        <w:t>Prior Retention Agreement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right="60" w:firstLine="571"/>
        <w:spacing w:after="0" w:line="238" w:lineRule="auto"/>
        <w:rPr>
          <w:sz w:val="20"/>
          <w:szCs w:val="20"/>
          <w:color w:val="auto"/>
        </w:rPr>
      </w:pPr>
      <w:r>
        <w:rPr>
          <w:rFonts w:ascii="Times New Roman" w:cs="Times New Roman" w:eastAsia="Times New Roman" w:hAnsi="Times New Roman"/>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77" w:lineRule="exact"/>
        <w:rPr>
          <w:sz w:val="20"/>
          <w:szCs w:val="20"/>
          <w:color w:val="auto"/>
        </w:rPr>
      </w:pPr>
    </w:p>
    <w:p>
      <w:pPr>
        <w:ind w:right="280" w:firstLine="571"/>
        <w:spacing w:after="0" w:line="258" w:lineRule="auto"/>
        <w:rPr>
          <w:sz w:val="20"/>
          <w:szCs w:val="20"/>
          <w:color w:val="auto"/>
        </w:rPr>
      </w:pPr>
      <w:r>
        <w:rPr>
          <w:rFonts w:ascii="Times New Roman" w:cs="Times New Roman" w:eastAsia="Times New Roman" w:hAnsi="Times New Roman"/>
          <w:sz w:val="22"/>
          <w:szCs w:val="22"/>
          <w:color w:val="auto"/>
        </w:rPr>
        <w:t>WHEREAS, as of the date hereof, the Executive is the Chief Operating Officer of Lazard and Lazard Group and the Chief Executive Officer of Financial Advisory of Lazard Group.</w:t>
      </w:r>
    </w:p>
    <w:p>
      <w:pPr>
        <w:spacing w:after="0" w:line="158"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35" w:lineRule="exact"/>
        <w:rPr>
          <w:sz w:val="20"/>
          <w:szCs w:val="20"/>
          <w:color w:val="auto"/>
        </w:rPr>
      </w:pPr>
    </w:p>
    <w:p>
      <w:pPr>
        <w:ind w:right="20" w:firstLine="579"/>
        <w:spacing w:after="0" w:line="233" w:lineRule="auto"/>
        <w:tabs>
          <w:tab w:leader="none" w:pos="1165"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Section 10(c) and to Section 16(b),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Times New Roman" w:cs="Times New Roman" w:eastAsia="Times New Roman" w:hAnsi="Times New Roman"/>
          <w:sz w:val="22"/>
          <w:szCs w:val="22"/>
          <w:u w:val="single" w:color="auto"/>
          <w:color w:val="auto"/>
        </w:rPr>
        <w:t>Specified Expiration Date</w:t>
      </w:r>
      <w:r>
        <w:rPr>
          <w:rFonts w:ascii="Times New Roman" w:cs="Times New Roman" w:eastAsia="Times New Roman" w:hAnsi="Times New Roman"/>
          <w:sz w:val="22"/>
          <w:szCs w:val="22"/>
          <w:color w:val="auto"/>
        </w:rPr>
        <w:t>”), provided that, upon a Change in Control (as defined in Lazard’s 2008 Incentive Compensation Plan, as it may be amended from time to time, or any successor plan thereto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08" w:right="239" w:bottom="1440" w:gutter="0" w:footer="0" w:header="0"/>
        </w:sectPr>
      </w:pPr>
    </w:p>
    <w:bookmarkStart w:id="180" w:name="page181"/>
    <w:bookmarkEnd w:id="180"/>
    <w:p>
      <w:pPr>
        <w:ind w:right="14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period in lieu of such notice;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74" w:lineRule="exact"/>
        <w:rPr>
          <w:sz w:val="20"/>
          <w:szCs w:val="20"/>
          <w:color w:val="auto"/>
        </w:rPr>
      </w:pPr>
    </w:p>
    <w:p>
      <w:pPr>
        <w:ind w:left="1180" w:hanging="601"/>
        <w:spacing w:after="0"/>
        <w:tabs>
          <w:tab w:leader="none" w:pos="11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firstLine="579"/>
        <w:spacing w:after="0" w:line="258" w:lineRule="auto"/>
        <w:tabs>
          <w:tab w:leader="none" w:pos="1165"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Executive hereby agrees to continue in the employ of the Firm, subject to the terms and conditions of this Agreement.</w:t>
      </w:r>
    </w:p>
    <w:p>
      <w:pPr>
        <w:spacing w:after="0" w:line="158" w:lineRule="exact"/>
        <w:rPr>
          <w:sz w:val="20"/>
          <w:szCs w:val="20"/>
          <w:color w:val="auto"/>
        </w:rPr>
      </w:pPr>
    </w:p>
    <w:p>
      <w:pPr>
        <w:ind w:right="80" w:firstLine="579"/>
        <w:spacing w:after="0" w:line="236" w:lineRule="auto"/>
        <w:tabs>
          <w:tab w:leader="none" w:pos="1147"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Responsibilities; Code of Conduct</w:t>
      </w:r>
      <w:r>
        <w:rPr>
          <w:rFonts w:ascii="Times New Roman" w:cs="Times New Roman" w:eastAsia="Times New Roman" w:hAnsi="Times New Roman"/>
          <w:sz w:val="22"/>
          <w:szCs w:val="22"/>
          <w:color w:val="auto"/>
        </w:rPr>
        <w:t>. During the Term until the Specified Expiration Date, the Executive shall continue to (i) serve as the Chief Operating Officer of Lazard and Lazard Group and the Chief Executive Officer of Financial Advisory of Lazard Group, with such authority, duties and responsibilities as are consistent with the authority, duties and responsibilities exercised by the Executive on the date hereof, (ii) report directly to the Firm’s Chief Executive Officer and</w:t>
      </w:r>
    </w:p>
    <w:p>
      <w:pPr>
        <w:spacing w:after="0" w:line="1" w:lineRule="exact"/>
        <w:rPr>
          <w:rFonts w:ascii="Times New Roman" w:cs="Times New Roman" w:eastAsia="Times New Roman" w:hAnsi="Times New Roman"/>
          <w:sz w:val="22"/>
          <w:szCs w:val="22"/>
          <w:color w:val="auto"/>
        </w:rPr>
      </w:pPr>
    </w:p>
    <w:p>
      <w:pPr>
        <w:ind w:right="40" w:firstLine="8"/>
        <w:spacing w:after="0" w:line="232" w:lineRule="auto"/>
        <w:tabs>
          <w:tab w:leader="none" w:pos="37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1" w:lineRule="exact"/>
        <w:rPr>
          <w:rFonts w:ascii="Times New Roman" w:cs="Times New Roman" w:eastAsia="Times New Roman" w:hAnsi="Times New Roman"/>
          <w:sz w:val="22"/>
          <w:szCs w:val="22"/>
          <w:color w:val="auto"/>
        </w:rPr>
      </w:pPr>
    </w:p>
    <w:p>
      <w:pPr>
        <w:ind w:left="1140" w:hanging="561"/>
        <w:spacing w:after="0"/>
        <w:tabs>
          <w:tab w:leader="none" w:pos="11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579"/>
        <w:spacing w:after="0" w:line="234" w:lineRule="auto"/>
        <w:tabs>
          <w:tab w:leader="none" w:pos="109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period ending on the Specified Expiration Date, subject to the Executive’s continued employment hereunder, the Executive shall be entitled to receive an annual base salary of not less than $750,000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4" w:lineRule="exact"/>
        <w:rPr>
          <w:rFonts w:ascii="Times New Roman" w:cs="Times New Roman" w:eastAsia="Times New Roman" w:hAnsi="Times New Roman"/>
          <w:sz w:val="22"/>
          <w:szCs w:val="22"/>
          <w:color w:val="auto"/>
        </w:rPr>
      </w:pPr>
    </w:p>
    <w:p>
      <w:pPr>
        <w:ind w:firstLine="579"/>
        <w:spacing w:after="0" w:line="236" w:lineRule="auto"/>
        <w:tabs>
          <w:tab w:leader="none" w:pos="115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80"/>
          </w:cols>
          <w:pgMar w:left="240" w:top="261" w:right="279" w:bottom="1440" w:gutter="0" w:footer="0" w:header="0"/>
        </w:sectPr>
      </w:pPr>
    </w:p>
    <w:bookmarkStart w:id="181" w:name="page182"/>
    <w:bookmarkEnd w:id="181"/>
    <w:p>
      <w:pPr>
        <w:ind w:right="8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79" w:lineRule="exact"/>
        <w:rPr>
          <w:sz w:val="20"/>
          <w:szCs w:val="20"/>
          <w:color w:val="auto"/>
        </w:rPr>
      </w:pPr>
    </w:p>
    <w:p>
      <w:pPr>
        <w:ind w:right="340" w:firstLine="579"/>
        <w:spacing w:after="0" w:line="244" w:lineRule="auto"/>
        <w:tabs>
          <w:tab w:leader="none" w:pos="132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73" w:lineRule="exact"/>
        <w:rPr>
          <w:rFonts w:ascii="Times New Roman" w:cs="Times New Roman" w:eastAsia="Times New Roman" w:hAnsi="Times New Roman"/>
          <w:sz w:val="22"/>
          <w:szCs w:val="22"/>
          <w:color w:val="auto"/>
        </w:rPr>
      </w:pPr>
    </w:p>
    <w:p>
      <w:pPr>
        <w:ind w:right="60" w:firstLine="579"/>
        <w:spacing w:after="0" w:line="236" w:lineRule="auto"/>
        <w:tabs>
          <w:tab w:leader="none" w:pos="1315"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82" w:lineRule="exact"/>
        <w:rPr>
          <w:sz w:val="20"/>
          <w:szCs w:val="20"/>
          <w:color w:val="auto"/>
        </w:rPr>
      </w:pPr>
    </w:p>
    <w:p>
      <w:pPr>
        <w:ind w:firstLine="579"/>
        <w:spacing w:after="0" w:line="236" w:lineRule="auto"/>
        <w:tabs>
          <w:tab w:leader="none" w:pos="1255"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under Certain Circumstances</w:t>
      </w:r>
      <w:r>
        <w:rPr>
          <w:rFonts w:ascii="Times New Roman" w:cs="Times New Roman" w:eastAsia="Times New Roman" w:hAnsi="Times New Roman"/>
          <w:sz w:val="22"/>
          <w:szCs w:val="22"/>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82" w:lineRule="exact"/>
        <w:rPr>
          <w:sz w:val="20"/>
          <w:szCs w:val="20"/>
          <w:color w:val="auto"/>
        </w:rPr>
      </w:pPr>
    </w:p>
    <w:p>
      <w:pPr>
        <w:ind w:right="80" w:firstLine="579"/>
        <w:spacing w:after="0" w:line="234" w:lineRule="auto"/>
        <w:tabs>
          <w:tab w:leader="none" w:pos="88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“Qualifying Termination”),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60"/>
          </w:cols>
          <w:pgMar w:left="240" w:top="261" w:right="299" w:bottom="1440" w:gutter="0" w:footer="0" w:header="0"/>
        </w:sectPr>
      </w:pPr>
    </w:p>
    <w:bookmarkStart w:id="182" w:name="page183"/>
    <w:bookmarkEnd w:id="182"/>
    <w:p>
      <w:pPr>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Times New Roman" w:cs="Times New Roman" w:eastAsia="Times New Roman" w:hAnsi="Times New Roman"/>
          <w:sz w:val="22"/>
          <w:szCs w:val="22"/>
          <w:u w:val="single" w:color="auto"/>
          <w:color w:val="auto"/>
        </w:rPr>
        <w:t>Average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In addition, upon a Qualifying Termination, for 24 months (the “</w:t>
      </w:r>
      <w:r>
        <w:rPr>
          <w:rFonts w:ascii="Times New Roman" w:cs="Times New Roman" w:eastAsia="Times New Roman" w:hAnsi="Times New Roman"/>
          <w:sz w:val="22"/>
          <w:szCs w:val="22"/>
          <w:u w:val="single" w:color="auto"/>
          <w:color w:val="auto"/>
        </w:rPr>
        <w:t>Benefit Continuation Period</w:t>
      </w:r>
      <w:r>
        <w:rPr>
          <w:rFonts w:ascii="Times New Roman" w:cs="Times New Roman" w:eastAsia="Times New Roman" w:hAnsi="Times New Roman"/>
          <w:sz w:val="22"/>
          <w:szCs w:val="22"/>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90" w:lineRule="exact"/>
        <w:rPr>
          <w:sz w:val="20"/>
          <w:szCs w:val="20"/>
          <w:color w:val="auto"/>
        </w:rPr>
      </w:pPr>
    </w:p>
    <w:p>
      <w:pPr>
        <w:ind w:left="580" w:right="40" w:firstLine="541"/>
        <w:spacing w:after="0" w:line="232" w:lineRule="auto"/>
        <w:tabs>
          <w:tab w:leader="none" w:pos="16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Times New Roman" w:cs="Times New Roman" w:eastAsia="Times New Roman" w:hAnsi="Times New Roman"/>
          <w:sz w:val="22"/>
          <w:szCs w:val="22"/>
          <w:u w:val="single" w:color="auto"/>
          <w:color w:val="auto"/>
        </w:rPr>
        <w:t>Pro-Ration Fraction</w:t>
      </w:r>
      <w:r>
        <w:rPr>
          <w:rFonts w:ascii="Times New Roman" w:cs="Times New Roman" w:eastAsia="Times New Roman" w:hAnsi="Times New Roman"/>
          <w:sz w:val="22"/>
          <w:szCs w:val="22"/>
          <w:color w:val="auto"/>
        </w:rPr>
        <w:t>”);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261" w:right="239" w:bottom="1440" w:gutter="0" w:footer="0" w:header="0"/>
        </w:sectPr>
      </w:pPr>
    </w:p>
    <w:bookmarkStart w:id="183" w:name="page184"/>
    <w:bookmarkEnd w:id="183"/>
    <w:p>
      <w:pPr>
        <w:ind w:left="580" w:right="20" w:firstLine="541"/>
        <w:spacing w:after="0" w:line="249" w:lineRule="auto"/>
        <w:tabs>
          <w:tab w:leader="none" w:pos="175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71"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2"/>
          <w:szCs w:val="22"/>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74" w:lineRule="exact"/>
        <w:rPr>
          <w:sz w:val="20"/>
          <w:szCs w:val="20"/>
          <w:color w:val="auto"/>
        </w:rPr>
      </w:pPr>
    </w:p>
    <w:p>
      <w:pPr>
        <w:ind w:right="20" w:firstLine="579"/>
        <w:spacing w:after="0" w:line="235" w:lineRule="auto"/>
        <w:tabs>
          <w:tab w:leader="none" w:pos="949"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has become effective and irrevocable in accordance with its terms (such requirement to execute a release,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Notwithstanding the foregoing, the Release Requirement shall lapse upon a Change in Control.</w:t>
      </w:r>
    </w:p>
    <w:p>
      <w:pPr>
        <w:spacing w:after="0" w:line="183" w:lineRule="exact"/>
        <w:rPr>
          <w:rFonts w:ascii="Times New Roman" w:cs="Times New Roman" w:eastAsia="Times New Roman" w:hAnsi="Times New Roman"/>
          <w:sz w:val="22"/>
          <w:szCs w:val="22"/>
          <w:color w:val="auto"/>
        </w:rPr>
      </w:pPr>
    </w:p>
    <w:p>
      <w:pPr>
        <w:ind w:firstLine="579"/>
        <w:spacing w:after="0" w:line="236" w:lineRule="auto"/>
        <w:tabs>
          <w:tab w:leader="none" w:pos="93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of this Agreement, including Section 5(a), and for all purposes of the outstanding equity-based awards, fund interest awards and any similar awards (collectively,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as applicable.</w:t>
      </w:r>
    </w:p>
    <w:p>
      <w:pPr>
        <w:spacing w:after="0" w:line="182" w:lineRule="exact"/>
        <w:rPr>
          <w:rFonts w:ascii="Times New Roman" w:cs="Times New Roman" w:eastAsia="Times New Roman" w:hAnsi="Times New Roman"/>
          <w:sz w:val="22"/>
          <w:szCs w:val="22"/>
          <w:color w:val="auto"/>
        </w:rPr>
      </w:pPr>
    </w:p>
    <w:p>
      <w:pPr>
        <w:ind w:right="180" w:firstLine="579"/>
        <w:spacing w:after="0" w:line="236" w:lineRule="auto"/>
        <w:tabs>
          <w:tab w:leader="none" w:pos="87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2" w:lineRule="exact"/>
        <w:rPr>
          <w:sz w:val="20"/>
          <w:szCs w:val="20"/>
          <w:color w:val="auto"/>
        </w:rPr>
      </w:pPr>
    </w:p>
    <w:p>
      <w:pPr>
        <w:ind w:left="1260" w:hanging="681"/>
        <w:spacing w:after="0"/>
        <w:tabs>
          <w:tab w:leader="none" w:pos="12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as applicable, the following terms shall have the following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82"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conviction of the Executive of, or a guilty or nolo contendere plea (or the equivalent in a non-United States jurisdiction) by the Executive to, a felony (or the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80"/>
          </w:cols>
          <w:pgMar w:left="240" w:top="261" w:right="2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 in a non-United States jurisdiction), or of any other crime that legally prohibits the Executive from working for the Firm;</w:t>
      </w:r>
    </w:p>
    <w:p>
      <w:pPr>
        <w:spacing w:after="0" w:line="26" w:lineRule="exact"/>
        <w:rPr>
          <w:sz w:val="20"/>
          <w:szCs w:val="20"/>
          <w:color w:val="auto"/>
        </w:rPr>
      </w:pPr>
    </w:p>
    <w:p>
      <w:pPr>
        <w:ind w:right="40" w:firstLine="8"/>
        <w:spacing w:after="0" w:line="231" w:lineRule="auto"/>
        <w:tabs>
          <w:tab w:leader="none" w:pos="31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Times New Roman" w:cs="Times New Roman" w:eastAsia="Times New Roman" w:hAnsi="Times New Roman"/>
          <w:sz w:val="22"/>
          <w:szCs w:val="22"/>
          <w:u w:val="single" w:color="auto"/>
          <w:color w:val="auto"/>
        </w:rPr>
        <w:t>Applicable Board</w:t>
      </w:r>
      <w:r>
        <w:rPr>
          <w:rFonts w:ascii="Times New Roman" w:cs="Times New Roman" w:eastAsia="Times New Roman" w:hAnsi="Times New Roman"/>
          <w:sz w:val="22"/>
          <w:szCs w:val="22"/>
          <w:color w:val="auto"/>
        </w:rPr>
        <w:t>”) finding that, in the good faith opinion of the Applicable Board, circumstances constituting Cause exist.</w:t>
      </w:r>
    </w:p>
    <w:p>
      <w:pPr>
        <w:spacing w:after="0" w:line="185" w:lineRule="exact"/>
        <w:rPr>
          <w:sz w:val="20"/>
          <w:szCs w:val="20"/>
          <w:color w:val="auto"/>
        </w:rPr>
      </w:pPr>
    </w:p>
    <w:p>
      <w:pPr>
        <w:ind w:firstLine="571"/>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261" w:right="239" w:bottom="1440" w:gutter="0" w:footer="0" w:header="0"/>
        </w:sectPr>
      </w:pPr>
    </w:p>
    <w:bookmarkStart w:id="185" w:name="page186"/>
    <w:bookmarkEnd w:id="185"/>
    <w:p>
      <w:pPr>
        <w:ind w:right="6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firstLine="571"/>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w:t>
      </w:r>
    </w:p>
    <w:p>
      <w:pPr>
        <w:spacing w:after="0" w:line="2" w:lineRule="exact"/>
        <w:rPr>
          <w:sz w:val="20"/>
          <w:szCs w:val="20"/>
          <w:color w:val="auto"/>
        </w:rPr>
      </w:pPr>
    </w:p>
    <w:p>
      <w:pPr>
        <w:ind w:right="180" w:firstLine="8"/>
        <w:spacing w:after="0" w:line="232" w:lineRule="auto"/>
        <w:tabs>
          <w:tab w:leader="none" w:pos="41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77" w:lineRule="exact"/>
        <w:rPr>
          <w:rFonts w:ascii="Times New Roman" w:cs="Times New Roman" w:eastAsia="Times New Roman" w:hAnsi="Times New Roman"/>
          <w:sz w:val="22"/>
          <w:szCs w:val="22"/>
          <w:color w:val="auto"/>
        </w:rPr>
      </w:pPr>
    </w:p>
    <w:p>
      <w:pPr>
        <w:ind w:right="140" w:firstLine="579"/>
        <w:spacing w:after="0" w:line="249" w:lineRule="auto"/>
        <w:tabs>
          <w:tab w:leader="none" w:pos="1219"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Limitations on Payments</w:t>
      </w:r>
      <w:r>
        <w:rPr>
          <w:rFonts w:ascii="Times New Roman" w:cs="Times New Roman" w:eastAsia="Times New Roman" w:hAnsi="Times New Roman"/>
          <w:sz w:val="21"/>
          <w:szCs w:val="21"/>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Times New Roman" w:cs="Times New Roman" w:eastAsia="Times New Roman" w:hAnsi="Times New Roman"/>
          <w:sz w:val="21"/>
          <w:szCs w:val="21"/>
          <w:u w:val="single" w:color="auto"/>
          <w:color w:val="auto"/>
        </w:rPr>
        <w:t>Accountant</w:t>
      </w:r>
      <w:r>
        <w:rPr>
          <w:rFonts w:ascii="Times New Roman" w:cs="Times New Roman" w:eastAsia="Times New Roman" w:hAnsi="Times New Roman"/>
          <w:sz w:val="21"/>
          <w:szCs w:val="21"/>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261" w:right="239" w:bottom="1440" w:gutter="0" w:footer="0" w:header="0"/>
        </w:sectPr>
      </w:pPr>
    </w:p>
    <w:bookmarkStart w:id="186" w:name="page187"/>
    <w:bookmarkEnd w:id="186"/>
    <w:p>
      <w:pPr>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Times New Roman" w:cs="Times New Roman" w:eastAsia="Times New Roman" w:hAnsi="Times New Roman"/>
          <w:sz w:val="21"/>
          <w:szCs w:val="21"/>
          <w:u w:val="single" w:color="auto"/>
          <w:color w:val="auto"/>
        </w:rPr>
        <w:t>Parachute Payments</w:t>
      </w:r>
      <w:r>
        <w:rPr>
          <w:rFonts w:ascii="Times New Roman" w:cs="Times New Roman" w:eastAsia="Times New Roman" w:hAnsi="Times New Roman"/>
          <w:sz w:val="21"/>
          <w:szCs w:val="21"/>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Times New Roman" w:cs="Times New Roman" w:eastAsia="Times New Roman" w:hAnsi="Times New Roman"/>
          <w:sz w:val="21"/>
          <w:szCs w:val="21"/>
          <w:u w:val="single" w:color="auto"/>
          <w:color w:val="auto"/>
        </w:rPr>
        <w:t>Agreement Payments</w:t>
      </w:r>
      <w:r>
        <w:rPr>
          <w:rFonts w:ascii="Times New Roman" w:cs="Times New Roman" w:eastAsia="Times New Roman" w:hAnsi="Times New Roman"/>
          <w:sz w:val="21"/>
          <w:szCs w:val="21"/>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77" w:lineRule="exact"/>
        <w:rPr>
          <w:sz w:val="20"/>
          <w:szCs w:val="20"/>
          <w:color w:val="auto"/>
        </w:rPr>
      </w:pPr>
    </w:p>
    <w:p>
      <w:pPr>
        <w:ind w:right="120" w:firstLine="571"/>
        <w:spacing w:after="0" w:line="245" w:lineRule="auto"/>
        <w:rPr>
          <w:sz w:val="20"/>
          <w:szCs w:val="20"/>
          <w:color w:val="auto"/>
        </w:rPr>
      </w:pPr>
      <w:r>
        <w:rPr>
          <w:rFonts w:ascii="Times New Roman" w:cs="Times New Roman" w:eastAsia="Times New Roman" w:hAnsi="Times New Roman"/>
          <w:sz w:val="21"/>
          <w:szCs w:val="21"/>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78" w:lineRule="exact"/>
        <w:rPr>
          <w:sz w:val="20"/>
          <w:szCs w:val="20"/>
          <w:color w:val="auto"/>
        </w:rPr>
      </w:pPr>
    </w:p>
    <w:p>
      <w:pPr>
        <w:ind w:right="160" w:firstLine="579"/>
        <w:spacing w:after="0" w:line="251" w:lineRule="auto"/>
        <w:tabs>
          <w:tab w:leader="none" w:pos="1255"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00"/>
          </w:cols>
          <w:pgMar w:left="240" w:top="261" w:right="259" w:bottom="1440" w:gutter="0" w:footer="0" w:header="0"/>
        </w:sectPr>
      </w:pPr>
    </w:p>
    <w:bookmarkStart w:id="187" w:name="page188"/>
    <w:bookmarkEnd w:id="187"/>
    <w:p>
      <w:pPr>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75" w:lineRule="exact"/>
        <w:rPr>
          <w:sz w:val="20"/>
          <w:szCs w:val="20"/>
          <w:color w:val="auto"/>
        </w:rPr>
      </w:pPr>
    </w:p>
    <w:p>
      <w:pPr>
        <w:ind w:right="60" w:firstLine="579"/>
        <w:spacing w:after="0" w:line="238" w:lineRule="auto"/>
        <w:tabs>
          <w:tab w:leader="none" w:pos="1165"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80"/>
          </w:cols>
          <w:pgMar w:left="240" w:top="261" w:right="279" w:bottom="1440" w:gutter="0" w:footer="0" w:header="0"/>
        </w:sectPr>
      </w:pPr>
    </w:p>
    <w:bookmarkStart w:id="188" w:name="page189"/>
    <w:bookmarkEnd w:id="188"/>
    <w:p>
      <w:pPr>
        <w:ind w:right="60"/>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90" w:lineRule="exact"/>
        <w:rPr>
          <w:sz w:val="20"/>
          <w:szCs w:val="20"/>
          <w:color w:val="auto"/>
        </w:rPr>
      </w:pPr>
    </w:p>
    <w:p>
      <w:pPr>
        <w:ind w:firstLine="579"/>
        <w:spacing w:after="0" w:line="244" w:lineRule="auto"/>
        <w:tabs>
          <w:tab w:leader="none" w:pos="1165"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2" w:lineRule="exact"/>
        <w:rPr>
          <w:rFonts w:ascii="Times New Roman" w:cs="Times New Roman" w:eastAsia="Times New Roman" w:hAnsi="Times New Roman"/>
          <w:sz w:val="21"/>
          <w:szCs w:val="21"/>
          <w:color w:val="auto"/>
        </w:rPr>
      </w:pPr>
    </w:p>
    <w:p>
      <w:pPr>
        <w:ind w:left="320" w:hanging="312"/>
        <w:spacing w:after="0" w:line="230" w:lineRule="auto"/>
        <w:tabs>
          <w:tab w:leader="none" w:pos="3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three months after the Date of Termination by the Firm without Cause or by the Executive for Good Reason (such period, the</w:t>
      </w:r>
    </w:p>
    <w:p>
      <w:pPr>
        <w:spacing w:after="0" w:line="1"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 Restriction Period</w:t>
      </w:r>
      <w:r>
        <w:rPr>
          <w:rFonts w:ascii="Times New Roman" w:cs="Times New Roman" w:eastAsia="Times New Roman" w:hAnsi="Times New Roman"/>
          <w:sz w:val="22"/>
          <w:szCs w:val="22"/>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Times New Roman" w:cs="Times New Roman" w:eastAsia="Times New Roman" w:hAnsi="Times New Roman"/>
          <w:sz w:val="22"/>
          <w:szCs w:val="22"/>
          <w:u w:val="single" w:color="auto"/>
          <w:color w:val="auto"/>
        </w:rPr>
        <w:t>Competing Activity</w:t>
      </w:r>
      <w:r>
        <w:rPr>
          <w:rFonts w:ascii="Times New Roman" w:cs="Times New Roman" w:eastAsia="Times New Roman" w:hAnsi="Times New Roman"/>
          <w:sz w:val="22"/>
          <w:szCs w:val="22"/>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261" w:right="239" w:bottom="1440" w:gutter="0" w:footer="0" w:header="0"/>
        </w:sectPr>
      </w:pPr>
    </w:p>
    <w:bookmarkStart w:id="189" w:name="page190"/>
    <w:bookmarkEnd w:id="189"/>
    <w:p>
      <w:pPr>
        <w:ind w:right="2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acted for the Firm while employed by the Firm, and (B) “</w:t>
      </w:r>
      <w:r>
        <w:rPr>
          <w:rFonts w:ascii="Times New Roman" w:cs="Times New Roman" w:eastAsia="Times New Roman" w:hAnsi="Times New Roman"/>
          <w:sz w:val="22"/>
          <w:szCs w:val="22"/>
          <w:u w:val="single" w:color="auto"/>
          <w:color w:val="auto"/>
        </w:rPr>
        <w:t>Competitive Enterprise</w:t>
      </w:r>
      <w:r>
        <w:rPr>
          <w:rFonts w:ascii="Times New Roman" w:cs="Times New Roman" w:eastAsia="Times New Roman" w:hAnsi="Times New Roman"/>
          <w:sz w:val="22"/>
          <w:szCs w:val="22"/>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79" w:lineRule="exact"/>
        <w:rPr>
          <w:sz w:val="20"/>
          <w:szCs w:val="20"/>
          <w:color w:val="auto"/>
        </w:rPr>
      </w:pPr>
    </w:p>
    <w:p>
      <w:pPr>
        <w:ind w:right="80" w:firstLine="579"/>
        <w:spacing w:after="0" w:line="239" w:lineRule="auto"/>
        <w:tabs>
          <w:tab w:leader="none" w:pos="125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1" w:lineRule="exact"/>
        <w:rPr>
          <w:sz w:val="20"/>
          <w:szCs w:val="20"/>
          <w:color w:val="auto"/>
        </w:rPr>
      </w:pPr>
    </w:p>
    <w:p>
      <w:pPr>
        <w:ind w:right="60" w:firstLine="579"/>
        <w:spacing w:after="0" w:line="245" w:lineRule="auto"/>
        <w:tabs>
          <w:tab w:leader="none" w:pos="1165"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Clients</w:t>
      </w:r>
      <w:r>
        <w:rPr>
          <w:rFonts w:ascii="Times New Roman" w:cs="Times New Roman" w:eastAsia="Times New Roman" w:hAnsi="Times New Roman"/>
          <w:sz w:val="21"/>
          <w:szCs w:val="21"/>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Times New Roman" w:cs="Times New Roman" w:eastAsia="Times New Roman" w:hAnsi="Times New Roman"/>
          <w:sz w:val="21"/>
          <w:szCs w:val="21"/>
          <w:u w:val="single" w:color="auto"/>
          <w:color w:val="auto"/>
        </w:rPr>
        <w:t>Solicit</w:t>
      </w:r>
      <w:r>
        <w:rPr>
          <w:rFonts w:ascii="Times New Roman" w:cs="Times New Roman" w:eastAsia="Times New Roman" w:hAnsi="Times New Roman"/>
          <w:sz w:val="21"/>
          <w:szCs w:val="21"/>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xml:space="preserve">” means any client or prospective client of the Firm, whether or not the Firm has been engaged by such Client pursuant to a written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78" w:lineRule="exact"/>
        <w:rPr>
          <w:rFonts w:ascii="Times New Roman" w:cs="Times New Roman" w:eastAsia="Times New Roman" w:hAnsi="Times New Roman"/>
          <w:sz w:val="21"/>
          <w:szCs w:val="21"/>
          <w:color w:val="auto"/>
        </w:rPr>
      </w:pPr>
    </w:p>
    <w:p>
      <w:pPr>
        <w:ind w:firstLine="579"/>
        <w:spacing w:after="0" w:line="235" w:lineRule="auto"/>
        <w:tabs>
          <w:tab w:leader="none" w:pos="116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Hire of Employees</w:t>
      </w:r>
      <w:r>
        <w:rPr>
          <w:rFonts w:ascii="Times New Roman" w:cs="Times New Roman" w:eastAsia="Times New Roman" w:hAnsi="Times New Roman"/>
          <w:sz w:val="22"/>
          <w:szCs w:val="22"/>
          <w:color w:val="auto"/>
        </w:rPr>
        <w:t>. The Executive hereby agrees that while employed by the Firm (including during any applicable notice period) and thereafter until nine months after the Executive’s Date of Termination (such period, the “</w:t>
      </w:r>
      <w:r>
        <w:rPr>
          <w:rFonts w:ascii="Times New Roman" w:cs="Times New Roman" w:eastAsia="Times New Roman" w:hAnsi="Times New Roman"/>
          <w:sz w:val="22"/>
          <w:szCs w:val="22"/>
          <w:u w:val="single" w:color="auto"/>
          <w:color w:val="auto"/>
        </w:rPr>
        <w:t>No Hire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3" w:lineRule="exact"/>
        <w:rPr>
          <w:rFonts w:ascii="Times New Roman" w:cs="Times New Roman" w:eastAsia="Times New Roman" w:hAnsi="Times New Roman"/>
          <w:sz w:val="22"/>
          <w:szCs w:val="22"/>
          <w:color w:val="auto"/>
        </w:rPr>
      </w:pPr>
    </w:p>
    <w:p>
      <w:pPr>
        <w:ind w:right="120" w:firstLine="579"/>
        <w:spacing w:after="0" w:line="258" w:lineRule="auto"/>
        <w:tabs>
          <w:tab w:leader="none" w:pos="116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 Transfer of Client Relationships</w:t>
      </w:r>
      <w:r>
        <w:rPr>
          <w:rFonts w:ascii="Times New Roman" w:cs="Times New Roman" w:eastAsia="Times New Roman" w:hAnsi="Times New Roman"/>
          <w:sz w:val="22"/>
          <w:szCs w:val="22"/>
          <w:color w:val="auto"/>
        </w:rPr>
        <w:t>. The Executive shall not at any time (whether during or after the Executive’s employment with the Firm), and shall instruct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261" w:right="239" w:bottom="1440" w:gutter="0" w:footer="0" w:header="0"/>
        </w:sectPr>
      </w:pPr>
    </w:p>
    <w:bookmarkStart w:id="190" w:name="page191"/>
    <w:bookmarkEnd w:id="190"/>
    <w:p>
      <w:pPr>
        <w:ind w:right="80"/>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88" w:lineRule="exact"/>
        <w:rPr>
          <w:sz w:val="20"/>
          <w:szCs w:val="20"/>
          <w:color w:val="auto"/>
        </w:rPr>
      </w:pPr>
    </w:p>
    <w:p>
      <w:pPr>
        <w:ind w:right="120" w:firstLine="579"/>
        <w:spacing w:after="0" w:line="238" w:lineRule="auto"/>
        <w:tabs>
          <w:tab w:leader="none" w:pos="1165"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Required</w:t>
      </w:r>
      <w:r>
        <w:rPr>
          <w:rFonts w:ascii="Times New Roman" w:cs="Times New Roman" w:eastAsia="Times New Roman" w:hAnsi="Times New Roman"/>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77" w:lineRule="exact"/>
        <w:rPr>
          <w:rFonts w:ascii="Times New Roman" w:cs="Times New Roman" w:eastAsia="Times New Roman" w:hAnsi="Times New Roman"/>
          <w:sz w:val="22"/>
          <w:szCs w:val="22"/>
          <w:color w:val="auto"/>
        </w:rPr>
      </w:pPr>
    </w:p>
    <w:p>
      <w:pPr>
        <w:ind w:firstLine="579"/>
        <w:spacing w:after="0" w:line="235" w:lineRule="auto"/>
        <w:tabs>
          <w:tab w:leader="none" w:pos="127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Generally</w:t>
      </w:r>
      <w:r>
        <w:rPr>
          <w:rFonts w:ascii="Times New Roman" w:cs="Times New Roman" w:eastAsia="Times New Roman" w:hAnsi="Times New Roman"/>
          <w:sz w:val="22"/>
          <w:szCs w:val="22"/>
          <w:color w:val="auto"/>
        </w:rPr>
        <w:t>. (a) The Executive’s covenants as set forth in Sections 4 through 9 of this Agreement are from time to time referred to herein as the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261" w:right="239" w:bottom="1440" w:gutter="0" w:footer="0" w:header="0"/>
        </w:sectPr>
      </w:pPr>
    </w:p>
    <w:bookmarkStart w:id="191" w:name="page192"/>
    <w:bookmarkEnd w:id="191"/>
    <w:p>
      <w:pPr>
        <w:ind w:left="-20" w:firstLine="579"/>
        <w:spacing w:after="0" w:line="233" w:lineRule="auto"/>
        <w:tabs>
          <w:tab w:leader="none" w:pos="123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83" w:lineRule="exact"/>
        <w:rPr>
          <w:rFonts w:ascii="Times New Roman" w:cs="Times New Roman" w:eastAsia="Times New Roman" w:hAnsi="Times New Roman"/>
          <w:sz w:val="22"/>
          <w:szCs w:val="22"/>
          <w:color w:val="auto"/>
        </w:rPr>
      </w:pPr>
    </w:p>
    <w:p>
      <w:pPr>
        <w:ind w:left="-20" w:right="120" w:firstLine="579"/>
        <w:spacing w:after="0" w:line="233" w:lineRule="auto"/>
        <w:tabs>
          <w:tab w:leader="none" w:pos="1219"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86" w:lineRule="exact"/>
        <w:rPr>
          <w:sz w:val="20"/>
          <w:szCs w:val="20"/>
          <w:color w:val="auto"/>
        </w:rPr>
      </w:pPr>
    </w:p>
    <w:p>
      <w:pPr>
        <w:ind w:left="-20" w:right="100" w:firstLine="579"/>
        <w:spacing w:after="0" w:line="234" w:lineRule="auto"/>
        <w:tabs>
          <w:tab w:leader="none" w:pos="1245"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00"/>
          </w:cols>
          <w:pgMar w:left="260" w:top="261" w:right="239" w:bottom="1440" w:gutter="0" w:footer="0" w:header="0"/>
        </w:sectPr>
      </w:pPr>
    </w:p>
    <w:bookmarkStart w:id="192" w:name="page193"/>
    <w:bookmarkEnd w:id="192"/>
    <w:p>
      <w:pPr>
        <w:ind w:right="28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8" w:lineRule="exact"/>
        <w:rPr>
          <w:sz w:val="20"/>
          <w:szCs w:val="20"/>
          <w:color w:val="auto"/>
        </w:rPr>
      </w:pPr>
    </w:p>
    <w:p>
      <w:pPr>
        <w:ind w:right="20" w:firstLine="579"/>
        <w:spacing w:after="0" w:line="232" w:lineRule="auto"/>
        <w:tabs>
          <w:tab w:leader="none" w:pos="127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Times New Roman" w:cs="Times New Roman" w:eastAsia="Times New Roman" w:hAnsi="Times New Roman"/>
          <w:sz w:val="22"/>
          <w:szCs w:val="22"/>
          <w:u w:val="single" w:color="auto"/>
          <w:color w:val="auto"/>
        </w:rPr>
        <w:t>Employment Related Matters</w:t>
      </w:r>
      <w:r>
        <w:rPr>
          <w:rFonts w:ascii="Times New Roman" w:cs="Times New Roman" w:eastAsia="Times New Roman" w:hAnsi="Times New Roman"/>
          <w:sz w:val="22"/>
          <w:szCs w:val="22"/>
          <w:color w:val="auto"/>
        </w:rPr>
        <w:t>”), shall be finally settled by arbitration in New York City before, and in accordance with the rules then obtaining of, the Financial Industry Regulatory Authority (“</w:t>
      </w: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or, if FINRA declines to arbitrate the matter,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promptly repay to Lazard Group all such amounts if the Executive fails to prevail on at least one material issue in dispute in any such contest.</w:t>
      </w:r>
    </w:p>
    <w:p>
      <w:pPr>
        <w:spacing w:after="0" w:line="192" w:lineRule="exact"/>
        <w:rPr>
          <w:rFonts w:ascii="Times New Roman" w:cs="Times New Roman" w:eastAsia="Times New Roman" w:hAnsi="Times New Roman"/>
          <w:sz w:val="22"/>
          <w:szCs w:val="22"/>
          <w:color w:val="auto"/>
        </w:rPr>
      </w:pPr>
    </w:p>
    <w:p>
      <w:pPr>
        <w:ind w:firstLine="579"/>
        <w:spacing w:after="0" w:line="234" w:lineRule="auto"/>
        <w:tabs>
          <w:tab w:leader="none" w:pos="127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Submission to Jurisdiction</w:t>
      </w:r>
      <w:r>
        <w:rPr>
          <w:rFonts w:ascii="Times New Roman" w:cs="Times New Roman" w:eastAsia="Times New Roman" w:hAnsi="Times New Roman"/>
          <w:sz w:val="22"/>
          <w:szCs w:val="22"/>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84" w:lineRule="exact"/>
        <w:rPr>
          <w:rFonts w:ascii="Times New Roman" w:cs="Times New Roman" w:eastAsia="Times New Roman" w:hAnsi="Times New Roman"/>
          <w:sz w:val="22"/>
          <w:szCs w:val="22"/>
          <w:color w:val="auto"/>
        </w:rPr>
      </w:pPr>
    </w:p>
    <w:p>
      <w:pPr>
        <w:ind w:firstLine="579"/>
        <w:spacing w:after="0" w:line="236" w:lineRule="auto"/>
        <w:tabs>
          <w:tab w:leader="none" w:pos="127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Forum</w:t>
      </w:r>
      <w:r>
        <w:rPr>
          <w:rFonts w:ascii="Times New Roman" w:cs="Times New Roman" w:eastAsia="Times New Roman" w:hAnsi="Times New Roman"/>
          <w:sz w:val="22"/>
          <w:szCs w:val="22"/>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60"/>
          </w:cols>
          <w:pgMar w:left="240" w:top="261" w:right="299" w:bottom="1440" w:gutter="0" w:footer="0" w:header="0"/>
        </w:sectPr>
      </w:pPr>
    </w:p>
    <w:bookmarkStart w:id="193" w:name="page194"/>
    <w:bookmarkEnd w:id="193"/>
    <w:p>
      <w:pPr>
        <w:ind w:right="10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1" w:lineRule="exact"/>
        <w:rPr>
          <w:sz w:val="20"/>
          <w:szCs w:val="20"/>
          <w:color w:val="auto"/>
        </w:rPr>
      </w:pPr>
    </w:p>
    <w:p>
      <w:pPr>
        <w:ind w:firstLine="579"/>
        <w:spacing w:after="0" w:line="247" w:lineRule="auto"/>
        <w:tabs>
          <w:tab w:leader="none" w:pos="1251"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73" w:lineRule="exact"/>
        <w:rPr>
          <w:sz w:val="20"/>
          <w:szCs w:val="20"/>
          <w:color w:val="auto"/>
        </w:rPr>
      </w:pPr>
    </w:p>
    <w:p>
      <w:pPr>
        <w:ind w:right="460" w:firstLine="579"/>
        <w:spacing w:after="0" w:line="239" w:lineRule="auto"/>
        <w:tabs>
          <w:tab w:leader="none" w:pos="127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0" w:lineRule="exact"/>
        <w:rPr>
          <w:rFonts w:ascii="Times New Roman" w:cs="Times New Roman" w:eastAsia="Times New Roman" w:hAnsi="Times New Roman"/>
          <w:sz w:val="22"/>
          <w:szCs w:val="22"/>
          <w:color w:val="auto"/>
        </w:rPr>
      </w:pPr>
    </w:p>
    <w:p>
      <w:pPr>
        <w:ind w:right="300" w:firstLine="579"/>
        <w:spacing w:after="0" w:line="258" w:lineRule="auto"/>
        <w:tabs>
          <w:tab w:leader="none" w:pos="127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shall supersede any other agreement, written or oral, pertaining to the matters covered herein.</w:t>
      </w:r>
    </w:p>
    <w:p>
      <w:pPr>
        <w:spacing w:after="0" w:line="158" w:lineRule="exact"/>
        <w:rPr>
          <w:sz w:val="20"/>
          <w:szCs w:val="20"/>
          <w:color w:val="auto"/>
        </w:rPr>
      </w:pPr>
    </w:p>
    <w:p>
      <w:pPr>
        <w:ind w:right="160" w:firstLine="579"/>
        <w:spacing w:after="0" w:line="244" w:lineRule="auto"/>
        <w:tabs>
          <w:tab w:leader="none" w:pos="1255"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73" w:lineRule="exact"/>
        <w:rPr>
          <w:rFonts w:ascii="Times New Roman" w:cs="Times New Roman" w:eastAsia="Times New Roman" w:hAnsi="Times New Roman"/>
          <w:sz w:val="22"/>
          <w:szCs w:val="22"/>
          <w:color w:val="auto"/>
        </w:rPr>
      </w:pPr>
    </w:p>
    <w:p>
      <w:pPr>
        <w:ind w:right="40" w:firstLine="579"/>
        <w:spacing w:after="0" w:line="239" w:lineRule="auto"/>
        <w:tabs>
          <w:tab w:leader="none" w:pos="1243"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0" w:lineRule="exact"/>
        <w:rPr>
          <w:rFonts w:ascii="Times New Roman" w:cs="Times New Roman" w:eastAsia="Times New Roman" w:hAnsi="Times New Roman"/>
          <w:sz w:val="22"/>
          <w:szCs w:val="22"/>
          <w:color w:val="auto"/>
        </w:rPr>
      </w:pPr>
    </w:p>
    <w:p>
      <w:pPr>
        <w:ind w:right="40" w:firstLine="579"/>
        <w:spacing w:after="0" w:line="235" w:lineRule="auto"/>
        <w:tabs>
          <w:tab w:leader="none" w:pos="125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80"/>
          </w:cols>
          <w:pgMar w:left="240" w:top="261" w:right="279" w:bottom="1440" w:gutter="0" w:footer="0" w:header="0"/>
        </w:sectPr>
      </w:pPr>
    </w:p>
    <w:bookmarkStart w:id="194" w:name="page195"/>
    <w:bookmarkEnd w:id="194"/>
    <w:p>
      <w:pPr>
        <w:ind w:right="100"/>
        <w:spacing w:after="0" w:line="25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69" w:lineRule="exact"/>
        <w:rPr>
          <w:sz w:val="20"/>
          <w:szCs w:val="20"/>
          <w:color w:val="auto"/>
        </w:rPr>
      </w:pPr>
    </w:p>
    <w:p>
      <w:pPr>
        <w:ind w:right="20" w:firstLine="579"/>
        <w:spacing w:after="0" w:line="244" w:lineRule="auto"/>
        <w:tabs>
          <w:tab w:leader="none" w:pos="1239"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73" w:lineRule="exact"/>
        <w:rPr>
          <w:rFonts w:ascii="Times New Roman" w:cs="Times New Roman" w:eastAsia="Times New Roman" w:hAnsi="Times New Roman"/>
          <w:sz w:val="22"/>
          <w:szCs w:val="22"/>
          <w:color w:val="auto"/>
        </w:rPr>
      </w:pPr>
    </w:p>
    <w:p>
      <w:pPr>
        <w:ind w:firstLine="579"/>
        <w:spacing w:after="0" w:line="236" w:lineRule="auto"/>
        <w:tabs>
          <w:tab w:leader="none" w:pos="1215"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2" w:lineRule="exact"/>
        <w:rPr>
          <w:rFonts w:ascii="Times New Roman" w:cs="Times New Roman" w:eastAsia="Times New Roman" w:hAnsi="Times New Roman"/>
          <w:sz w:val="22"/>
          <w:szCs w:val="22"/>
          <w:color w:val="auto"/>
        </w:rPr>
      </w:pPr>
    </w:p>
    <w:p>
      <w:pPr>
        <w:ind w:right="520" w:firstLine="579"/>
        <w:spacing w:after="0" w:line="258" w:lineRule="auto"/>
        <w:tabs>
          <w:tab w:leader="none" w:pos="1255"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this Agreement shall not confer on any person other than the Firm and the Executive any rights or remedies hereunder. There shall be no third-party beneficiaries to this Agreement.</w:t>
      </w:r>
    </w:p>
    <w:p>
      <w:pPr>
        <w:spacing w:after="0" w:line="158" w:lineRule="exact"/>
        <w:rPr>
          <w:rFonts w:ascii="Times New Roman" w:cs="Times New Roman" w:eastAsia="Times New Roman" w:hAnsi="Times New Roman"/>
          <w:sz w:val="22"/>
          <w:szCs w:val="22"/>
          <w:color w:val="auto"/>
        </w:rPr>
      </w:pPr>
    </w:p>
    <w:p>
      <w:pPr>
        <w:ind w:right="60" w:firstLine="579"/>
        <w:spacing w:after="0" w:line="239" w:lineRule="auto"/>
        <w:tabs>
          <w:tab w:leader="none" w:pos="125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80" w:lineRule="exact"/>
        <w:rPr>
          <w:rFonts w:ascii="Times New Roman" w:cs="Times New Roman" w:eastAsia="Times New Roman" w:hAnsi="Times New Roman"/>
          <w:sz w:val="22"/>
          <w:szCs w:val="22"/>
          <w:color w:val="auto"/>
        </w:rPr>
      </w:pPr>
    </w:p>
    <w:p>
      <w:pPr>
        <w:ind w:right="40" w:firstLine="579"/>
        <w:spacing w:after="0" w:line="236" w:lineRule="auto"/>
        <w:tabs>
          <w:tab w:leader="none" w:pos="12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82" w:lineRule="exact"/>
        <w:rPr>
          <w:rFonts w:ascii="Times New Roman" w:cs="Times New Roman" w:eastAsia="Times New Roman" w:hAnsi="Times New Roman"/>
          <w:sz w:val="22"/>
          <w:szCs w:val="22"/>
          <w:color w:val="auto"/>
        </w:rPr>
      </w:pPr>
    </w:p>
    <w:p>
      <w:pPr>
        <w:jc w:val="both"/>
        <w:ind w:right="260" w:firstLine="579"/>
        <w:spacing w:after="0" w:line="282" w:lineRule="auto"/>
        <w:tabs>
          <w:tab w:leader="none" w:pos="1203"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4" w:lineRule="exact"/>
        <w:rPr>
          <w:rFonts w:ascii="Times New Roman" w:cs="Times New Roman" w:eastAsia="Times New Roman" w:hAnsi="Times New Roman"/>
          <w:sz w:val="21"/>
          <w:szCs w:val="21"/>
          <w:color w:val="auto"/>
        </w:rPr>
      </w:pPr>
    </w:p>
    <w:p>
      <w:pPr>
        <w:ind w:right="1240" w:firstLine="579"/>
        <w:spacing w:after="0" w:line="258" w:lineRule="auto"/>
        <w:tabs>
          <w:tab w:leader="none" w:pos="125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together with any applicable Award Agreements, constitutes the entire agreement and understanding of the parties with respect to the transactions contemplated</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00"/>
          </w:cols>
          <w:pgMar w:left="240" w:top="261" w:right="259" w:bottom="1440" w:gutter="0" w:footer="0" w:header="0"/>
        </w:sectPr>
      </w:pPr>
    </w:p>
    <w:bookmarkStart w:id="195" w:name="page196"/>
    <w:bookmarkEnd w:id="195"/>
    <w:p>
      <w:pPr>
        <w:ind w:right="1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77" w:lineRule="exact"/>
        <w:rPr>
          <w:sz w:val="20"/>
          <w:szCs w:val="20"/>
          <w:color w:val="auto"/>
        </w:rPr>
      </w:pPr>
    </w:p>
    <w:p>
      <w:pPr>
        <w:ind w:firstLine="579"/>
        <w:spacing w:after="0" w:line="234" w:lineRule="auto"/>
        <w:tabs>
          <w:tab w:leader="none" w:pos="1207"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4" w:lineRule="exact"/>
        <w:rPr>
          <w:sz w:val="20"/>
          <w:szCs w:val="20"/>
          <w:color w:val="auto"/>
        </w:rPr>
      </w:pPr>
    </w:p>
    <w:p>
      <w:pPr>
        <w:ind w:right="200" w:firstLine="579"/>
        <w:spacing w:after="0" w:line="239" w:lineRule="auto"/>
        <w:tabs>
          <w:tab w:leader="none" w:pos="1273"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261" w:right="239" w:bottom="1440" w:gutter="0" w:footer="0" w:header="0"/>
        </w:sectPr>
      </w:pPr>
    </w:p>
    <w:bookmarkStart w:id="196" w:name="page197"/>
    <w:bookmarkEnd w:id="196"/>
    <w:p>
      <w:pPr>
        <w:ind w:right="220"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bl>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LAZARD GROUP LLC (on its behalf, and on</w:t>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behalf of its subsidiaries and affiliates),</w:t>
      </w:r>
    </w:p>
    <w:p>
      <w:pPr>
        <w:spacing w:after="0" w:line="182"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 Scott D. Hoffman</w:t>
            </w:r>
          </w:p>
        </w:tc>
      </w:tr>
      <w:tr>
        <w:trPr>
          <w:trHeight w:val="223"/>
        </w:trPr>
        <w:tc>
          <w:tcPr>
            <w:tcW w:w="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Managing Director and</w:t>
            </w:r>
          </w:p>
        </w:tc>
      </w:tr>
      <w:tr>
        <w:trPr>
          <w:trHeight w:val="283"/>
        </w:trPr>
        <w:tc>
          <w:tcPr>
            <w:tcW w:w="740" w:type="dxa"/>
            <w:vAlign w:val="bottom"/>
          </w:tcPr>
          <w:p>
            <w:pPr>
              <w:spacing w:after="0"/>
              <w:rPr>
                <w:sz w:val="24"/>
                <w:szCs w:val="24"/>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90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Alexander F. Stern</w:t>
            </w:r>
          </w:p>
        </w:tc>
      </w:tr>
      <w:tr>
        <w:trPr>
          <w:trHeight w:val="27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22"/>
                <w:szCs w:val="22"/>
                <w:color w:val="auto"/>
              </w:rPr>
              <w:t>Alexander F. Stern</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261" w:right="239" w:bottom="1440" w:gutter="0" w:footer="0" w:header="0"/>
        </w:sectPr>
      </w:pPr>
    </w:p>
    <w:bookmarkStart w:id="197" w:name="page198"/>
    <w:bookmarkEnd w:id="197"/>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5"/>
              </w:rPr>
              <w:t>Exhibit A</w:t>
            </w:r>
          </w:p>
        </w:tc>
      </w:tr>
      <w:tr>
        <w:trPr>
          <w:trHeight w:val="492"/>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Times New Roman" w:cs="Times New Roman" w:eastAsia="Times New Roman" w:hAnsi="Times New Roman"/>
                <w:sz w:val="22"/>
                <w:szCs w:val="22"/>
                <w:b w:val="1"/>
                <w:bCs w:val="1"/>
                <w:color w:val="auto"/>
              </w:rPr>
              <w:t>WAIVER AND GENERAL RELEASE</w:t>
            </w:r>
          </w:p>
        </w:tc>
      </w:tr>
      <w:tr>
        <w:trPr>
          <w:trHeight w:val="407"/>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9"/>
              </w:rPr>
              <w:t>, by and between Alexander F. Stern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ind w:right="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Lazard Group LLC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Times New Roman" w:cs="Times New Roman" w:eastAsia="Times New Roman" w:hAnsi="Times New Roman"/>
          <w:sz w:val="22"/>
          <w:szCs w:val="22"/>
          <w:u w:val="single" w:color="auto"/>
          <w:color w:val="auto"/>
        </w:rPr>
        <w:t>Company Entities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80" w:hanging="601"/>
        <w:spacing w:after="0"/>
        <w:tabs>
          <w:tab w:leader="none" w:pos="11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Concluding Employment</w:t>
      </w:r>
      <w:r>
        <w:rPr>
          <w:rFonts w:ascii="Times New Roman" w:cs="Times New Roman" w:eastAsia="Times New Roman" w:hAnsi="Times New Roman"/>
          <w:sz w:val="22"/>
          <w:szCs w:val="22"/>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-13970</wp:posOffset>
            </wp:positionV>
            <wp:extent cx="4114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3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Separation Date</w:t>
      </w:r>
      <w:r>
        <w:rPr>
          <w:rFonts w:ascii="Times New Roman" w:cs="Times New Roman" w:eastAsia="Times New Roman" w:hAnsi="Times New Roman"/>
          <w:sz w:val="22"/>
          <w:szCs w:val="22"/>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82" w:lineRule="exact"/>
        <w:rPr>
          <w:sz w:val="20"/>
          <w:szCs w:val="20"/>
          <w:color w:val="auto"/>
        </w:rPr>
      </w:pPr>
    </w:p>
    <w:p>
      <w:pPr>
        <w:ind w:right="160" w:firstLine="579"/>
        <w:spacing w:after="0" w:line="238" w:lineRule="auto"/>
        <w:tabs>
          <w:tab w:leader="none" w:pos="116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Times New Roman" w:cs="Times New Roman" w:eastAsia="Times New Roman" w:hAnsi="Times New Roman"/>
          <w:sz w:val="22"/>
          <w:szCs w:val="22"/>
          <w:u w:val="single" w:color="auto"/>
          <w:color w:val="auto"/>
        </w:rPr>
        <w:t>Retention Agreement</w:t>
      </w:r>
      <w:r>
        <w:rPr>
          <w:rFonts w:ascii="Times New Roman" w:cs="Times New Roman" w:eastAsia="Times New Roman" w:hAnsi="Times New Roman"/>
          <w:sz w:val="22"/>
          <w:szCs w:val="22"/>
          <w:color w:val="auto"/>
        </w:rPr>
        <w:t>”) that are conditioned on the Release Requirement (as defined in Section 3(d)(iii))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120" w:firstLine="579"/>
        <w:spacing w:after="0" w:line="238" w:lineRule="auto"/>
        <w:tabs>
          <w:tab w:leader="none" w:pos="116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77" w:lineRule="exact"/>
        <w:rPr>
          <w:rFonts w:ascii="Times New Roman" w:cs="Times New Roman" w:eastAsia="Times New Roman" w:hAnsi="Times New Roman"/>
          <w:sz w:val="22"/>
          <w:szCs w:val="22"/>
          <w:color w:val="auto"/>
        </w:rPr>
      </w:pPr>
    </w:p>
    <w:p>
      <w:pPr>
        <w:ind w:right="40" w:firstLine="579"/>
        <w:spacing w:after="0" w:line="238" w:lineRule="auto"/>
        <w:tabs>
          <w:tab w:leader="none" w:pos="116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238" w:right="239" w:bottom="1440" w:gutter="0" w:footer="0" w:header="0"/>
        </w:sectPr>
      </w:pPr>
    </w:p>
    <w:bookmarkStart w:id="198" w:name="page199"/>
    <w:bookmarkEnd w:id="198"/>
    <w:p>
      <w:pPr>
        <w:ind w:right="94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58" w:lineRule="exact"/>
        <w:rPr>
          <w:sz w:val="20"/>
          <w:szCs w:val="20"/>
          <w:color w:val="auto"/>
        </w:rPr>
      </w:pPr>
    </w:p>
    <w:p>
      <w:pPr>
        <w:jc w:val="both"/>
        <w:ind w:firstLine="1444"/>
        <w:spacing w:after="0" w:line="233" w:lineRule="auto"/>
        <w:tabs>
          <w:tab w:leader="none" w:pos="2185"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86" w:lineRule="exact"/>
        <w:rPr>
          <w:rFonts w:ascii="Times New Roman" w:cs="Times New Roman" w:eastAsia="Times New Roman" w:hAnsi="Times New Roman"/>
          <w:sz w:val="22"/>
          <w:szCs w:val="22"/>
          <w:color w:val="auto"/>
        </w:rPr>
      </w:pPr>
    </w:p>
    <w:p>
      <w:pPr>
        <w:jc w:val="both"/>
        <w:ind w:firstLine="1371"/>
        <w:spacing w:after="0" w:line="233" w:lineRule="auto"/>
        <w:tabs>
          <w:tab w:leader="none" w:pos="1956"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86" w:lineRule="exact"/>
        <w:rPr>
          <w:rFonts w:ascii="Times New Roman" w:cs="Times New Roman" w:eastAsia="Times New Roman" w:hAnsi="Times New Roman"/>
          <w:sz w:val="22"/>
          <w:szCs w:val="22"/>
          <w:color w:val="auto"/>
        </w:rPr>
      </w:pPr>
    </w:p>
    <w:p>
      <w:pPr>
        <w:jc w:val="both"/>
        <w:ind w:firstLine="579"/>
        <w:spacing w:after="0" w:line="238" w:lineRule="auto"/>
        <w:tabs>
          <w:tab w:leader="none" w:pos="119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Relief</w:t>
      </w:r>
      <w:r>
        <w:rPr>
          <w:rFonts w:ascii="Times New Roman" w:cs="Times New Roman" w:eastAsia="Times New Roman" w:hAnsi="Times New Roman"/>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261" w:right="239" w:bottom="1440" w:gutter="0" w:footer="0" w:header="0"/>
        </w:sectPr>
      </w:pPr>
    </w:p>
    <w:bookmarkStart w:id="199" w:name="page200"/>
    <w:bookmarkEnd w:id="199"/>
    <w:p>
      <w:pPr>
        <w:jc w:val="both"/>
        <w:ind w:firstLine="579"/>
        <w:spacing w:after="0" w:line="238" w:lineRule="auto"/>
        <w:tabs>
          <w:tab w:leader="none" w:pos="130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Cooperation</w:t>
      </w:r>
      <w:r>
        <w:rPr>
          <w:rFonts w:ascii="Times New Roman" w:cs="Times New Roman" w:eastAsia="Times New Roman" w:hAnsi="Times New Roman"/>
          <w:sz w:val="22"/>
          <w:szCs w:val="22"/>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7" w:lineRule="exact"/>
        <w:rPr>
          <w:rFonts w:ascii="Times New Roman" w:cs="Times New Roman" w:eastAsia="Times New Roman" w:hAnsi="Times New Roman"/>
          <w:sz w:val="22"/>
          <w:szCs w:val="22"/>
          <w:color w:val="auto"/>
        </w:rPr>
      </w:pPr>
    </w:p>
    <w:p>
      <w:pPr>
        <w:ind w:right="200" w:firstLine="1119"/>
        <w:spacing w:after="0" w:line="249" w:lineRule="auto"/>
        <w:tabs>
          <w:tab w:leader="none" w:pos="1697"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Times New Roman" w:cs="Times New Roman" w:eastAsia="Times New Roman" w:hAnsi="Times New Roman"/>
          <w:sz w:val="22"/>
          <w:szCs w:val="22"/>
          <w:color w:val="auto"/>
        </w:rPr>
        <w:t>requirements, based on the written legal advice of your counsel, you will give prompt notice of such request to</w:t>
      </w:r>
      <w:r>
        <w:rPr>
          <w:sz w:val="20"/>
          <w:szCs w:val="20"/>
          <w:color w:val="auto"/>
        </w:rPr>
        <w:tab/>
      </w:r>
      <w:r>
        <w:rPr>
          <w:rFonts w:ascii="Times New Roman" w:cs="Times New Roman" w:eastAsia="Times New Roman" w:hAnsi="Times New Roman"/>
          <w:sz w:val="21"/>
          <w:szCs w:val="21"/>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right="60"/>
        <w:spacing w:after="0" w:line="235" w:lineRule="auto"/>
        <w:rPr>
          <w:sz w:val="20"/>
          <w:szCs w:val="20"/>
          <w:color w:val="auto"/>
        </w:rPr>
      </w:pPr>
      <w:r>
        <w:rPr>
          <w:rFonts w:ascii="Times New Roman" w:cs="Times New Roman" w:eastAsia="Times New Roman" w:hAnsi="Times New Roman"/>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78" w:lineRule="exact"/>
        <w:rPr>
          <w:sz w:val="20"/>
          <w:szCs w:val="20"/>
          <w:color w:val="auto"/>
        </w:rPr>
      </w:pPr>
    </w:p>
    <w:p>
      <w:pPr>
        <w:jc w:val="both"/>
        <w:ind w:firstLine="579"/>
        <w:spacing w:after="0" w:line="244" w:lineRule="auto"/>
        <w:tabs>
          <w:tab w:leader="none" w:pos="124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73" w:lineRule="exact"/>
        <w:rPr>
          <w:rFonts w:ascii="Times New Roman" w:cs="Times New Roman" w:eastAsia="Times New Roman" w:hAnsi="Times New Roman"/>
          <w:sz w:val="22"/>
          <w:szCs w:val="22"/>
          <w:color w:val="auto"/>
        </w:rPr>
      </w:pPr>
    </w:p>
    <w:p>
      <w:pPr>
        <w:jc w:val="both"/>
        <w:ind w:firstLine="579"/>
        <w:spacing w:after="0" w:line="233" w:lineRule="auto"/>
        <w:tabs>
          <w:tab w:leader="none" w:pos="1165"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83" w:lineRule="exact"/>
        <w:rPr>
          <w:rFonts w:ascii="Times New Roman" w:cs="Times New Roman" w:eastAsia="Times New Roman" w:hAnsi="Times New Roman"/>
          <w:sz w:val="22"/>
          <w:szCs w:val="22"/>
          <w:color w:val="auto"/>
        </w:rPr>
      </w:pPr>
    </w:p>
    <w:p>
      <w:pPr>
        <w:jc w:val="both"/>
        <w:ind w:firstLine="579"/>
        <w:spacing w:after="0" w:line="238" w:lineRule="auto"/>
        <w:tabs>
          <w:tab w:leader="none" w:pos="1313"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261" w:right="239" w:bottom="1440" w:gutter="0" w:footer="0" w:header="0"/>
        </w:sectPr>
      </w:pPr>
    </w:p>
    <w:bookmarkStart w:id="200" w:name="page201"/>
    <w:bookmarkEnd w:id="200"/>
    <w:p>
      <w:pPr>
        <w:ind w:right="20" w:firstLine="579"/>
        <w:spacing w:after="0" w:line="258" w:lineRule="auto"/>
        <w:tabs>
          <w:tab w:leader="none" w:pos="128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Agreement</w:t>
      </w:r>
      <w:r>
        <w:rPr>
          <w:rFonts w:ascii="Times New Roman" w:cs="Times New Roman" w:eastAsia="Times New Roman" w:hAnsi="Times New Roman"/>
          <w:sz w:val="22"/>
          <w:szCs w:val="22"/>
          <w:color w:val="auto"/>
        </w:rPr>
        <w:t>. You agree that any breach of this Agreement shall constitute a material breach as to which the Company Entities may seek recoupment of the Severance Benefits.</w:t>
      </w:r>
    </w:p>
    <w:p>
      <w:pPr>
        <w:spacing w:after="0" w:line="158" w:lineRule="exact"/>
        <w:rPr>
          <w:rFonts w:ascii="Times New Roman" w:cs="Times New Roman" w:eastAsia="Times New Roman" w:hAnsi="Times New Roman"/>
          <w:sz w:val="22"/>
          <w:szCs w:val="22"/>
          <w:color w:val="auto"/>
        </w:rPr>
      </w:pPr>
    </w:p>
    <w:p>
      <w:pPr>
        <w:jc w:val="both"/>
        <w:ind w:firstLine="579"/>
        <w:spacing w:after="0" w:line="244" w:lineRule="auto"/>
        <w:tabs>
          <w:tab w:leader="none" w:pos="14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73" w:lineRule="exact"/>
        <w:rPr>
          <w:rFonts w:ascii="Times New Roman" w:cs="Times New Roman" w:eastAsia="Times New Roman" w:hAnsi="Times New Roman"/>
          <w:sz w:val="22"/>
          <w:szCs w:val="22"/>
          <w:color w:val="auto"/>
        </w:rPr>
      </w:pPr>
    </w:p>
    <w:p>
      <w:pPr>
        <w:ind w:right="240" w:firstLine="1227"/>
        <w:spacing w:after="0" w:line="244" w:lineRule="auto"/>
        <w:tabs>
          <w:tab w:leader="none" w:pos="1813"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73" w:lineRule="exact"/>
        <w:rPr>
          <w:rFonts w:ascii="Times New Roman" w:cs="Times New Roman" w:eastAsia="Times New Roman" w:hAnsi="Times New Roman"/>
          <w:sz w:val="22"/>
          <w:szCs w:val="22"/>
          <w:color w:val="auto"/>
        </w:rPr>
      </w:pPr>
    </w:p>
    <w:p>
      <w:pPr>
        <w:ind w:firstLine="579"/>
        <w:spacing w:after="0" w:line="258" w:lineRule="auto"/>
        <w:tabs>
          <w:tab w:leader="none" w:pos="13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binding upon, and shall inure to the benefit of, the parties and their respective heirs, executors, administrators, successors and assigns.</w:t>
      </w:r>
    </w:p>
    <w:p>
      <w:pPr>
        <w:spacing w:after="0" w:line="158" w:lineRule="exact"/>
        <w:rPr>
          <w:rFonts w:ascii="Times New Roman" w:cs="Times New Roman" w:eastAsia="Times New Roman" w:hAnsi="Times New Roman"/>
          <w:sz w:val="22"/>
          <w:szCs w:val="22"/>
          <w:color w:val="auto"/>
        </w:rPr>
      </w:pPr>
    </w:p>
    <w:p>
      <w:pPr>
        <w:ind w:firstLine="579"/>
        <w:spacing w:after="0" w:line="258" w:lineRule="auto"/>
        <w:tabs>
          <w:tab w:leader="none" w:pos="132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a. This Agreement shall be construed and enforced in accordance with the laws of the State of New York without regard to the principles of conflicts of law.</w:t>
      </w:r>
    </w:p>
    <w:p>
      <w:pPr>
        <w:spacing w:after="0" w:line="158" w:lineRule="exact"/>
        <w:rPr>
          <w:rFonts w:ascii="Times New Roman" w:cs="Times New Roman" w:eastAsia="Times New Roman" w:hAnsi="Times New Roman"/>
          <w:sz w:val="22"/>
          <w:szCs w:val="22"/>
          <w:color w:val="auto"/>
        </w:rPr>
      </w:pPr>
    </w:p>
    <w:p>
      <w:pPr>
        <w:ind w:right="460" w:firstLine="1227"/>
        <w:spacing w:after="0" w:line="258" w:lineRule="auto"/>
        <w:tabs>
          <w:tab w:leader="none" w:pos="180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or the breach thereof shall be settled consistent with the provisions of Section 12 of the Retention Agreement.</w:t>
      </w:r>
    </w:p>
    <w:p>
      <w:pPr>
        <w:spacing w:after="0" w:line="158" w:lineRule="exact"/>
        <w:rPr>
          <w:rFonts w:ascii="Times New Roman" w:cs="Times New Roman" w:eastAsia="Times New Roman" w:hAnsi="Times New Roman"/>
          <w:sz w:val="22"/>
          <w:szCs w:val="22"/>
          <w:color w:val="auto"/>
        </w:rPr>
      </w:pPr>
    </w:p>
    <w:p>
      <w:pPr>
        <w:jc w:val="both"/>
        <w:ind w:firstLine="579"/>
        <w:spacing w:after="0" w:line="239" w:lineRule="auto"/>
        <w:tabs>
          <w:tab w:leader="none" w:pos="154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80" w:lineRule="exact"/>
        <w:rPr>
          <w:rFonts w:ascii="Times New Roman" w:cs="Times New Roman" w:eastAsia="Times New Roman" w:hAnsi="Times New Roman"/>
          <w:sz w:val="22"/>
          <w:szCs w:val="22"/>
          <w:color w:val="auto"/>
        </w:rPr>
      </w:pPr>
    </w:p>
    <w:p>
      <w:pPr>
        <w:jc w:val="both"/>
        <w:ind w:firstLine="579"/>
        <w:spacing w:after="0" w:line="235" w:lineRule="auto"/>
        <w:tabs>
          <w:tab w:leader="none" w:pos="139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Agreement</w:t>
      </w:r>
      <w:r>
        <w:rPr>
          <w:rFonts w:ascii="Times New Roman" w:cs="Times New Roman" w:eastAsia="Times New Roman" w:hAnsi="Times New Roman"/>
          <w:sz w:val="22"/>
          <w:szCs w:val="22"/>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79" w:lineRule="exact"/>
        <w:rPr>
          <w:rFonts w:ascii="Times New Roman" w:cs="Times New Roman" w:eastAsia="Times New Roman" w:hAnsi="Times New Roman"/>
          <w:sz w:val="22"/>
          <w:szCs w:val="22"/>
          <w:color w:val="auto"/>
        </w:rPr>
      </w:pPr>
    </w:p>
    <w:p>
      <w:pPr>
        <w:ind w:left="1400" w:hanging="821"/>
        <w:spacing w:after="0"/>
        <w:tabs>
          <w:tab w:leader="none" w:pos="140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You may accept this Agreement by signing it and returning it to Lazard Group LLC, 30 Rockefeller</w:t>
      </w:r>
    </w:p>
    <w:p>
      <w:pPr>
        <w:spacing w:after="0" w:line="4" w:lineRule="exact"/>
        <w:rPr>
          <w:sz w:val="20"/>
          <w:szCs w:val="20"/>
          <w:color w:val="auto"/>
        </w:rPr>
      </w:pPr>
    </w:p>
    <w:p>
      <w:pPr>
        <w:spacing w:after="0"/>
        <w:tabs>
          <w:tab w:leader="none" w:pos="4680" w:val="left"/>
          <w:tab w:leader="none" w:pos="6600" w:val="left"/>
        </w:tabs>
        <w:rPr>
          <w:sz w:val="20"/>
          <w:szCs w:val="20"/>
          <w:color w:val="auto"/>
        </w:rPr>
      </w:pPr>
      <w:r>
        <w:rPr>
          <w:rFonts w:ascii="Times New Roman" w:cs="Times New Roman" w:eastAsia="Times New Roman" w:hAnsi="Times New Roman"/>
          <w:sz w:val="22"/>
          <w:szCs w:val="22"/>
          <w:color w:val="auto"/>
        </w:rPr>
        <w:t>Plaza, New York, NY 10020, Attention:</w:t>
      </w:r>
      <w:r>
        <w:rPr>
          <w:sz w:val="20"/>
          <w:szCs w:val="20"/>
          <w:color w:val="auto"/>
        </w:rPr>
        <w:tab/>
      </w:r>
      <w:r>
        <w:rPr>
          <w:rFonts w:ascii="Times New Roman" w:cs="Times New Roman" w:eastAsia="Times New Roman" w:hAnsi="Times New Roman"/>
          <w:sz w:val="22"/>
          <w:szCs w:val="22"/>
          <w:color w:val="auto"/>
        </w:rPr>
        <w:t>, on or before</w:t>
      </w:r>
      <w:r>
        <w:rPr>
          <w:sz w:val="20"/>
          <w:szCs w:val="20"/>
          <w:color w:val="auto"/>
        </w:rPr>
        <w:tab/>
      </w:r>
      <w:r>
        <w:rPr>
          <w:rFonts w:ascii="Times New Roman" w:cs="Times New Roman" w:eastAsia="Times New Roman" w:hAnsi="Times New Roman"/>
          <w:sz w:val="21"/>
          <w:szCs w:val="21"/>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6" w:lineRule="auto"/>
        <w:tabs>
          <w:tab w:leader="none" w:pos="308"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to revoke it by indicating your desire to do so in writing delivered to 22</w:t>
      </w:r>
    </w:p>
    <w:p>
      <w:pPr>
        <w:sectPr>
          <w:pgSz w:w="11900" w:h="16838" w:orient="portrait"/>
          <w:cols w:equalWidth="0" w:num="1">
            <w:col w:w="11420"/>
          </w:cols>
          <w:pgMar w:left="240" w:top="261" w:right="239" w:bottom="1440" w:gutter="0" w:footer="0" w:header="0"/>
        </w:sectPr>
      </w:pPr>
    </w:p>
    <w:bookmarkStart w:id="201" w:name="page202"/>
    <w:bookmarkEnd w:id="201"/>
    <w:p>
      <w:pPr>
        <w:jc w:val="both"/>
        <w:ind w:firstLine="1277"/>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715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firstLine="579"/>
        <w:spacing w:after="0" w:line="258" w:lineRule="auto"/>
        <w:tabs>
          <w:tab w:leader="none" w:pos="139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 They shall not be considered part of this Agreement and shall not be employed in the construction of this Agreement.</w:t>
      </w:r>
    </w:p>
    <w:p>
      <w:pPr>
        <w:spacing w:after="0" w:line="158" w:lineRule="exact"/>
        <w:rPr>
          <w:rFonts w:ascii="Times New Roman" w:cs="Times New Roman" w:eastAsia="Times New Roman" w:hAnsi="Times New Roman"/>
          <w:sz w:val="22"/>
          <w:szCs w:val="22"/>
          <w:color w:val="auto"/>
        </w:rPr>
      </w:pPr>
    </w:p>
    <w:p>
      <w:pPr>
        <w:ind w:left="1480" w:hanging="901"/>
        <w:spacing w:after="0"/>
        <w:tabs>
          <w:tab w:leader="none" w:pos="148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Awards</w:t>
      </w:r>
      <w:r>
        <w:rPr>
          <w:rFonts w:ascii="Times New Roman" w:cs="Times New Roman" w:eastAsia="Times New Roman" w:hAnsi="Times New Roman"/>
          <w:sz w:val="22"/>
          <w:szCs w:val="22"/>
          <w:color w:val="auto"/>
        </w:rPr>
        <w:t>. You currently hold the awards listed on Annex I to this Agreement (the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Awards [(other than the</w:t>
      </w:r>
      <w:r>
        <w:rPr>
          <w:sz w:val="20"/>
          <w:szCs w:val="20"/>
          <w:color w:val="auto"/>
        </w:rPr>
        <w:tab/>
      </w:r>
      <w:r>
        <w:rPr>
          <w:rFonts w:ascii="Times New Roman" w:cs="Times New Roman" w:eastAsia="Times New Roman" w:hAnsi="Times New Roman"/>
          <w:sz w:val="21"/>
          <w:szCs w:val="21"/>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Signature:</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0" w:type="dxa"/>
            <w:vAlign w:val="bottom"/>
            <w:gridSpan w:val="3"/>
          </w:tcPr>
          <w:p>
            <w:pPr>
              <w:ind w:left="4020"/>
              <w:spacing w:after="0"/>
              <w:rPr>
                <w:sz w:val="20"/>
                <w:szCs w:val="20"/>
                <w:color w:val="auto"/>
              </w:rPr>
            </w:pPr>
            <w:r>
              <w:rPr>
                <w:rFonts w:ascii="Times New Roman" w:cs="Times New Roman" w:eastAsia="Times New Roman" w:hAnsi="Times New Roman"/>
                <w:sz w:val="22"/>
                <w:szCs w:val="22"/>
                <w:color w:val="auto"/>
              </w:rPr>
              <w:t>Date:</w:t>
            </w:r>
          </w:p>
        </w:tc>
      </w:tr>
      <w:tr>
        <w:trPr>
          <w:trHeight w:val="27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NAME</w:t>
            </w: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r>
      <w:tr>
        <w:trPr>
          <w:trHeight w:val="406"/>
        </w:trPr>
        <w:tc>
          <w:tcPr>
            <w:tcW w:w="23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STATE OF</w:t>
            </w:r>
          </w:p>
        </w:tc>
        <w:tc>
          <w:tcPr>
            <w:tcW w:w="6020" w:type="dxa"/>
            <w:vAlign w:val="bottom"/>
            <w:gridSpan w:val="6"/>
          </w:tcPr>
          <w:p>
            <w:pPr>
              <w:ind w:left="15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6"/>
        </w:trPr>
        <w:tc>
          <w:tcPr>
            <w:tcW w:w="10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0" w:type="dxa"/>
            <w:vAlign w:val="bottom"/>
            <w:gridSpan w:val="3"/>
          </w:tcPr>
          <w:p>
            <w:pPr>
              <w:ind w:left="140"/>
              <w:spacing w:after="0" w:line="237" w:lineRule="exact"/>
              <w:rPr>
                <w:sz w:val="20"/>
                <w:szCs w:val="20"/>
                <w:color w:val="auto"/>
              </w:rPr>
            </w:pPr>
            <w:r>
              <w:rPr>
                <w:rFonts w:ascii="Times New Roman" w:cs="Times New Roman" w:eastAsia="Times New Roman" w:hAnsi="Times New Roman"/>
                <w:sz w:val="22"/>
                <w:szCs w:val="22"/>
                <w:color w:val="auto"/>
              </w:rPr>
              <w:t>) ss.:</w:t>
            </w:r>
          </w:p>
        </w:tc>
      </w:tr>
      <w:tr>
        <w:trPr>
          <w:trHeight w:val="230"/>
        </w:trPr>
        <w:tc>
          <w:tcPr>
            <w:tcW w:w="1340" w:type="dxa"/>
            <w:vAlign w:val="bottom"/>
            <w:gridSpan w:val="4"/>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1040" w:type="dxa"/>
            <w:vAlign w:val="bottom"/>
            <w:tcBorders>
              <w:bottom w:val="single" w:sz="8" w:color="auto"/>
            </w:tcBorders>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980" w:type="dxa"/>
            <w:vAlign w:val="bottom"/>
            <w:gridSpan w:val="5"/>
          </w:tcPr>
          <w:p>
            <w:pPr>
              <w:ind w:left="1480"/>
              <w:spacing w:after="0" w:line="230"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9"/>
        </w:trPr>
        <w:tc>
          <w:tcPr>
            <w:tcW w:w="2380" w:type="dxa"/>
            <w:vAlign w:val="bottom"/>
            <w:gridSpan w:val="7"/>
          </w:tcPr>
          <w:p>
            <w:pPr>
              <w:ind w:left="580"/>
              <w:spacing w:after="0"/>
              <w:rPr>
                <w:sz w:val="20"/>
                <w:szCs w:val="20"/>
                <w:color w:val="auto"/>
              </w:rPr>
            </w:pPr>
            <w:r>
              <w:rPr>
                <w:rFonts w:ascii="Times New Roman" w:cs="Times New Roman" w:eastAsia="Times New Roman" w:hAnsi="Times New Roman"/>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9"/>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ind w:left="5940" w:right="480" w:hanging="5933"/>
        <w:spacing w:after="0" w:line="416" w:lineRule="auto"/>
        <w:rPr>
          <w:sz w:val="20"/>
          <w:szCs w:val="20"/>
          <w:color w:val="auto"/>
        </w:rPr>
      </w:pPr>
      <w:r>
        <w:rPr>
          <w:rFonts w:ascii="Times New Roman" w:cs="Times New Roman" w:eastAsia="Times New Roman" w:hAnsi="Times New Roman"/>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-255905</wp:posOffset>
            </wp:positionV>
            <wp:extent cx="18180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261" w:right="239" w:bottom="1440" w:gutter="0" w:footer="0" w:header="0"/>
        </w:sectPr>
      </w:pPr>
    </w:p>
    <w:bookmarkStart w:id="202" w:name="page203"/>
    <w:bookmarkEnd w:id="202"/>
    <w:p>
      <w:pPr>
        <w:ind w:left="10520"/>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Ltd and its subsidiaries on a consolidated basis.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5"/>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March 31, 2016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20" w:type="dxa"/>
            <w:vAlign w:val="bottom"/>
            <w:gridSpan w:val="5"/>
          </w:tcPr>
          <w:p>
            <w:pPr>
              <w:jc w:val="right"/>
              <w:ind w:right="3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(16,620)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519,465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216,807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123,885</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Add—Fixed charges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103,668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106,470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before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58,489</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605,531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320,475</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230,355</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346,418</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(b)</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81,565</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24,905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103,668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5"/>
              </w:rPr>
              <w:t>106,470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110,919</w:t>
            </w: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3.09(e)</w:t>
            </w:r>
          </w:p>
        </w:tc>
        <w:tc>
          <w:tcPr>
            <w:tcW w:w="16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2.16(f)</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w w:val="99"/>
              </w:rPr>
              <w:t>Deficiency in the coverage of operating income (loss) before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 to total fixed charges</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(dollars in thousands):</w:t>
      </w:r>
    </w:p>
    <w:p>
      <w:pPr>
        <w:spacing w:after="0" w:line="21" w:lineRule="exact"/>
        <w:rPr>
          <w:sz w:val="20"/>
          <w:szCs w:val="20"/>
          <w:color w:val="auto"/>
        </w:rPr>
      </w:pPr>
    </w:p>
    <w:p>
      <w:pPr>
        <w:ind w:left="460" w:hanging="452"/>
        <w:spacing w:after="0"/>
        <w:tabs>
          <w:tab w:leader="none" w:pos="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periods presented represent income before income taxes and fixed charges,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and the portion of rental expense which represents an appropriate interest factor.</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90" w:lineRule="exact"/>
        <w:rPr>
          <w:rFonts w:ascii="Times New Roman" w:cs="Times New Roman" w:eastAsia="Times New Roman" w:hAnsi="Times New Roman"/>
          <w:sz w:val="18"/>
          <w:szCs w:val="18"/>
          <w:color w:val="auto"/>
        </w:rPr>
      </w:pPr>
    </w:p>
    <w:p>
      <w:pPr>
        <w:ind w:left="460" w:right="120" w:hanging="452"/>
        <w:spacing w:after="0" w:line="254" w:lineRule="auto"/>
        <w:tabs>
          <w:tab w:leader="none" w:pos="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2015 is presented after giving effect to a charge of (i) $60,219 associated with the redemption of $450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 See the Company’s Annual Report on Form 10-K for the year ended December 31, 2015 for additional information regarding the Company’s operating income and net income for the year ended December 31, 2015.</w:t>
      </w:r>
    </w:p>
    <w:p>
      <w:pPr>
        <w:spacing w:after="0" w:line="60" w:lineRule="exact"/>
        <w:rPr>
          <w:rFonts w:ascii="Times New Roman" w:cs="Times New Roman" w:eastAsia="Times New Roman" w:hAnsi="Times New Roman"/>
          <w:sz w:val="18"/>
          <w:szCs w:val="18"/>
          <w:color w:val="auto"/>
        </w:rPr>
      </w:pPr>
    </w:p>
    <w:p>
      <w:pPr>
        <w:ind w:left="460" w:right="20" w:hanging="452"/>
        <w:spacing w:after="0" w:line="289" w:lineRule="auto"/>
        <w:tabs>
          <w:tab w:leader="none" w:pos="4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spacing w:after="0" w:line="1" w:lineRule="exact"/>
        <w:rPr>
          <w:rFonts w:ascii="Times New Roman" w:cs="Times New Roman" w:eastAsia="Times New Roman" w:hAnsi="Times New Roman"/>
          <w:sz w:val="16"/>
          <w:szCs w:val="16"/>
          <w:color w:val="auto"/>
        </w:rPr>
      </w:pPr>
    </w:p>
    <w:p>
      <w:pPr>
        <w:ind w:left="460" w:right="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$12,203 relating to private equity incentive compensation. Excluding the impact of such charge, the ratio of earnings to fixed charges would have been 4.35.</w:t>
      </w:r>
    </w:p>
    <w:p>
      <w:pPr>
        <w:spacing w:after="0" w:line="50" w:lineRule="exact"/>
        <w:rPr>
          <w:rFonts w:ascii="Times New Roman" w:cs="Times New Roman" w:eastAsia="Times New Roman" w:hAnsi="Times New Roman"/>
          <w:sz w:val="16"/>
          <w:szCs w:val="16"/>
          <w:color w:val="auto"/>
        </w:rPr>
      </w:pPr>
    </w:p>
    <w:p>
      <w:pPr>
        <w:ind w:left="460" w:right="160" w:hanging="452"/>
        <w:spacing w:after="0" w:line="301" w:lineRule="auto"/>
        <w:tabs>
          <w:tab w:leader="none" w:pos="4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4"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2016 of Lazard Ltd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2016 of Lazard Ltd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March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7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jc w:val="both"/>
        <w:ind w:right="20" w:firstLine="456"/>
        <w:spacing w:after="0" w:line="310" w:lineRule="auto"/>
        <w:rPr>
          <w:sz w:val="20"/>
          <w:szCs w:val="20"/>
          <w:color w:val="auto"/>
        </w:rPr>
      </w:pPr>
      <w:r>
        <w:rPr>
          <w:rFonts w:ascii="Times New Roman" w:cs="Times New Roman" w:eastAsia="Times New Roman" w:hAnsi="Times New Roman"/>
          <w:sz w:val="16"/>
          <w:szCs w:val="16"/>
          <w:color w:val="auto"/>
        </w:rPr>
        <w:t>Pursuant to 18 U.S.C. § 1350, the undersigned officer of Lazard Ltd (the “Registrant”) hereby certifies that the Registrant’s Quarterly Report on Form 10-Q for the quarter ended March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1."/>
      <w:numFmt w:val="decimal"/>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
      <w:numFmt w:val="bullet"/>
      <w:start w:val="1"/>
    </w:lvl>
  </w:abstractNum>
  <w:abstractNum w:abstractNumId="5">
    <w:nsid w:val="2A082C70"/>
    <w:multiLevelType w:val="hybridMultilevel"/>
    <w:lvl w:ilvl="0">
      <w:lvlJc w:val="left"/>
      <w:lvlText w:val="%1."/>
      <w:numFmt w:val="decimal"/>
      <w:start w:val="2"/>
    </w:lvl>
  </w:abstractNum>
  <w:abstractNum w:abstractNumId="6">
    <w:nsid w:val="5EC6AFD4"/>
    <w:multiLevelType w:val="hybridMultilevel"/>
    <w:lvl w:ilvl="0">
      <w:lvlJc w:val="left"/>
      <w:lvlText w:val="%1."/>
      <w:numFmt w:val="decimal"/>
      <w:start w:val="3"/>
    </w:lvl>
  </w:abstractNum>
  <w:abstractNum w:abstractNumId="7">
    <w:nsid w:val="19E21BB2"/>
    <w:multiLevelType w:val="hybridMultilevel"/>
    <w:lvl w:ilvl="0">
      <w:lvlJc w:val="left"/>
      <w:lvlText w:val="%1."/>
      <w:numFmt w:val="decimal"/>
      <w:start w:val="4"/>
    </w:lvl>
  </w:abstractNum>
  <w:abstractNum w:abstractNumId="8">
    <w:nsid w:val="75E0858A"/>
    <w:multiLevelType w:val="hybridMultilevel"/>
    <w:lvl w:ilvl="0">
      <w:lvlJc w:val="left"/>
      <w:lvlText w:val="(%1)"/>
      <w:numFmt w:val="lowerLetter"/>
      <w:start w:val="1"/>
    </w:lvl>
  </w:abstractNum>
  <w:abstractNum w:abstractNumId="9">
    <w:nsid w:val="57A61A29"/>
    <w:multiLevelType w:val="hybridMultilevel"/>
    <w:lvl w:ilvl="0">
      <w:lvlJc w:val="left"/>
      <w:lvlText w:val="%1."/>
      <w:numFmt w:val="decimal"/>
      <w:start w:val="5"/>
    </w:lvl>
  </w:abstractNum>
  <w:abstractNum w:abstractNumId="10">
    <w:nsid w:val="5399C654"/>
    <w:multiLevelType w:val="hybridMultilevel"/>
    <w:lvl w:ilvl="0">
      <w:lvlJc w:val="left"/>
      <w:lvlText w:val="(%1)"/>
      <w:numFmt w:val="lowerLetter"/>
      <w:start w:val="1"/>
    </w:lvl>
  </w:abstractNum>
  <w:abstractNum w:abstractNumId="11">
    <w:nsid w:val="20EE1348"/>
    <w:multiLevelType w:val="hybridMultilevel"/>
    <w:lvl w:ilvl="0">
      <w:lvlJc w:val="left"/>
      <w:lvlText w:val="(%1)"/>
      <w:numFmt w:val="lowerLetter"/>
      <w:start w:val="1"/>
    </w:lvl>
  </w:abstractNum>
  <w:abstractNum w:abstractNumId="12">
    <w:nsid w:val="4427069A"/>
    <w:multiLevelType w:val="hybridMultilevel"/>
    <w:lvl w:ilvl="0">
      <w:lvlJc w:val="left"/>
      <w:lvlText w:val="(%1)"/>
      <w:numFmt w:val="lowerLetter"/>
      <w:start w:val="1"/>
    </w:lvl>
  </w:abstractNum>
  <w:abstractNum w:abstractNumId="13">
    <w:nsid w:val="B37E80A"/>
    <w:multiLevelType w:val="hybridMultilevel"/>
    <w:lvl w:ilvl="0">
      <w:lvlJc w:val="left"/>
      <w:lvlText w:val="(%1)"/>
      <w:numFmt w:val="lowerLetter"/>
      <w:start w:val="1"/>
    </w:lvl>
  </w:abstractNum>
  <w:abstractNum w:abstractNumId="14">
    <w:nsid w:val="2157F6BC"/>
    <w:multiLevelType w:val="hybridMultilevel"/>
    <w:lvl w:ilvl="0">
      <w:lvlJc w:val="left"/>
      <w:lvlText w:val="%1."/>
      <w:numFmt w:val="decimal"/>
      <w:start w:val="6"/>
    </w:lvl>
  </w:abstractNum>
  <w:abstractNum w:abstractNumId="15">
    <w:nsid w:val="704E1DD5"/>
    <w:multiLevelType w:val="hybridMultilevel"/>
    <w:lvl w:ilvl="0">
      <w:lvlJc w:val="left"/>
      <w:lvlText w:val="(%1)"/>
      <w:numFmt w:val="lowerLetter"/>
      <w:start w:val="1"/>
    </w:lvl>
  </w:abstractNum>
  <w:abstractNum w:abstractNumId="16">
    <w:nsid w:val="57D2F10E"/>
    <w:multiLevelType w:val="hybridMultilevel"/>
    <w:lvl w:ilvl="0">
      <w:lvlJc w:val="left"/>
      <w:lvlText w:val="%1."/>
      <w:numFmt w:val="decimal"/>
      <w:start w:val="7"/>
    </w:lvl>
  </w:abstractNum>
  <w:abstractNum w:abstractNumId="17">
    <w:nsid w:val="BFFAE18"/>
    <w:multiLevelType w:val="hybridMultilevel"/>
    <w:lvl w:ilvl="0">
      <w:lvlJc w:val="left"/>
      <w:lvlText w:val="%1."/>
      <w:numFmt w:val="decimal"/>
      <w:start w:val="8"/>
    </w:lvl>
  </w:abstractNum>
  <w:abstractNum w:abstractNumId="18">
    <w:nsid w:val="E3E47A8"/>
    <w:multiLevelType w:val="hybridMultilevel"/>
    <w:lvl w:ilvl="0">
      <w:lvlJc w:val="left"/>
      <w:lvlText w:val="%1"/>
      <w:numFmt w:val="decimal"/>
      <w:start w:val="1"/>
    </w:lvl>
    <w:lvl w:ilvl="1">
      <w:lvlJc w:val="left"/>
      <w:lvlText w:val="(%2)"/>
      <w:numFmt w:val="lowerLetter"/>
      <w:start w:val="1"/>
    </w:lvl>
  </w:abstractNum>
  <w:abstractNum w:abstractNumId="19">
    <w:nsid w:val="2E48F044"/>
    <w:multiLevelType w:val="hybridMultilevel"/>
    <w:lvl w:ilvl="0">
      <w:lvlJc w:val="left"/>
      <w:lvlText w:val="%1."/>
      <w:numFmt w:val="decimal"/>
      <w:start w:val="9"/>
    </w:lvl>
    <w:lvl w:ilvl="1">
      <w:lvlJc w:val="left"/>
      <w:lvlText w:val="%2"/>
      <w:numFmt w:val="lowerLetter"/>
      <w:start w:val="1"/>
    </w:lvl>
  </w:abstractNum>
  <w:abstractNum w:abstractNumId="20">
    <w:nsid w:val="49D0FEAC"/>
    <w:multiLevelType w:val="hybridMultilevel"/>
    <w:lvl w:ilvl="0">
      <w:lvlJc w:val="left"/>
      <w:lvlText w:val="(%1)"/>
      <w:numFmt w:val="lowerLetter"/>
      <w:start w:val="1"/>
    </w:lvl>
  </w:abstractNum>
  <w:abstractNum w:abstractNumId="21">
    <w:nsid w:val="4BEE5A5B"/>
    <w:multiLevelType w:val="hybridMultilevel"/>
    <w:lvl w:ilvl="0">
      <w:lvlJc w:val="left"/>
      <w:lvlText w:val="%1."/>
      <w:numFmt w:val="decimal"/>
      <w:start w:val="10"/>
    </w:lvl>
  </w:abstractNum>
  <w:abstractNum w:abstractNumId="22">
    <w:nsid w:val="5551B9F3"/>
    <w:multiLevelType w:val="hybridMultilevel"/>
    <w:lvl w:ilvl="0">
      <w:lvlJc w:val="left"/>
      <w:lvlText w:val="%1."/>
      <w:numFmt w:val="decimal"/>
      <w:start w:val="11"/>
    </w:lvl>
  </w:abstractNum>
  <w:abstractNum w:abstractNumId="23">
    <w:nsid w:val="24F6AB8E"/>
    <w:multiLevelType w:val="hybridMultilevel"/>
    <w:lvl w:ilvl="0">
      <w:lvlJc w:val="left"/>
      <w:lvlText w:val="(%1)"/>
      <w:numFmt w:val="lowerLetter"/>
      <w:start w:val="1"/>
    </w:lvl>
  </w:abstractNum>
  <w:abstractNum w:abstractNumId="24">
    <w:nsid w:val="634C574C"/>
    <w:multiLevelType w:val="hybridMultilevel"/>
    <w:lvl w:ilvl="0">
      <w:lvlJc w:val="left"/>
      <w:lvlText w:val="%1."/>
      <w:numFmt w:val="decimal"/>
      <w:start w:val="12"/>
    </w:lvl>
  </w:abstractNum>
  <w:abstractNum w:abstractNumId="25">
    <w:nsid w:val="24E99DD7"/>
    <w:multiLevelType w:val="hybridMultilevel"/>
    <w:lvl w:ilvl="0">
      <w:lvlJc w:val="left"/>
      <w:lvlText w:val="(%1)"/>
      <w:numFmt w:val="lowerLetter"/>
      <w:start w:val="1"/>
    </w:lvl>
  </w:abstractNum>
  <w:abstractNum w:abstractNumId="26">
    <w:nsid w:val="2A31B62D"/>
    <w:multiLevelType w:val="hybridMultilevel"/>
    <w:lvl w:ilvl="0">
      <w:lvlJc w:val="left"/>
      <w:lvlText w:val="%1."/>
      <w:numFmt w:val="decimal"/>
      <w:start w:val="13"/>
    </w:lvl>
  </w:abstractNum>
  <w:abstractNum w:abstractNumId="27">
    <w:nsid w:val="1849C29B"/>
    <w:multiLevelType w:val="hybridMultilevel"/>
    <w:lvl w:ilvl="0">
      <w:lvlJc w:val="left"/>
      <w:lvlText w:val="%1."/>
      <w:numFmt w:val="decimal"/>
      <w:start w:val="14"/>
    </w:lvl>
  </w:abstractNum>
  <w:abstractNum w:abstractNumId="28">
    <w:nsid w:val="7DFF9D09"/>
    <w:multiLevelType w:val="hybridMultilevel"/>
    <w:lvl w:ilvl="0">
      <w:lvlJc w:val="left"/>
      <w:lvlText w:val="%1."/>
      <w:numFmt w:val="decimal"/>
      <w:start w:val="15"/>
    </w:lvl>
  </w:abstractNum>
  <w:abstractNum w:abstractNumId="29">
    <w:nsid w:val="754342"/>
    <w:multiLevelType w:val="hybridMultilevel"/>
    <w:lvl w:ilvl="0">
      <w:lvlJc w:val="left"/>
      <w:lvlText w:val="%1."/>
      <w:numFmt w:val="decimal"/>
      <w:start w:val="16"/>
    </w:lvl>
  </w:abstractNum>
  <w:abstractNum w:abstractNumId="30">
    <w:nsid w:val="69E7F3E5"/>
    <w:multiLevelType w:val="hybridMultilevel"/>
    <w:lvl w:ilvl="0">
      <w:lvlJc w:val="left"/>
      <w:lvlText w:val="%1."/>
      <w:numFmt w:val="decimal"/>
      <w:start w:val="17"/>
    </w:lvl>
  </w:abstractNum>
  <w:abstractNum w:abstractNumId="31">
    <w:nsid w:val="2A6DE806"/>
    <w:multiLevelType w:val="hybridMultilevel"/>
    <w:lvl w:ilvl="0">
      <w:lvlJc w:val="left"/>
      <w:lvlText w:val="%1."/>
      <w:numFmt w:val="decimal"/>
      <w:start w:val="18"/>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1)"/>
      <w:numFmt w:val="lowerLetter"/>
      <w:start w:val="1"/>
    </w:lvl>
  </w:abstractNum>
  <w:abstractNum w:abstractNumId="34">
    <w:nsid w:val="7AB49DAF"/>
    <w:multiLevelType w:val="hybridMultilevel"/>
    <w:lvl w:ilvl="0">
      <w:lvlJc w:val="left"/>
      <w:lvlText w:val="•"/>
      <w:numFmt w:val="bullet"/>
      <w:start w:val="1"/>
    </w:lvl>
  </w:abstractNum>
  <w:abstractNum w:abstractNumId="35">
    <w:nsid w:val="759F82CD"/>
    <w:multiLevelType w:val="hybridMultilevel"/>
    <w:lvl w:ilvl="0">
      <w:lvlJc w:val="left"/>
      <w:lvlText w:val="•"/>
      <w:numFmt w:val="bullet"/>
      <w:start w:val="1"/>
    </w:lvl>
  </w:abstractNum>
  <w:abstractNum w:abstractNumId="36">
    <w:nsid w:val="61E74EA3"/>
    <w:multiLevelType w:val="hybridMultilevel"/>
    <w:lvl w:ilvl="0">
      <w:lvlJc w:val="left"/>
      <w:lvlText w:val="•"/>
      <w:numFmt w:val="bullet"/>
      <w:start w:val="1"/>
    </w:lvl>
  </w:abstractNum>
  <w:abstractNum w:abstractNumId="37">
    <w:nsid w:val="597B4D84"/>
    <w:multiLevelType w:val="hybridMultilevel"/>
    <w:lvl w:ilvl="0">
      <w:lvlJc w:val="left"/>
      <w:lvlText w:val="•"/>
      <w:numFmt w:val="bullet"/>
      <w:start w:val="1"/>
    </w:lvl>
  </w:abstractNum>
  <w:abstractNum w:abstractNumId="38">
    <w:nsid w:val="F819E7F"/>
    <w:multiLevelType w:val="hybridMultilevel"/>
    <w:lvl w:ilvl="0">
      <w:lvlJc w:val="left"/>
      <w:lvlText w:val="•"/>
      <w:numFmt w:val="bullet"/>
      <w:start w:val="1"/>
    </w:lvl>
  </w:abstractNum>
  <w:abstractNum w:abstractNumId="39">
    <w:nsid w:val="57C7D42D"/>
    <w:multiLevelType w:val="hybridMultilevel"/>
    <w:lvl w:ilvl="0">
      <w:lvlJc w:val="left"/>
      <w:lvlText w:val="(%1)"/>
      <w:numFmt w:val="lowerLetter"/>
      <w:start w:val="1"/>
    </w:lvl>
  </w:abstractNum>
  <w:abstractNum w:abstractNumId="40">
    <w:nsid w:val="312167AD"/>
    <w:multiLevelType w:val="hybridMultilevel"/>
    <w:lvl w:ilvl="0">
      <w:lvlJc w:val="left"/>
      <w:lvlText w:val="•"/>
      <w:numFmt w:val="bullet"/>
      <w:start w:val="1"/>
    </w:lvl>
    <w:lvl w:ilvl="1">
      <w:lvlJc w:val="left"/>
      <w:lvlText w:val="(%2)"/>
      <w:numFmt w:val="lowerRoman"/>
      <w:start w:val="1"/>
    </w:lvl>
  </w:abstractNum>
  <w:abstractNum w:abstractNumId="41">
    <w:nsid w:val="631B64D4"/>
    <w:multiLevelType w:val="hybridMultilevel"/>
    <w:lvl w:ilvl="0">
      <w:lvlJc w:val="left"/>
      <w:lvlText w:val="•"/>
      <w:numFmt w:val="bullet"/>
      <w:start w:val="1"/>
    </w:lvl>
    <w:lvl w:ilvl="1">
      <w:lvlJc w:val="left"/>
      <w:lvlText w:val="(%2)"/>
      <w:numFmt w:val="lowerRoman"/>
      <w:start w:val="2"/>
    </w:lvl>
  </w:abstractNum>
  <w:abstractNum w:abstractNumId="42">
    <w:nsid w:val="78B5E776"/>
    <w:multiLevelType w:val="hybridMultilevel"/>
    <w:lvl w:ilvl="0">
      <w:lvlJc w:val="left"/>
      <w:lvlText w:val="(%1)"/>
      <w:numFmt w:val="lowerLetter"/>
      <w:start w:val="1"/>
    </w:lvl>
  </w:abstractNum>
  <w:abstractNum w:abstractNumId="43">
    <w:nsid w:val="75486E47"/>
    <w:multiLevelType w:val="hybridMultilevel"/>
    <w:lvl w:ilvl="0">
      <w:lvlJc w:val="left"/>
      <w:lvlText w:val="(%1)"/>
      <w:numFmt w:val="lowerLetter"/>
      <w:start w:val="1"/>
    </w:lvl>
  </w:abstractNum>
  <w:abstractNum w:abstractNumId="44">
    <w:nsid w:val="6E534CDE"/>
    <w:multiLevelType w:val="hybridMultilevel"/>
    <w:lvl w:ilvl="0">
      <w:lvlJc w:val="left"/>
      <w:lvlText w:val="(%1)"/>
      <w:numFmt w:val="lowerLetter"/>
      <w:start w:val="1"/>
    </w:lvl>
  </w:abstractNum>
  <w:abstractNum w:abstractNumId="45">
    <w:nsid w:val="1A0DDE32"/>
    <w:multiLevelType w:val="hybridMultilevel"/>
    <w:lvl w:ilvl="0">
      <w:lvlJc w:val="left"/>
      <w:lvlText w:val="(%1)"/>
      <w:numFmt w:val="lowerLetter"/>
      <w:start w:val="1"/>
    </w:lvl>
  </w:abstractNum>
  <w:abstractNum w:abstractNumId="46">
    <w:nsid w:val="65968C1C"/>
    <w:multiLevelType w:val="hybridMultilevel"/>
    <w:lvl w:ilvl="0">
      <w:lvlJc w:val="left"/>
      <w:lvlText w:val="(%1)"/>
      <w:numFmt w:val="lowerLetter"/>
      <w:start w:val="2"/>
    </w:lvl>
  </w:abstractNum>
  <w:abstractNum w:abstractNumId="47">
    <w:nsid w:val="46263DEC"/>
    <w:multiLevelType w:val="hybridMultilevel"/>
    <w:lvl w:ilvl="0">
      <w:lvlJc w:val="left"/>
      <w:lvlText w:val="(%1)"/>
      <w:numFmt w:val="lowerLetter"/>
      <w:start w:val="1"/>
    </w:lvl>
  </w:abstractNum>
  <w:abstractNum w:abstractNumId="48">
    <w:nsid w:val="260D8C4A"/>
    <w:multiLevelType w:val="hybridMultilevel"/>
    <w:lvl w:ilvl="0">
      <w:lvlJc w:val="left"/>
      <w:lvlText w:val="•"/>
      <w:numFmt w:val="bullet"/>
      <w:start w:val="1"/>
    </w:lvl>
  </w:abstractNum>
  <w:abstractNum w:abstractNumId="49">
    <w:nsid w:val="73D4D3C4"/>
    <w:multiLevelType w:val="hybridMultilevel"/>
    <w:lvl w:ilvl="0">
      <w:lvlJc w:val="left"/>
      <w:lvlText w:val="•"/>
      <w:numFmt w:val="bullet"/>
      <w:start w:val="1"/>
    </w:lvl>
  </w:abstractNum>
  <w:abstractNum w:abstractNumId="50">
    <w:nsid w:val="746F2E30"/>
    <w:multiLevelType w:val="hybridMultilevel"/>
    <w:lvl w:ilvl="0">
      <w:lvlJc w:val="left"/>
      <w:lvlText w:val="•"/>
      <w:numFmt w:val="bullet"/>
      <w:start w:val="1"/>
    </w:lvl>
  </w:abstractNum>
  <w:abstractNum w:abstractNumId="51">
    <w:nsid w:val="6FDE8AF6"/>
    <w:multiLevelType w:val="hybridMultilevel"/>
    <w:lvl w:ilvl="0">
      <w:lvlJc w:val="left"/>
      <w:lvlText w:val="(%1)"/>
      <w:numFmt w:val="lowerLetter"/>
      <w:start w:val="1"/>
    </w:lvl>
  </w:abstractNum>
  <w:abstractNum w:abstractNumId="52">
    <w:nsid w:val="3FC32E20"/>
    <w:multiLevelType w:val="hybridMultilevel"/>
    <w:lvl w:ilvl="0">
      <w:lvlJc w:val="left"/>
      <w:lvlText w:val="(%1)"/>
      <w:numFmt w:val="lowerLetter"/>
      <w:start w:val="2"/>
    </w:lvl>
  </w:abstractNum>
  <w:abstractNum w:abstractNumId="53">
    <w:nsid w:val="49C0E823"/>
    <w:multiLevelType w:val="hybridMultilevel"/>
    <w:lvl w:ilvl="0">
      <w:lvlJc w:val="left"/>
      <w:lvlText w:val="•"/>
      <w:numFmt w:val="bullet"/>
      <w:start w:val="1"/>
    </w:lvl>
  </w:abstractNum>
  <w:abstractNum w:abstractNumId="54">
    <w:nsid w:val="14D53685"/>
    <w:multiLevelType w:val="hybridMultilevel"/>
    <w:lvl w:ilvl="0">
      <w:lvlJc w:val="left"/>
      <w:lvlText w:val="(%1)"/>
      <w:numFmt w:val="decimal"/>
      <w:start w:val="1"/>
    </w:lvl>
  </w:abstractNum>
  <w:abstractNum w:abstractNumId="55">
    <w:nsid w:val="230F856C"/>
    <w:multiLevelType w:val="hybridMultilevel"/>
    <w:lvl w:ilvl="0">
      <w:lvlJc w:val="left"/>
      <w:lvlText w:val="(%1)"/>
      <w:numFmt w:val="decimal"/>
      <w:start w:val="2"/>
    </w:lvl>
  </w:abstractNum>
  <w:abstractNum w:abstractNumId="56">
    <w:nsid w:val="6EAA85FB"/>
    <w:multiLevelType w:val="hybridMultilevel"/>
    <w:lvl w:ilvl="0">
      <w:lvlJc w:val="left"/>
      <w:lvlText w:val="%1."/>
      <w:numFmt w:val="decimal"/>
      <w:start w:val="1"/>
    </w:lvl>
  </w:abstractNum>
  <w:abstractNum w:abstractNumId="57">
    <w:nsid w:val="3F06ECB2"/>
    <w:multiLevelType w:val="hybridMultilevel"/>
    <w:lvl w:ilvl="0">
      <w:lvlJc w:val="left"/>
      <w:lvlText w:val="%1."/>
      <w:numFmt w:val="decimal"/>
      <w:start w:val="2"/>
    </w:lvl>
  </w:abstractNum>
  <w:abstractNum w:abstractNumId="58">
    <w:nsid w:val="3B594807"/>
    <w:multiLevelType w:val="hybridMultilevel"/>
    <w:lvl w:ilvl="0">
      <w:lvlJc w:val="left"/>
      <w:lvlText w:val="(%1)"/>
      <w:numFmt w:val="lowerLetter"/>
      <w:start w:val="2"/>
    </w:lvl>
  </w:abstractNum>
  <w:abstractNum w:abstractNumId="59">
    <w:nsid w:val="6CAA2304"/>
    <w:multiLevelType w:val="hybridMultilevel"/>
    <w:lvl w:ilvl="0">
      <w:lvlJc w:val="left"/>
      <w:lvlText w:val="(%1)"/>
      <w:numFmt w:val="lowerRoman"/>
      <w:start w:val="1"/>
    </w:lvl>
  </w:abstractNum>
  <w:abstractNum w:abstractNumId="60">
    <w:nsid w:val="3F7C2FF4"/>
    <w:multiLevelType w:val="hybridMultilevel"/>
    <w:lvl w:ilvl="0">
      <w:lvlJc w:val="left"/>
      <w:lvlText w:val="(%1)"/>
      <w:numFmt w:val="lowerRoman"/>
      <w:start w:val="2"/>
    </w:lvl>
  </w:abstractNum>
  <w:abstractNum w:abstractNumId="61">
    <w:nsid w:val="25413BEC"/>
    <w:multiLevelType w:val="hybridMultilevel"/>
    <w:lvl w:ilvl="0">
      <w:lvlJc w:val="left"/>
      <w:lvlText w:val="(%1)"/>
      <w:numFmt w:val="lowerLetter"/>
      <w:start w:val="4"/>
    </w:lvl>
  </w:abstractNum>
  <w:abstractNum w:abstractNumId="62">
    <w:nsid w:val="17180B0B"/>
    <w:multiLevelType w:val="hybridMultilevel"/>
    <w:lvl w:ilvl="0">
      <w:lvlJc w:val="left"/>
      <w:lvlText w:val="(%1)"/>
      <w:numFmt w:val="lowerRoman"/>
      <w:start w:val="2"/>
    </w:lvl>
  </w:abstractNum>
  <w:abstractNum w:abstractNumId="63">
    <w:nsid w:val="579328B9"/>
    <w:multiLevelType w:val="hybridMultilevel"/>
    <w:lvl w:ilvl="0">
      <w:lvlJc w:val="left"/>
      <w:lvlText w:val="%1."/>
      <w:numFmt w:val="upperLetter"/>
      <w:start w:val="9"/>
    </w:lvl>
  </w:abstractNum>
  <w:abstractNum w:abstractNumId="64">
    <w:nsid w:val="5D205E20"/>
    <w:multiLevelType w:val="hybridMultilevel"/>
    <w:lvl w:ilvl="0">
      <w:lvlJc w:val="left"/>
      <w:lvlText w:val="%1."/>
      <w:numFmt w:val="upperLetter"/>
      <w:start w:val="35"/>
    </w:lvl>
  </w:abstractNum>
  <w:abstractNum w:abstractNumId="65">
    <w:nsid w:val="11CCA8BA"/>
    <w:multiLevelType w:val="hybridMultilevel"/>
    <w:lvl w:ilvl="0">
      <w:lvlJc w:val="left"/>
      <w:lvlText w:val="%1"/>
      <w:numFmt w:val="upperLetter"/>
      <w:start w:val="1"/>
    </w:lvl>
    <w:lvl w:ilvl="1">
      <w:lvlJc w:val="left"/>
      <w:lvlText w:val="(%2)"/>
      <w:numFmt w:val="lowerRoman"/>
      <w:start w:val="3"/>
    </w:lvl>
  </w:abstractNum>
  <w:abstractNum w:abstractNumId="66">
    <w:nsid w:val="4D32AB86"/>
    <w:multiLevelType w:val="hybridMultilevel"/>
    <w:lvl w:ilvl="0">
      <w:lvlJc w:val="left"/>
      <w:lvlText w:val="(%1)"/>
      <w:numFmt w:val="upperLetter"/>
      <w:start w:val="2"/>
    </w:lvl>
    <w:lvl w:ilvl="1">
      <w:lvlJc w:val="left"/>
      <w:lvlText w:val="%2"/>
      <w:numFmt w:val="lowerRoman"/>
      <w:start w:val="1"/>
    </w:lvl>
  </w:abstractNum>
  <w:abstractNum w:abstractNumId="67">
    <w:nsid w:val="3F07ACC3"/>
    <w:multiLevelType w:val="hybridMultilevel"/>
    <w:lvl w:ilvl="0">
      <w:lvlJc w:val="left"/>
      <w:lvlText w:val="(%1)"/>
      <w:numFmt w:val="lowerRoman"/>
      <w:start w:val="6"/>
    </w:lvl>
  </w:abstractNum>
  <w:abstractNum w:abstractNumId="68">
    <w:nsid w:val="6B47F63E"/>
    <w:multiLevelType w:val="hybridMultilevel"/>
    <w:lvl w:ilvl="0">
      <w:lvlJc w:val="left"/>
      <w:lvlText w:val="(%1)"/>
      <w:numFmt w:val="lowerLetter"/>
      <w:start w:val="5"/>
    </w:lvl>
  </w:abstractNum>
  <w:abstractNum w:abstractNumId="69">
    <w:nsid w:val="5CB44A05"/>
    <w:multiLevelType w:val="hybridMultilevel"/>
    <w:lvl w:ilvl="0">
      <w:lvlJc w:val="left"/>
      <w:lvlText w:val="(%1)"/>
      <w:numFmt w:val="lowerRoman"/>
      <w:start w:val="10"/>
    </w:lvl>
  </w:abstractNum>
  <w:abstractNum w:abstractNumId="70">
    <w:nsid w:val="16CF80F1"/>
    <w:multiLevelType w:val="hybridMultilevel"/>
    <w:lvl w:ilvl="0">
      <w:lvlJc w:val="left"/>
      <w:lvlText w:val="(%1)"/>
      <w:numFmt w:val="lowerRoman"/>
      <w:start w:val="3"/>
    </w:lvl>
    <w:lvl w:ilvl="1">
      <w:lvlJc w:val="left"/>
      <w:lvlText w:val="(%2)"/>
      <w:numFmt w:val="lowerLetter"/>
      <w:start w:val="6"/>
    </w:lvl>
  </w:abstractNum>
  <w:abstractNum w:abstractNumId="71">
    <w:nsid w:val="1C695DEC"/>
    <w:multiLevelType w:val="hybridMultilevel"/>
    <w:lvl w:ilvl="0">
      <w:lvlJc w:val="left"/>
      <w:lvlText w:val="(%1)"/>
      <w:numFmt w:val="lowerLetter"/>
      <w:start w:val="7"/>
    </w:lvl>
  </w:abstractNum>
  <w:abstractNum w:abstractNumId="72">
    <w:nsid w:val="3FCFAED9"/>
    <w:multiLevelType w:val="hybridMultilevel"/>
    <w:lvl w:ilvl="0">
      <w:lvlJc w:val="left"/>
      <w:lvlText w:val="%1."/>
      <w:numFmt w:val="decimal"/>
      <w:start w:val="4"/>
    </w:lvl>
  </w:abstractNum>
  <w:abstractNum w:abstractNumId="73">
    <w:nsid w:val="F856867"/>
    <w:multiLevelType w:val="hybridMultilevel"/>
    <w:lvl w:ilvl="0">
      <w:lvlJc w:val="left"/>
      <w:lvlText w:val="(%1)"/>
      <w:numFmt w:val="lowerLetter"/>
      <w:start w:val="2"/>
    </w:lvl>
  </w:abstractNum>
  <w:abstractNum w:abstractNumId="74">
    <w:nsid w:val="11B1CC33"/>
    <w:multiLevelType w:val="hybridMultilevel"/>
    <w:lvl w:ilvl="0">
      <w:lvlJc w:val="left"/>
      <w:lvlText w:val="%1."/>
      <w:numFmt w:val="decimal"/>
      <w:start w:val="6"/>
    </w:lvl>
  </w:abstractNum>
  <w:abstractNum w:abstractNumId="75">
    <w:nsid w:val="2E22FBB7"/>
    <w:multiLevelType w:val="hybridMultilevel"/>
    <w:lvl w:ilvl="0">
      <w:lvlJc w:val="left"/>
      <w:lvlText w:val="%1."/>
      <w:numFmt w:val="decimal"/>
      <w:start w:val="7"/>
    </w:lvl>
  </w:abstractNum>
  <w:abstractNum w:abstractNumId="76">
    <w:nsid w:val="29934699"/>
    <w:multiLevelType w:val="hybridMultilevel"/>
    <w:lvl w:ilvl="0">
      <w:lvlJc w:val="left"/>
      <w:lvlText w:val="%1."/>
      <w:numFmt w:val="decimal"/>
      <w:start w:val="9"/>
    </w:lvl>
  </w:abstractNum>
  <w:abstractNum w:abstractNumId="77">
    <w:nsid w:val="77485850"/>
    <w:multiLevelType w:val="hybridMultilevel"/>
    <w:lvl w:ilvl="0">
      <w:lvlJc w:val="left"/>
      <w:lvlText w:val="(%1)"/>
      <w:numFmt w:val="lowerLetter"/>
      <w:start w:val="2"/>
    </w:lvl>
  </w:abstractNum>
  <w:abstractNum w:abstractNumId="78">
    <w:nsid w:val="744939A3"/>
    <w:multiLevelType w:val="hybridMultilevel"/>
    <w:lvl w:ilvl="0">
      <w:lvlJc w:val="left"/>
      <w:lvlText w:val="%1."/>
      <w:numFmt w:val="decimal"/>
      <w:start w:val="11"/>
    </w:lvl>
  </w:abstractNum>
  <w:abstractNum w:abstractNumId="79">
    <w:nsid w:val="4FA0D2E3"/>
    <w:multiLevelType w:val="hybridMultilevel"/>
    <w:lvl w:ilvl="0">
      <w:lvlJc w:val="left"/>
      <w:lvlText w:val="%1."/>
      <w:numFmt w:val="decimal"/>
      <w:start w:val="13"/>
    </w:lvl>
  </w:abstractNum>
  <w:abstractNum w:abstractNumId="80">
    <w:nsid w:val="6B1D2C14"/>
    <w:multiLevelType w:val="hybridMultilevel"/>
    <w:lvl w:ilvl="0">
      <w:lvlJc w:val="left"/>
      <w:lvlText w:val="(%1)"/>
      <w:numFmt w:val="lowerLetter"/>
      <w:start w:val="2"/>
    </w:lvl>
  </w:abstractNum>
  <w:abstractNum w:abstractNumId="81">
    <w:nsid w:val="68B867D3"/>
    <w:multiLevelType w:val="hybridMultilevel"/>
    <w:lvl w:ilvl="0">
      <w:lvlJc w:val="left"/>
      <w:lvlText w:val="%1."/>
      <w:numFmt w:val="decimal"/>
      <w:start w:val="15"/>
    </w:lvl>
  </w:abstractNum>
  <w:abstractNum w:abstractNumId="82">
    <w:nsid w:val="3F7F5DD9"/>
    <w:multiLevelType w:val="hybridMultilevel"/>
    <w:lvl w:ilvl="0">
      <w:lvlJc w:val="left"/>
      <w:lvlText w:val="(%1)"/>
      <w:numFmt w:val="lowerLetter"/>
      <w:start w:val="2"/>
    </w:lvl>
  </w:abstractNum>
  <w:abstractNum w:abstractNumId="83">
    <w:nsid w:val="2AE05A34"/>
    <w:multiLevelType w:val="hybridMultilevel"/>
    <w:lvl w:ilvl="0">
      <w:lvlJc w:val="left"/>
      <w:lvlText w:val="(%1)"/>
      <w:numFmt w:val="lowerLetter"/>
      <w:start w:val="7"/>
    </w:lvl>
  </w:abstractNum>
  <w:abstractNum w:abstractNumId="84">
    <w:nsid w:val="32794FF7"/>
    <w:multiLevelType w:val="hybridMultilevel"/>
    <w:lvl w:ilvl="0">
      <w:lvlJc w:val="left"/>
      <w:lvlText w:val="%1."/>
      <w:numFmt w:val="decimal"/>
      <w:start w:val="17"/>
    </w:lvl>
  </w:abstractNum>
  <w:abstractNum w:abstractNumId="85">
    <w:nsid w:val="5454945E"/>
    <w:multiLevelType w:val="hybridMultilevel"/>
    <w:lvl w:ilvl="0">
      <w:lvlJc w:val="left"/>
      <w:lvlText w:val="%1."/>
      <w:numFmt w:val="decimal"/>
      <w:start w:val="1"/>
    </w:lvl>
  </w:abstractNum>
  <w:abstractNum w:abstractNumId="86">
    <w:nsid w:val="4DEFDFA0"/>
    <w:multiLevelType w:val="hybridMultilevel"/>
    <w:lvl w:ilvl="0">
      <w:lvlJc w:val="left"/>
      <w:lvlText w:val="%1."/>
      <w:numFmt w:val="decimal"/>
      <w:start w:val="2"/>
    </w:lvl>
  </w:abstractNum>
  <w:abstractNum w:abstractNumId="87">
    <w:nsid w:val="2123D5F2"/>
    <w:multiLevelType w:val="hybridMultilevel"/>
    <w:lvl w:ilvl="0">
      <w:lvlJc w:val="left"/>
      <w:lvlText w:val="%1."/>
      <w:numFmt w:val="decimal"/>
      <w:start w:val="4"/>
    </w:lvl>
    <w:lvl w:ilvl="1">
      <w:lvlJc w:val="left"/>
      <w:lvlText w:val="%2."/>
      <w:numFmt w:val="lowerLetter"/>
      <w:start w:val="2"/>
    </w:lvl>
  </w:abstractNum>
  <w:abstractNum w:abstractNumId="88">
    <w:nsid w:val="135B8110"/>
    <w:multiLevelType w:val="hybridMultilevel"/>
    <w:lvl w:ilvl="0">
      <w:lvlJc w:val="left"/>
      <w:lvlText w:val="%1."/>
      <w:numFmt w:val="decimal"/>
      <w:start w:val="5"/>
    </w:lvl>
    <w:lvl w:ilvl="1">
      <w:lvlJc w:val="left"/>
      <w:lvlText w:val="%2."/>
      <w:numFmt w:val="lowerLetter"/>
      <w:start w:val="2"/>
    </w:lvl>
  </w:abstractNum>
  <w:abstractNum w:abstractNumId="89">
    <w:nsid w:val="94927A8"/>
    <w:multiLevelType w:val="hybridMultilevel"/>
    <w:lvl w:ilvl="0">
      <w:lvlJc w:val="left"/>
      <w:lvlText w:val="%1."/>
      <w:numFmt w:val="decimal"/>
      <w:start w:val="7"/>
    </w:lvl>
  </w:abstractNum>
  <w:abstractNum w:abstractNumId="90">
    <w:nsid w:val="DCDF8F6"/>
    <w:multiLevelType w:val="hybridMultilevel"/>
    <w:lvl w:ilvl="0">
      <w:lvlJc w:val="left"/>
      <w:lvlText w:val="%1."/>
      <w:numFmt w:val="decimal"/>
      <w:start w:val="9"/>
    </w:lvl>
    <w:lvl w:ilvl="1">
      <w:lvlJc w:val="left"/>
      <w:lvlText w:val="%2."/>
      <w:numFmt w:val="lowerLetter"/>
      <w:start w:val="2"/>
    </w:lvl>
  </w:abstractNum>
  <w:abstractNum w:abstractNumId="91">
    <w:nsid w:val="52D7B105"/>
    <w:multiLevelType w:val="hybridMultilevel"/>
    <w:lvl w:ilvl="0">
      <w:lvlJc w:val="left"/>
      <w:lvlText w:val="%1."/>
      <w:numFmt w:val="decimal"/>
      <w:start w:val="15"/>
    </w:lvl>
  </w:abstractNum>
  <w:abstractNum w:abstractNumId="92">
    <w:nsid w:val="2E8A6394"/>
    <w:multiLevelType w:val="hybridMultilevel"/>
    <w:lvl w:ilvl="0">
      <w:lvlJc w:val="left"/>
      <w:lvlText w:val="%1."/>
      <w:numFmt w:val="decimal"/>
      <w:start w:val="17"/>
    </w:lvl>
  </w:abstractNum>
  <w:abstractNum w:abstractNumId="93">
    <w:nsid w:val="24E60401"/>
    <w:multiLevelType w:val="hybridMultilevel"/>
    <w:lvl w:ilvl="0">
      <w:lvlJc w:val="left"/>
      <w:lvlText w:val="%1."/>
      <w:numFmt w:val="decimal"/>
      <w:start w:val="1"/>
    </w:lvl>
  </w:abstractNum>
  <w:abstractNum w:abstractNumId="94">
    <w:nsid w:val="2A6AD9BE"/>
    <w:multiLevelType w:val="hybridMultilevel"/>
    <w:lvl w:ilvl="0">
      <w:lvlJc w:val="left"/>
      <w:lvlText w:val="%1."/>
      <w:numFmt w:val="decimal"/>
      <w:start w:val="2"/>
    </w:lvl>
  </w:abstractNum>
  <w:abstractNum w:abstractNumId="95">
    <w:nsid w:val="BAAC1B4"/>
    <w:multiLevelType w:val="hybridMultilevel"/>
    <w:lvl w:ilvl="0">
      <w:lvlJc w:val="left"/>
      <w:lvlText w:val="%1"/>
      <w:numFmt w:val="lowerLetter"/>
      <w:start w:val="1"/>
    </w:lvl>
    <w:lvl w:ilvl="1">
      <w:lvlJc w:val="left"/>
      <w:lvlText w:val="(%2)"/>
      <w:numFmt w:val="lowerLetter"/>
      <w:start w:val="2"/>
    </w:lvl>
  </w:abstractNum>
  <w:abstractNum w:abstractNumId="96">
    <w:nsid w:val="36B2ACBC"/>
    <w:multiLevelType w:val="hybridMultilevel"/>
    <w:lvl w:ilvl="0">
      <w:lvlJc w:val="left"/>
      <w:lvlText w:val="(%1)"/>
      <w:numFmt w:val="lowerLetter"/>
      <w:start w:val="61"/>
    </w:lvl>
    <w:lvl w:ilvl="1">
      <w:lvlJc w:val="left"/>
      <w:lvlText w:val="(%2)"/>
      <w:numFmt w:val="lowerLetter"/>
      <w:start w:val="3"/>
    </w:lvl>
  </w:abstractNum>
  <w:abstractNum w:abstractNumId="97">
    <w:nsid w:val="779D8544"/>
    <w:multiLevelType w:val="hybridMultilevel"/>
    <w:lvl w:ilvl="0">
      <w:lvlJc w:val="left"/>
      <w:lvlText w:val="(%1)"/>
      <w:numFmt w:val="lowerRoman"/>
      <w:start w:val="1"/>
    </w:lvl>
  </w:abstractNum>
  <w:abstractNum w:abstractNumId="98">
    <w:nsid w:val="4AB26E78"/>
    <w:multiLevelType w:val="hybridMultilevel"/>
    <w:lvl w:ilvl="0">
      <w:lvlJc w:val="left"/>
      <w:lvlText w:val="(%1)"/>
      <w:numFmt w:val="lowerRoman"/>
      <w:start w:val="3"/>
    </w:lvl>
  </w:abstractNum>
  <w:abstractNum w:abstractNumId="99">
    <w:nsid w:val="21FAA2FA"/>
    <w:multiLevelType w:val="hybridMultilevel"/>
    <w:lvl w:ilvl="0">
      <w:lvlJc w:val="left"/>
      <w:lvlText w:val="(%1)"/>
      <w:numFmt w:val="lowerLetter"/>
      <w:start w:val="4"/>
    </w:lvl>
  </w:abstractNum>
  <w:abstractNum w:abstractNumId="100">
    <w:nsid w:val="5451CF49"/>
    <w:multiLevelType w:val="hybridMultilevel"/>
    <w:lvl w:ilvl="0">
      <w:lvlJc w:val="left"/>
      <w:lvlText w:val="(%1)"/>
      <w:numFmt w:val="lowerRoman"/>
      <w:start w:val="2"/>
    </w:lvl>
  </w:abstractNum>
  <w:abstractNum w:abstractNumId="101">
    <w:nsid w:val="6181EF69"/>
    <w:multiLevelType w:val="hybridMultilevel"/>
    <w:lvl w:ilvl="0">
      <w:lvlJc w:val="left"/>
      <w:lvlText w:val="%1."/>
      <w:numFmt w:val="upperLetter"/>
      <w:start w:val="9"/>
    </w:lvl>
  </w:abstractNum>
  <w:abstractNum w:abstractNumId="102">
    <w:nsid w:val="3E6400E6"/>
    <w:multiLevelType w:val="hybridMultilevel"/>
    <w:lvl w:ilvl="0">
      <w:lvlJc w:val="left"/>
      <w:lvlText w:val="%1."/>
      <w:numFmt w:val="upperLetter"/>
      <w:start w:val="35"/>
    </w:lvl>
  </w:abstractNum>
  <w:abstractNum w:abstractNumId="103">
    <w:nsid w:val="14217E23"/>
    <w:multiLevelType w:val="hybridMultilevel"/>
    <w:lvl w:ilvl="0">
      <w:lvlJc w:val="left"/>
      <w:lvlText w:val="(%1)"/>
      <w:numFmt w:val="lowerRoman"/>
      <w:start w:val="3"/>
    </w:lvl>
  </w:abstractNum>
  <w:abstractNum w:abstractNumId="104">
    <w:nsid w:val="710757D0"/>
    <w:multiLevelType w:val="hybridMultilevel"/>
    <w:lvl w:ilvl="0">
      <w:lvlJc w:val="left"/>
      <w:lvlText w:val="(%1)"/>
      <w:numFmt w:val="lowerLetter"/>
      <w:start w:val="5"/>
    </w:lvl>
  </w:abstractNum>
  <w:abstractNum w:abstractNumId="105">
    <w:nsid w:val="5015CD1A"/>
    <w:multiLevelType w:val="hybridMultilevel"/>
    <w:lvl w:ilvl="0">
      <w:lvlJc w:val="left"/>
      <w:lvlText w:val="(%1)"/>
      <w:numFmt w:val="lowerRoman"/>
      <w:start w:val="2"/>
    </w:lvl>
  </w:abstractNum>
  <w:abstractNum w:abstractNumId="106">
    <w:nsid w:val="424479DA"/>
    <w:multiLevelType w:val="hybridMultilevel"/>
    <w:lvl w:ilvl="0">
      <w:lvlJc w:val="left"/>
      <w:lvlText w:val="(%1)"/>
      <w:numFmt w:val="decimal"/>
      <w:start w:val="30"/>
    </w:lvl>
    <w:lvl w:ilvl="1">
      <w:lvlJc w:val="left"/>
      <w:lvlText w:val="(%2)"/>
      <w:numFmt w:val="lowerLetter"/>
      <w:start w:val="6"/>
    </w:lvl>
  </w:abstractNum>
  <w:abstractNum w:abstractNumId="107">
    <w:nsid w:val="1A9A9E69"/>
    <w:multiLevelType w:val="hybridMultilevel"/>
    <w:lvl w:ilvl="0">
      <w:lvlJc w:val="left"/>
      <w:lvlText w:val="(%1)"/>
      <w:numFmt w:val="lowerLetter"/>
      <w:start w:val="7"/>
    </w:lvl>
  </w:abstractNum>
  <w:abstractNum w:abstractNumId="108">
    <w:nsid w:val="475E256A"/>
    <w:multiLevelType w:val="hybridMultilevel"/>
    <w:lvl w:ilvl="0">
      <w:lvlJc w:val="left"/>
      <w:lvlText w:val="%1"/>
      <w:numFmt w:val="lowerRoman"/>
      <w:start w:val="1"/>
    </w:lvl>
    <w:lvl w:ilvl="1">
      <w:lvlJc w:val="left"/>
      <w:lvlText w:val="%2."/>
      <w:numFmt w:val="decimal"/>
      <w:start w:val="4"/>
    </w:lvl>
  </w:abstractNum>
  <w:abstractNum w:abstractNumId="109">
    <w:nsid w:val="368DB37E"/>
    <w:multiLevelType w:val="hybridMultilevel"/>
    <w:lvl w:ilvl="0">
      <w:lvlJc w:val="left"/>
      <w:lvlText w:val="(%1)"/>
      <w:numFmt w:val="lowerRoman"/>
      <w:start w:val="2"/>
    </w:lvl>
    <w:lvl w:ilvl="1">
      <w:lvlJc w:val="left"/>
      <w:lvlText w:val="%2"/>
      <w:numFmt w:val="decimal"/>
      <w:start w:val="1"/>
    </w:lvl>
  </w:abstractNum>
  <w:abstractNum w:abstractNumId="110">
    <w:nsid w:val="6A3B714C"/>
    <w:multiLevelType w:val="hybridMultilevel"/>
    <w:lvl w:ilvl="0">
      <w:lvlJc w:val="left"/>
      <w:lvlText w:val="(%1)"/>
      <w:numFmt w:val="decimal"/>
      <w:start w:val="2"/>
    </w:lvl>
    <w:lvl w:ilvl="1">
      <w:lvlJc w:val="left"/>
      <w:lvlText w:val="(%2)"/>
      <w:numFmt w:val="lowerLetter"/>
      <w:start w:val="2"/>
    </w:lvl>
  </w:abstractNum>
  <w:abstractNum w:abstractNumId="111">
    <w:nsid w:val="327B517E"/>
    <w:multiLevelType w:val="hybridMultilevel"/>
    <w:lvl w:ilvl="0">
      <w:lvlJc w:val="left"/>
      <w:lvlText w:val="%1."/>
      <w:numFmt w:val="decimal"/>
      <w:start w:val="6"/>
    </w:lvl>
  </w:abstractNum>
  <w:abstractNum w:abstractNumId="112">
    <w:nsid w:val="1F461B51"/>
    <w:multiLevelType w:val="hybridMultilevel"/>
    <w:lvl w:ilvl="0">
      <w:lvlJc w:val="left"/>
      <w:lvlText w:val="%1."/>
      <w:numFmt w:val="decimal"/>
      <w:start w:val="8"/>
    </w:lvl>
  </w:abstractNum>
  <w:abstractNum w:abstractNumId="113">
    <w:nsid w:val="29BACF25"/>
    <w:multiLevelType w:val="hybridMultilevel"/>
    <w:lvl w:ilvl="0">
      <w:lvlJc w:val="left"/>
      <w:lvlText w:val="(%1)"/>
      <w:numFmt w:val="lowerLetter"/>
      <w:start w:val="2"/>
    </w:lvl>
  </w:abstractNum>
  <w:abstractNum w:abstractNumId="114">
    <w:nsid w:val="5D5BABB3"/>
    <w:multiLevelType w:val="hybridMultilevel"/>
    <w:lvl w:ilvl="0">
      <w:lvlJc w:val="left"/>
      <w:lvlText w:val="%1."/>
      <w:numFmt w:val="decimal"/>
      <w:start w:val="11"/>
    </w:lvl>
  </w:abstractNum>
  <w:abstractNum w:abstractNumId="115">
    <w:nsid w:val="51BF6B48"/>
    <w:multiLevelType w:val="hybridMultilevel"/>
    <w:lvl w:ilvl="0">
      <w:lvlJc w:val="left"/>
      <w:lvlText w:val="%1."/>
      <w:numFmt w:val="decimal"/>
      <w:start w:val="12"/>
    </w:lvl>
  </w:abstractNum>
  <w:abstractNum w:abstractNumId="116">
    <w:nsid w:val="7E0F6384"/>
    <w:multiLevelType w:val="hybridMultilevel"/>
    <w:lvl w:ilvl="0">
      <w:lvlJc w:val="left"/>
      <w:lvlText w:val="%1."/>
      <w:numFmt w:val="decimal"/>
      <w:start w:val="14"/>
    </w:lvl>
  </w:abstractNum>
  <w:abstractNum w:abstractNumId="117">
    <w:nsid w:val="2B4B8B53"/>
    <w:multiLevelType w:val="hybridMultilevel"/>
    <w:lvl w:ilvl="0">
      <w:lvlJc w:val="left"/>
      <w:lvlText w:val="(%1)"/>
      <w:numFmt w:val="lowerLetter"/>
      <w:start w:val="2"/>
    </w:lvl>
  </w:abstractNum>
  <w:abstractNum w:abstractNumId="118">
    <w:nsid w:val="72E3413A"/>
    <w:multiLevelType w:val="hybridMultilevel"/>
    <w:lvl w:ilvl="0">
      <w:lvlJc w:val="left"/>
      <w:lvlText w:val="%1."/>
      <w:numFmt w:val="decimal"/>
      <w:start w:val="15"/>
    </w:lvl>
  </w:abstractNum>
  <w:abstractNum w:abstractNumId="119">
    <w:nsid w:val="116AE494"/>
    <w:multiLevelType w:val="hybridMultilevel"/>
    <w:lvl w:ilvl="0">
      <w:lvlJc w:val="left"/>
      <w:lvlText w:val="(%1)"/>
      <w:numFmt w:val="lowerLetter"/>
      <w:start w:val="2"/>
    </w:lvl>
  </w:abstractNum>
  <w:abstractNum w:abstractNumId="120">
    <w:nsid w:val="3494B2FB"/>
    <w:multiLevelType w:val="hybridMultilevel"/>
    <w:lvl w:ilvl="0">
      <w:lvlJc w:val="left"/>
      <w:lvlText w:val="(%1)"/>
      <w:numFmt w:val="lowerLetter"/>
      <w:start w:val="4"/>
    </w:lvl>
  </w:abstractNum>
  <w:abstractNum w:abstractNumId="121">
    <w:nsid w:val="B13A31"/>
    <w:multiLevelType w:val="hybridMultilevel"/>
    <w:lvl w:ilvl="0">
      <w:lvlJc w:val="left"/>
      <w:lvlText w:val="(%1)"/>
      <w:numFmt w:val="lowerLetter"/>
      <w:start w:val="10"/>
    </w:lvl>
  </w:abstractNum>
  <w:abstractNum w:abstractNumId="122">
    <w:nsid w:val="64429599"/>
    <w:multiLevelType w:val="hybridMultilevel"/>
    <w:lvl w:ilvl="0">
      <w:lvlJc w:val="left"/>
      <w:lvlText w:val="%1."/>
      <w:numFmt w:val="decimal"/>
      <w:start w:val="17"/>
    </w:lvl>
  </w:abstractNum>
  <w:abstractNum w:abstractNumId="123">
    <w:nsid w:val="631F1690"/>
    <w:multiLevelType w:val="hybridMultilevel"/>
    <w:lvl w:ilvl="0">
      <w:lvlJc w:val="left"/>
      <w:lvlText w:val="%1."/>
      <w:numFmt w:val="decimal"/>
      <w:start w:val="1"/>
    </w:lvl>
  </w:abstractNum>
  <w:abstractNum w:abstractNumId="124">
    <w:nsid w:val="25973E32"/>
    <w:multiLevelType w:val="hybridMultilevel"/>
    <w:lvl w:ilvl="0">
      <w:lvlJc w:val="left"/>
      <w:lvlText w:val="%1."/>
      <w:numFmt w:val="decimal"/>
      <w:start w:val="2"/>
    </w:lvl>
  </w:abstractNum>
  <w:abstractNum w:abstractNumId="125">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6">
    <w:nsid w:val="6EC9D84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7">
    <w:nsid w:val="5C49EAE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28">
    <w:nsid w:val="64AF49B"/>
    <w:multiLevelType w:val="hybridMultilevel"/>
    <w:lvl w:ilvl="0">
      <w:lvlJc w:val="left"/>
      <w:lvlText w:val="%1."/>
      <w:numFmt w:val="decimal"/>
      <w:start w:val="6"/>
    </w:lvl>
    <w:lvl w:ilvl="1">
      <w:lvlJc w:val="left"/>
      <w:lvlText w:val="%2."/>
      <w:numFmt w:val="lowerLetter"/>
      <w:start w:val="2"/>
    </w:lvl>
  </w:abstractNum>
  <w:abstractNum w:abstractNumId="129">
    <w:nsid w:val="397C46BC"/>
    <w:multiLevelType w:val="hybridMultilevel"/>
    <w:lvl w:ilvl="0">
      <w:lvlJc w:val="left"/>
      <w:lvlText w:val="%1."/>
      <w:numFmt w:val="decimal"/>
      <w:start w:val="7"/>
    </w:lvl>
  </w:abstractNum>
  <w:abstractNum w:abstractNumId="130">
    <w:nsid w:val="7E448DE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31">
    <w:nsid w:val="5A9CC3E5"/>
    <w:multiLevelType w:val="hybridMultilevel"/>
    <w:lvl w:ilvl="0">
      <w:lvlJc w:val="left"/>
      <w:lvlText w:val="(%1)"/>
      <w:numFmt w:val="decimal"/>
      <w:start w:val="7"/>
    </w:lvl>
  </w:abstractNum>
  <w:abstractNum w:abstractNumId="132">
    <w:nsid w:val="1AFE3625"/>
    <w:multiLevelType w:val="hybridMultilevel"/>
    <w:lvl w:ilvl="0">
      <w:lvlJc w:val="left"/>
      <w:lvlText w:val="%1."/>
      <w:numFmt w:val="decimal"/>
      <w:start w:val="17"/>
    </w:lvl>
  </w:abstractNum>
  <w:abstractNum w:abstractNumId="133">
    <w:nsid w:val="3CA88ECF"/>
    <w:multiLevelType w:val="hybridMultilevel"/>
    <w:lvl w:ilvl="0">
      <w:lvlJc w:val="left"/>
      <w:lvlText w:val="%1."/>
      <w:numFmt w:val="decimal"/>
      <w:start w:val="1"/>
    </w:lvl>
  </w:abstractNum>
  <w:abstractNum w:abstractNumId="134">
    <w:nsid w:val="6EBE4208"/>
    <w:multiLevelType w:val="hybridMultilevel"/>
    <w:lvl w:ilvl="0">
      <w:lvlJc w:val="left"/>
      <w:lvlText w:val="%1."/>
      <w:numFmt w:val="decimal"/>
      <w:start w:val="2"/>
    </w:lvl>
  </w:abstractNum>
  <w:abstractNum w:abstractNumId="135">
    <w:nsid w:val="C058DF5"/>
    <w:multiLevelType w:val="hybridMultilevel"/>
    <w:lvl w:ilvl="0">
      <w:lvlJc w:val="left"/>
      <w:lvlText w:val="(%1)"/>
      <w:numFmt w:val="lowerLetter"/>
      <w:start w:val="2"/>
    </w:lvl>
  </w:abstractNum>
  <w:abstractNum w:abstractNumId="136">
    <w:nsid w:val="CBE5BE9"/>
    <w:multiLevelType w:val="hybridMultilevel"/>
    <w:lvl w:ilvl="0">
      <w:lvlJc w:val="left"/>
      <w:lvlText w:val="(%1)"/>
      <w:numFmt w:val="lowerLetter"/>
      <w:start w:val="3"/>
    </w:lvl>
  </w:abstractNum>
  <w:abstractNum w:abstractNumId="137">
    <w:nsid w:val="3102BBE2"/>
    <w:multiLevelType w:val="hybridMultilevel"/>
    <w:lvl w:ilvl="0">
      <w:lvlJc w:val="left"/>
      <w:lvlText w:val="(%1)"/>
      <w:numFmt w:val="lowerRoman"/>
      <w:start w:val="1"/>
    </w:lvl>
  </w:abstractNum>
  <w:abstractNum w:abstractNumId="138">
    <w:nsid w:val="26A02C5E"/>
    <w:multiLevelType w:val="hybridMultilevel"/>
    <w:lvl w:ilvl="0">
      <w:lvlJc w:val="left"/>
      <w:lvlText w:val="(%1)"/>
      <w:numFmt w:val="lowerLetter"/>
      <w:start w:val="4"/>
    </w:lvl>
  </w:abstractNum>
  <w:abstractNum w:abstractNumId="139">
    <w:nsid w:val="541C8153"/>
    <w:multiLevelType w:val="hybridMultilevel"/>
    <w:lvl w:ilvl="0">
      <w:lvlJc w:val="left"/>
      <w:lvlText w:val="(%1)"/>
      <w:numFmt w:val="lowerRoman"/>
      <w:start w:val="2"/>
    </w:lvl>
  </w:abstractNum>
  <w:abstractNum w:abstractNumId="140">
    <w:nsid w:val="67906F60"/>
    <w:multiLevelType w:val="hybridMultilevel"/>
    <w:lvl w:ilvl="0">
      <w:lvlJc w:val="left"/>
      <w:lvlText w:val="%1."/>
      <w:numFmt w:val="upperLetter"/>
      <w:start w:val="9"/>
    </w:lvl>
  </w:abstractNum>
  <w:abstractNum w:abstractNumId="141">
    <w:nsid w:val="10DB9DAA"/>
    <w:multiLevelType w:val="hybridMultilevel"/>
    <w:lvl w:ilvl="0">
      <w:lvlJc w:val="left"/>
      <w:lvlText w:val="%1."/>
      <w:numFmt w:val="upperLetter"/>
      <w:start w:val="35"/>
    </w:lvl>
  </w:abstractNum>
  <w:abstractNum w:abstractNumId="142">
    <w:nsid w:val="697D2D2"/>
    <w:multiLevelType w:val="hybridMultilevel"/>
    <w:lvl w:ilvl="0">
      <w:lvlJc w:val="left"/>
      <w:lvlText w:val="(%1)"/>
      <w:numFmt w:val="lowerRoman"/>
      <w:start w:val="3"/>
    </w:lvl>
  </w:abstractNum>
  <w:abstractNum w:abstractNumId="143">
    <w:nsid w:val="6D68AB2"/>
    <w:multiLevelType w:val="hybridMultilevel"/>
    <w:lvl w:ilvl="0">
      <w:lvlJc w:val="left"/>
      <w:lvlText w:val="(%1)"/>
      <w:numFmt w:val="lowerRoman"/>
      <w:start w:val="4"/>
    </w:lvl>
  </w:abstractNum>
  <w:abstractNum w:abstractNumId="144">
    <w:nsid w:val="3A966CD0"/>
    <w:multiLevelType w:val="hybridMultilevel"/>
    <w:lvl w:ilvl="0">
      <w:lvlJc w:val="left"/>
      <w:lvlText w:val="(%1)"/>
      <w:numFmt w:val="lowerLetter"/>
      <w:start w:val="5"/>
    </w:lvl>
  </w:abstractNum>
  <w:abstractNum w:abstractNumId="145">
    <w:nsid w:val="63F37E85"/>
    <w:multiLevelType w:val="hybridMultilevel"/>
    <w:lvl w:ilvl="0">
      <w:lvlJc w:val="left"/>
      <w:lvlText w:val="(%1)"/>
      <w:numFmt w:val="decimal"/>
      <w:start w:val="90"/>
    </w:lvl>
    <w:lvl w:ilvl="1">
      <w:lvlJc w:val="left"/>
      <w:lvlText w:val="(%2)"/>
      <w:numFmt w:val="lowerLetter"/>
      <w:start w:val="6"/>
    </w:lvl>
  </w:abstractNum>
  <w:abstractNum w:abstractNumId="146">
    <w:nsid w:val="5895F5FA"/>
    <w:multiLevelType w:val="hybridMultilevel"/>
    <w:lvl w:ilvl="0">
      <w:lvlJc w:val="left"/>
      <w:lvlText w:val="(%1)"/>
      <w:numFmt w:val="lowerLetter"/>
      <w:start w:val="7"/>
    </w:lvl>
  </w:abstractNum>
  <w:abstractNum w:abstractNumId="147">
    <w:nsid w:val="38A5D054"/>
    <w:multiLevelType w:val="hybridMultilevel"/>
    <w:lvl w:ilvl="0">
      <w:lvlJc w:val="left"/>
      <w:lvlText w:val="(%1)"/>
      <w:numFmt w:val="lowerRoman"/>
      <w:start w:val="2"/>
    </w:lvl>
    <w:lvl w:ilvl="1">
      <w:lvlJc w:val="left"/>
      <w:lvlText w:val="%2."/>
      <w:numFmt w:val="decimal"/>
      <w:start w:val="4"/>
    </w:lvl>
  </w:abstractNum>
  <w:abstractNum w:abstractNumId="148">
    <w:nsid w:val="F3F09D8"/>
    <w:multiLevelType w:val="hybridMultilevel"/>
    <w:lvl w:ilvl="0">
      <w:lvlJc w:val="left"/>
      <w:lvlText w:val="%1"/>
      <w:numFmt w:val="lowerRoman"/>
      <w:start w:val="1"/>
    </w:lvl>
    <w:lvl w:ilvl="1">
      <w:lvlJc w:val="left"/>
      <w:lvlText w:val="%2."/>
      <w:numFmt w:val="decimal"/>
      <w:start w:val="5"/>
    </w:lvl>
  </w:abstractNum>
  <w:abstractNum w:abstractNumId="149">
    <w:nsid w:val="4B793735"/>
    <w:multiLevelType w:val="hybridMultilevel"/>
    <w:lvl w:ilvl="0">
      <w:lvlJc w:val="left"/>
      <w:lvlText w:val="(%1)"/>
      <w:numFmt w:val="lowerRoman"/>
      <w:start w:val="2"/>
    </w:lvl>
    <w:lvl w:ilvl="1">
      <w:lvlJc w:val="left"/>
      <w:lvlText w:val="%2"/>
      <w:numFmt w:val="decimal"/>
      <w:start w:val="1"/>
    </w:lvl>
  </w:abstractNum>
  <w:abstractNum w:abstractNumId="150">
    <w:nsid w:val="4A10B4E8"/>
    <w:multiLevelType w:val="hybridMultilevel"/>
    <w:lvl w:ilvl="0">
      <w:lvlJc w:val="left"/>
      <w:lvlText w:val="(%1)"/>
      <w:numFmt w:val="lowerLetter"/>
      <w:start w:val="2"/>
    </w:lvl>
  </w:abstractNum>
  <w:abstractNum w:abstractNumId="151">
    <w:nsid w:val="43D3BCD4"/>
    <w:multiLevelType w:val="hybridMultilevel"/>
    <w:lvl w:ilvl="0">
      <w:lvlJc w:val="left"/>
      <w:lvlText w:val="%1."/>
      <w:numFmt w:val="decimal"/>
      <w:start w:val="6"/>
    </w:lvl>
  </w:abstractNum>
  <w:abstractNum w:abstractNumId="152">
    <w:nsid w:val="4C2A7166"/>
    <w:multiLevelType w:val="hybridMultilevel"/>
    <w:lvl w:ilvl="0">
      <w:lvlJc w:val="left"/>
      <w:lvlText w:val="%1."/>
      <w:numFmt w:val="decimal"/>
      <w:start w:val="9"/>
    </w:lvl>
  </w:abstractNum>
  <w:abstractNum w:abstractNumId="153">
    <w:nsid w:val="2E534A82"/>
    <w:multiLevelType w:val="hybridMultilevel"/>
    <w:lvl w:ilvl="0">
      <w:lvlJc w:val="left"/>
      <w:lvlText w:val="(%1)"/>
      <w:numFmt w:val="lowerLetter"/>
      <w:start w:val="2"/>
    </w:lvl>
  </w:abstractNum>
  <w:abstractNum w:abstractNumId="154">
    <w:nsid w:val="26F2D364"/>
    <w:multiLevelType w:val="hybridMultilevel"/>
    <w:lvl w:ilvl="0">
      <w:lvlJc w:val="left"/>
      <w:lvlText w:val="(%1)"/>
      <w:numFmt w:val="lowerLetter"/>
      <w:start w:val="3"/>
    </w:lvl>
  </w:abstractNum>
  <w:abstractNum w:abstractNumId="155">
    <w:nsid w:val="71C1AF98"/>
    <w:multiLevelType w:val="hybridMultilevel"/>
    <w:lvl w:ilvl="0">
      <w:lvlJc w:val="left"/>
      <w:lvlText w:val="%1."/>
      <w:numFmt w:val="decimal"/>
      <w:start w:val="11"/>
    </w:lvl>
  </w:abstractNum>
  <w:abstractNum w:abstractNumId="156">
    <w:nsid w:val="3D00B9D9"/>
    <w:multiLevelType w:val="hybridMultilevel"/>
    <w:lvl w:ilvl="0">
      <w:lvlJc w:val="left"/>
      <w:lvlText w:val="%1."/>
      <w:numFmt w:val="decimal"/>
      <w:start w:val="13"/>
    </w:lvl>
  </w:abstractNum>
  <w:abstractNum w:abstractNumId="157">
    <w:nsid w:val="15BCABA8"/>
    <w:multiLevelType w:val="hybridMultilevel"/>
    <w:lvl w:ilvl="0">
      <w:lvlJc w:val="left"/>
      <w:lvlText w:val="(%1)"/>
      <w:numFmt w:val="lowerLetter"/>
      <w:start w:val="2"/>
    </w:lvl>
  </w:abstractNum>
  <w:abstractNum w:abstractNumId="158">
    <w:nsid w:val="4E0B9A87"/>
    <w:multiLevelType w:val="hybridMultilevel"/>
    <w:lvl w:ilvl="0">
      <w:lvlJc w:val="left"/>
      <w:lvlText w:val="%1."/>
      <w:numFmt w:val="decimal"/>
      <w:start w:val="15"/>
    </w:lvl>
  </w:abstractNum>
  <w:abstractNum w:abstractNumId="159">
    <w:nsid w:val="434BAE75"/>
    <w:multiLevelType w:val="hybridMultilevel"/>
    <w:lvl w:ilvl="0">
      <w:lvlJc w:val="left"/>
      <w:lvlText w:val="(%1)"/>
      <w:numFmt w:val="lowerLetter"/>
      <w:start w:val="2"/>
    </w:lvl>
  </w:abstractNum>
  <w:abstractNum w:abstractNumId="160">
    <w:nsid w:val="4F38F265"/>
    <w:multiLevelType w:val="hybridMultilevel"/>
    <w:lvl w:ilvl="0">
      <w:lvlJc w:val="left"/>
      <w:lvlText w:val="(%1)"/>
      <w:numFmt w:val="lowerLetter"/>
      <w:start w:val="6"/>
    </w:lvl>
  </w:abstractNum>
  <w:abstractNum w:abstractNumId="161">
    <w:nsid w:val="4C502870"/>
    <w:multiLevelType w:val="hybridMultilevel"/>
    <w:lvl w:ilvl="0">
      <w:lvlJc w:val="left"/>
      <w:lvlText w:val="%1."/>
      <w:numFmt w:val="decimal"/>
      <w:start w:val="17"/>
    </w:lvl>
  </w:abstractNum>
  <w:abstractNum w:abstractNumId="162">
    <w:nsid w:val="1DE8725A"/>
    <w:multiLevelType w:val="hybridMultilevel"/>
    <w:lvl w:ilvl="0">
      <w:lvlJc w:val="left"/>
      <w:lvlText w:val="%1."/>
      <w:numFmt w:val="decimal"/>
      <w:start w:val="1"/>
    </w:lvl>
  </w:abstractNum>
  <w:abstractNum w:abstractNumId="163">
    <w:nsid w:val="6A37288A"/>
    <w:multiLevelType w:val="hybridMultilevel"/>
    <w:lvl w:ilvl="0">
      <w:lvlJc w:val="left"/>
      <w:lvlText w:val="%1."/>
      <w:numFmt w:val="decimal"/>
      <w:start w:val="2"/>
    </w:lvl>
  </w:abstractNum>
  <w:abstractNum w:abstractNumId="164">
    <w:nsid w:val="8F8B73F"/>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2"/>
    </w:lvl>
  </w:abstractNum>
  <w:abstractNum w:abstractNumId="165">
    <w:nsid w:val="CA6B462"/>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2"/>
    </w:lvl>
  </w:abstractNum>
  <w:abstractNum w:abstractNumId="166">
    <w:nsid w:val="763CB680"/>
    <w:multiLevelType w:val="hybridMultilevel"/>
    <w:lvl w:ilvl="0">
      <w:lvlJc w:val="left"/>
      <w:lvlText w:val="%1."/>
      <w:numFmt w:val="decimal"/>
      <w:start w:val="7"/>
    </w:lvl>
  </w:abstractNum>
  <w:abstractNum w:abstractNumId="167">
    <w:nsid w:val="15B71329"/>
    <w:multiLevelType w:val="hybridMultilevel"/>
    <w:lvl w:ilvl="0">
      <w:lvlJc w:val="left"/>
      <w:lvlText w:val="%1."/>
      <w:numFmt w:val="decimal"/>
      <w:start w:val="9"/>
    </w:lvl>
    <w:lvl w:ilvl="1">
      <w:lvlJc w:val="left"/>
      <w:lvlText w:val="%2."/>
      <w:numFmt w:val="lowerLetter"/>
      <w:start w:val="2"/>
    </w:lvl>
    <w:lvl w:ilvl="2">
      <w:lvlJc w:val="left"/>
      <w:lvlText w:val="%3."/>
      <w:numFmt w:val="lowerLetter"/>
      <w:start w:val="2"/>
    </w:lvl>
  </w:abstractNum>
  <w:abstractNum w:abstractNumId="168">
    <w:nsid w:val="3DA97044"/>
    <w:multiLevelType w:val="hybridMultilevel"/>
    <w:lvl w:ilvl="0">
      <w:lvlJc w:val="left"/>
      <w:lvlText w:val="%1."/>
      <w:numFmt w:val="decimal"/>
      <w:start w:val="15"/>
    </w:lvl>
  </w:abstractNum>
  <w:abstractNum w:abstractNumId="169">
    <w:nsid w:val="1CDCE2DE"/>
    <w:multiLevelType w:val="hybridMultilevel"/>
    <w:lvl w:ilvl="0">
      <w:lvlJc w:val="left"/>
      <w:lvlText w:val="%1."/>
      <w:numFmt w:val="decimal"/>
      <w:start w:val="17"/>
    </w:lvl>
  </w:abstractNum>
  <w:abstractNum w:abstractNumId="170">
    <w:nsid w:val="69D3947C"/>
    <w:multiLevelType w:val="hybridMultilevel"/>
    <w:lvl w:ilvl="0">
      <w:lvlJc w:val="left"/>
      <w:lvlText w:val="%1."/>
      <w:numFmt w:val="decimal"/>
      <w:start w:val="1"/>
    </w:lvl>
  </w:abstractNum>
  <w:abstractNum w:abstractNumId="171">
    <w:nsid w:val="2539DFA5"/>
    <w:multiLevelType w:val="hybridMultilevel"/>
    <w:lvl w:ilvl="0">
      <w:lvlJc w:val="left"/>
      <w:lvlText w:val="%1."/>
      <w:numFmt w:val="decimal"/>
      <w:start w:val="2"/>
    </w:lvl>
  </w:abstractNum>
  <w:abstractNum w:abstractNumId="172">
    <w:nsid w:val="2DB88089"/>
    <w:multiLevelType w:val="hybridMultilevel"/>
    <w:lvl w:ilvl="0">
      <w:lvlJc w:val="left"/>
      <w:lvlText w:val="(%1)"/>
      <w:numFmt w:val="lowerLetter"/>
      <w:start w:val="2"/>
    </w:lvl>
  </w:abstractNum>
  <w:abstractNum w:abstractNumId="173">
    <w:nsid w:val="706B674E"/>
    <w:multiLevelType w:val="hybridMultilevel"/>
    <w:lvl w:ilvl="0">
      <w:lvlJc w:val="left"/>
      <w:lvlText w:val="(%1)"/>
      <w:numFmt w:val="lowerRoman"/>
      <w:start w:val="1"/>
    </w:lvl>
  </w:abstractNum>
  <w:abstractNum w:abstractNumId="174">
    <w:nsid w:val="2C106A57"/>
    <w:multiLevelType w:val="hybridMultilevel"/>
    <w:lvl w:ilvl="0">
      <w:lvlJc w:val="left"/>
      <w:lvlText w:val="(%1)"/>
      <w:numFmt w:val="lowerRoman"/>
      <w:start w:val="3"/>
    </w:lvl>
  </w:abstractNum>
  <w:abstractNum w:abstractNumId="175">
    <w:nsid w:val="684EED59"/>
    <w:multiLevelType w:val="hybridMultilevel"/>
    <w:lvl w:ilvl="0">
      <w:lvlJc w:val="left"/>
      <w:lvlText w:val="(%1)"/>
      <w:numFmt w:val="lowerLetter"/>
      <w:start w:val="4"/>
    </w:lvl>
  </w:abstractNum>
  <w:abstractNum w:abstractNumId="176">
    <w:nsid w:val="545EE5D3"/>
    <w:multiLevelType w:val="hybridMultilevel"/>
    <w:lvl w:ilvl="0">
      <w:lvlJc w:val="left"/>
      <w:lvlText w:val="(%1)"/>
      <w:numFmt w:val="lowerRoman"/>
      <w:start w:val="2"/>
    </w:lvl>
  </w:abstractNum>
  <w:abstractNum w:abstractNumId="177">
    <w:nsid w:val="4A66051"/>
    <w:multiLevelType w:val="hybridMultilevel"/>
    <w:lvl w:ilvl="0">
      <w:lvlJc w:val="left"/>
      <w:lvlText w:val="%1."/>
      <w:numFmt w:val="upperLetter"/>
      <w:start w:val="9"/>
    </w:lvl>
  </w:abstractNum>
  <w:abstractNum w:abstractNumId="178">
    <w:nsid w:val="20F4BDAD"/>
    <w:multiLevelType w:val="hybridMultilevel"/>
    <w:lvl w:ilvl="0">
      <w:lvlJc w:val="left"/>
      <w:lvlText w:val="%1."/>
      <w:numFmt w:val="upperLetter"/>
      <w:start w:val="35"/>
    </w:lvl>
  </w:abstractNum>
  <w:abstractNum w:abstractNumId="179">
    <w:nsid w:val="639DEFAC"/>
    <w:multiLevelType w:val="hybridMultilevel"/>
    <w:lvl w:ilvl="0">
      <w:lvlJc w:val="left"/>
      <w:lvlText w:val="(%1)"/>
      <w:numFmt w:val="lowerRoman"/>
      <w:start w:val="3"/>
    </w:lvl>
  </w:abstractNum>
  <w:abstractNum w:abstractNumId="180">
    <w:nsid w:val="501F9786"/>
    <w:multiLevelType w:val="hybridMultilevel"/>
    <w:lvl w:ilvl="0">
      <w:lvlJc w:val="left"/>
      <w:lvlText w:val="(%1)"/>
      <w:numFmt w:val="lowerLetter"/>
      <w:start w:val="5"/>
    </w:lvl>
  </w:abstractNum>
  <w:abstractNum w:abstractNumId="181">
    <w:nsid w:val="6B057295"/>
    <w:multiLevelType w:val="hybridMultilevel"/>
    <w:lvl w:ilvl="0">
      <w:lvlJc w:val="left"/>
      <w:lvlText w:val="(%1)"/>
      <w:numFmt w:val="lowerRoman"/>
      <w:start w:val="2"/>
    </w:lvl>
  </w:abstractNum>
  <w:abstractNum w:abstractNumId="182">
    <w:nsid w:val="2771AC80"/>
    <w:multiLevelType w:val="hybridMultilevel"/>
    <w:lvl w:ilvl="0">
      <w:lvlJc w:val="left"/>
      <w:lvlText w:val="(%1)"/>
      <w:numFmt w:val="decimal"/>
      <w:start w:val="30"/>
    </w:lvl>
    <w:lvl w:ilvl="1">
      <w:lvlJc w:val="left"/>
      <w:lvlText w:val="(%2)"/>
      <w:numFmt w:val="lowerLetter"/>
      <w:start w:val="6"/>
    </w:lvl>
  </w:abstractNum>
  <w:abstractNum w:abstractNumId="183">
    <w:nsid w:val="1C4A08EC"/>
    <w:multiLevelType w:val="hybridMultilevel"/>
    <w:lvl w:ilvl="0">
      <w:lvlJc w:val="left"/>
      <w:lvlText w:val="(%1)"/>
      <w:numFmt w:val="lowerLetter"/>
      <w:start w:val="7"/>
    </w:lvl>
  </w:abstractNum>
  <w:abstractNum w:abstractNumId="184">
    <w:nsid w:val="1958BD17"/>
    <w:multiLevelType w:val="hybridMultilevel"/>
    <w:lvl w:ilvl="0">
      <w:lvlJc w:val="left"/>
      <w:lvlText w:val="%1."/>
      <w:numFmt w:val="decimal"/>
      <w:start w:val="4"/>
    </w:lvl>
  </w:abstractNum>
  <w:abstractNum w:abstractNumId="185">
    <w:nsid w:val="4E647FE4"/>
    <w:multiLevelType w:val="hybridMultilevel"/>
    <w:lvl w:ilvl="0">
      <w:lvlJc w:val="left"/>
      <w:lvlText w:val="%1"/>
      <w:numFmt w:val="lowerRoman"/>
      <w:start w:val="1"/>
    </w:lvl>
    <w:lvl w:ilvl="1">
      <w:lvlJc w:val="left"/>
      <w:lvlText w:val="%2."/>
      <w:numFmt w:val="decimal"/>
      <w:start w:val="5"/>
    </w:lvl>
  </w:abstractNum>
  <w:abstractNum w:abstractNumId="186">
    <w:nsid w:val="E0BB885"/>
    <w:multiLevelType w:val="hybridMultilevel"/>
    <w:lvl w:ilvl="0">
      <w:lvlJc w:val="left"/>
      <w:lvlText w:val="(%1)"/>
      <w:numFmt w:val="lowerRoman"/>
      <w:start w:val="2"/>
    </w:lvl>
    <w:lvl w:ilvl="1">
      <w:lvlJc w:val="left"/>
      <w:lvlText w:val="%2"/>
      <w:numFmt w:val="decimal"/>
      <w:start w:val="1"/>
    </w:lvl>
  </w:abstractNum>
  <w:abstractNum w:abstractNumId="187">
    <w:nsid w:val="565976F1"/>
    <w:multiLevelType w:val="hybridMultilevel"/>
    <w:lvl w:ilvl="0">
      <w:lvlJc w:val="left"/>
      <w:lvlText w:val="(%1)"/>
      <w:numFmt w:val="lowerLetter"/>
      <w:start w:val="2"/>
    </w:lvl>
  </w:abstractNum>
  <w:abstractNum w:abstractNumId="188">
    <w:nsid w:val="64212B8C"/>
    <w:multiLevelType w:val="hybridMultilevel"/>
    <w:lvl w:ilvl="0">
      <w:lvlJc w:val="left"/>
      <w:lvlText w:val="%1."/>
      <w:numFmt w:val="decimal"/>
      <w:start w:val="6"/>
    </w:lvl>
  </w:abstractNum>
  <w:abstractNum w:abstractNumId="189">
    <w:nsid w:val="5C17530C"/>
    <w:multiLevelType w:val="hybridMultilevel"/>
    <w:lvl w:ilvl="0">
      <w:lvlJc w:val="left"/>
      <w:lvlText w:val="%1."/>
      <w:numFmt w:val="decimal"/>
      <w:start w:val="9"/>
    </w:lvl>
  </w:abstractNum>
  <w:abstractNum w:abstractNumId="190">
    <w:nsid w:val="19A52566"/>
    <w:multiLevelType w:val="hybridMultilevel"/>
    <w:lvl w:ilvl="0">
      <w:lvlJc w:val="left"/>
      <w:lvlText w:val="(%1)"/>
      <w:numFmt w:val="lowerLetter"/>
      <w:start w:val="2"/>
    </w:lvl>
  </w:abstractNum>
  <w:abstractNum w:abstractNumId="191">
    <w:nsid w:val="335A1DF1"/>
    <w:multiLevelType w:val="hybridMultilevel"/>
    <w:lvl w:ilvl="0">
      <w:lvlJc w:val="left"/>
      <w:lvlText w:val="%1."/>
      <w:numFmt w:val="decimal"/>
      <w:start w:val="11"/>
    </w:lvl>
  </w:abstractNum>
  <w:abstractNum w:abstractNumId="192">
    <w:nsid w:val="28677B7C"/>
    <w:multiLevelType w:val="hybridMultilevel"/>
    <w:lvl w:ilvl="0">
      <w:lvlJc w:val="left"/>
      <w:lvlText w:val="%1."/>
      <w:numFmt w:val="decimal"/>
      <w:start w:val="12"/>
    </w:lvl>
  </w:abstractNum>
  <w:abstractNum w:abstractNumId="193">
    <w:nsid w:val="378D97C0"/>
    <w:multiLevelType w:val="hybridMultilevel"/>
    <w:lvl w:ilvl="0">
      <w:lvlJc w:val="left"/>
      <w:lvlText w:val="(%1)"/>
      <w:numFmt w:val="lowerLetter"/>
      <w:start w:val="2"/>
    </w:lvl>
  </w:abstractNum>
  <w:abstractNum w:abstractNumId="194">
    <w:nsid w:val="1D91467C"/>
    <w:multiLevelType w:val="hybridMultilevel"/>
    <w:lvl w:ilvl="0">
      <w:lvlJc w:val="left"/>
      <w:lvlText w:val="%1."/>
      <w:numFmt w:val="decimal"/>
      <w:start w:val="15"/>
    </w:lvl>
  </w:abstractNum>
  <w:abstractNum w:abstractNumId="195">
    <w:nsid w:val="316032BB"/>
    <w:multiLevelType w:val="hybridMultilevel"/>
    <w:lvl w:ilvl="0">
      <w:lvlJc w:val="left"/>
      <w:lvlText w:val="(%1)"/>
      <w:numFmt w:val="lowerLetter"/>
      <w:start w:val="2"/>
    </w:lvl>
  </w:abstractNum>
  <w:abstractNum w:abstractNumId="196">
    <w:nsid w:val="44344C22"/>
    <w:multiLevelType w:val="hybridMultilevel"/>
    <w:lvl w:ilvl="0">
      <w:lvlJc w:val="left"/>
      <w:lvlText w:val="(%1)"/>
      <w:numFmt w:val="lowerLetter"/>
      <w:start w:val="5"/>
    </w:lvl>
  </w:abstractNum>
  <w:abstractNum w:abstractNumId="197">
    <w:nsid w:val="13CDFCFC"/>
    <w:multiLevelType w:val="hybridMultilevel"/>
    <w:lvl w:ilvl="0">
      <w:lvlJc w:val="left"/>
      <w:lvlText w:val="(%1)"/>
      <w:numFmt w:val="lowerLetter"/>
      <w:start w:val="11"/>
    </w:lvl>
  </w:abstractNum>
  <w:abstractNum w:abstractNumId="198">
    <w:nsid w:val="471745E4"/>
    <w:multiLevelType w:val="hybridMultilevel"/>
    <w:lvl w:ilvl="0">
      <w:lvlJc w:val="left"/>
      <w:lvlText w:val="%1."/>
      <w:numFmt w:val="decimal"/>
      <w:start w:val="17"/>
    </w:lvl>
  </w:abstractNum>
  <w:abstractNum w:abstractNumId="199">
    <w:nsid w:val="1DDBC66"/>
    <w:multiLevelType w:val="hybridMultilevel"/>
    <w:lvl w:ilvl="0">
      <w:lvlJc w:val="left"/>
      <w:lvlText w:val="%1."/>
      <w:numFmt w:val="decimal"/>
      <w:start w:val="1"/>
    </w:lvl>
  </w:abstractNum>
  <w:abstractNum w:abstractNumId="200">
    <w:nsid w:val="30AADFDA"/>
    <w:multiLevelType w:val="hybridMultilevel"/>
    <w:lvl w:ilvl="0">
      <w:lvlJc w:val="left"/>
      <w:lvlText w:val="%1."/>
      <w:numFmt w:val="decimal"/>
      <w:start w:val="2"/>
    </w:lvl>
  </w:abstractNum>
  <w:abstractNum w:abstractNumId="201">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02">
    <w:nsid w:val="27179C0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3">
    <w:nsid w:val="5E63606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04">
    <w:nsid w:val="215641AF"/>
    <w:multiLevelType w:val="hybridMultilevel"/>
    <w:lvl w:ilvl="0">
      <w:lvlJc w:val="left"/>
      <w:lvlText w:val="%1."/>
      <w:numFmt w:val="decimal"/>
      <w:start w:val="6"/>
    </w:lvl>
    <w:lvl w:ilvl="1">
      <w:lvlJc w:val="left"/>
      <w:lvlText w:val="%2."/>
      <w:numFmt w:val="lowerLetter"/>
      <w:start w:val="2"/>
    </w:lvl>
  </w:abstractNum>
  <w:abstractNum w:abstractNumId="205">
    <w:nsid w:val="53280662"/>
    <w:multiLevelType w:val="hybridMultilevel"/>
    <w:lvl w:ilvl="0">
      <w:lvlJc w:val="left"/>
      <w:lvlText w:val="%1."/>
      <w:numFmt w:val="decimal"/>
      <w:start w:val="7"/>
    </w:lvl>
  </w:abstractNum>
  <w:abstractNum w:abstractNumId="206">
    <w:nsid w:val="46B24DBC"/>
    <w:multiLevelType w:val="hybridMultilevel"/>
    <w:lvl w:ilvl="0">
      <w:lvlJc w:val="left"/>
      <w:lvlText w:val="%1."/>
      <w:numFmt w:val="decimal"/>
      <w:start w:val="10"/>
    </w:lvl>
    <w:lvl w:ilvl="1">
      <w:lvlJc w:val="left"/>
      <w:lvlText w:val="%2"/>
      <w:numFmt w:val="lowerLetter"/>
      <w:start w:val="1"/>
    </w:lvl>
  </w:abstractNum>
  <w:abstractNum w:abstractNumId="207">
    <w:nsid w:val="75B52783"/>
    <w:multiLevelType w:val="hybridMultilevel"/>
    <w:lvl w:ilvl="0">
      <w:lvlJc w:val="left"/>
      <w:lvlText w:val="(%1)"/>
      <w:numFmt w:val="decimal"/>
      <w:start w:val="7"/>
    </w:lvl>
  </w:abstractNum>
  <w:abstractNum w:abstractNumId="208">
    <w:nsid w:val="57CE66B4"/>
    <w:multiLevelType w:val="hybridMultilevel"/>
    <w:lvl w:ilvl="0">
      <w:lvlJc w:val="left"/>
      <w:lvlText w:val="%1."/>
      <w:numFmt w:val="decimal"/>
      <w:start w:val="17"/>
    </w:lvl>
  </w:abstractNum>
  <w:abstractNum w:abstractNumId="209">
    <w:nsid w:val="67A70B69"/>
    <w:multiLevelType w:val="hybridMultilevel"/>
    <w:lvl w:ilvl="0">
      <w:lvlJc w:val="left"/>
      <w:lvlText w:val="%1."/>
      <w:numFmt w:val="decimal"/>
      <w:start w:val="1"/>
    </w:lvl>
  </w:abstractNum>
  <w:abstractNum w:abstractNumId="210">
    <w:nsid w:val="5953172F"/>
    <w:multiLevelType w:val="hybridMultilevel"/>
    <w:lvl w:ilvl="0">
      <w:lvlJc w:val="left"/>
      <w:lvlText w:val="%1."/>
      <w:numFmt w:val="decimal"/>
      <w:start w:val="2"/>
    </w:lvl>
  </w:abstractNum>
  <w:abstractNum w:abstractNumId="211">
    <w:nsid w:val="27EDFE3A"/>
    <w:multiLevelType w:val="hybridMultilevel"/>
    <w:lvl w:ilvl="0">
      <w:lvlJc w:val="left"/>
      <w:lvlText w:val="%1"/>
      <w:numFmt w:val="lowerLetter"/>
      <w:start w:val="1"/>
    </w:lvl>
    <w:lvl w:ilvl="1">
      <w:lvlJc w:val="left"/>
      <w:lvlText w:val="(%2)"/>
      <w:numFmt w:val="lowerLetter"/>
      <w:start w:val="2"/>
    </w:lvl>
  </w:abstractNum>
  <w:abstractNum w:abstractNumId="212">
    <w:nsid w:val="52AC7DFF"/>
    <w:multiLevelType w:val="hybridMultilevel"/>
    <w:lvl w:ilvl="0">
      <w:lvlJc w:val="left"/>
      <w:lvlText w:val="(%1)"/>
      <w:numFmt w:val="lowerLetter"/>
      <w:start w:val="61"/>
    </w:lvl>
    <w:lvl w:ilvl="1">
      <w:lvlJc w:val="left"/>
      <w:lvlText w:val="(%2)"/>
      <w:numFmt w:val="lowerLetter"/>
      <w:start w:val="3"/>
    </w:lvl>
  </w:abstractNum>
  <w:abstractNum w:abstractNumId="213">
    <w:nsid w:val="C4C3AF"/>
    <w:multiLevelType w:val="hybridMultilevel"/>
    <w:lvl w:ilvl="0">
      <w:lvlJc w:val="left"/>
      <w:lvlText w:val="(%1)"/>
      <w:numFmt w:val="lowerRoman"/>
      <w:start w:val="1"/>
    </w:lvl>
  </w:abstractNum>
  <w:abstractNum w:abstractNumId="214">
    <w:nsid w:val="44380727"/>
    <w:multiLevelType w:val="hybridMultilevel"/>
    <w:lvl w:ilvl="0">
      <w:lvlJc w:val="left"/>
      <w:lvlText w:val="(%1)"/>
      <w:numFmt w:val="lowerRoman"/>
      <w:start w:val="3"/>
    </w:lvl>
  </w:abstractNum>
  <w:abstractNum w:abstractNumId="215">
    <w:nsid w:val="6C053B16"/>
    <w:multiLevelType w:val="hybridMultilevel"/>
    <w:lvl w:ilvl="0">
      <w:lvlJc w:val="left"/>
      <w:lvlText w:val="(%1)"/>
      <w:numFmt w:val="lowerLetter"/>
      <w:start w:val="4"/>
    </w:lvl>
  </w:abstractNum>
  <w:abstractNum w:abstractNumId="216">
    <w:nsid w:val="4F294393"/>
    <w:multiLevelType w:val="hybridMultilevel"/>
    <w:lvl w:ilvl="0">
      <w:lvlJc w:val="left"/>
      <w:lvlText w:val="(%1)"/>
      <w:numFmt w:val="lowerRoman"/>
      <w:start w:val="2"/>
    </w:lvl>
  </w:abstractNum>
  <w:abstractNum w:abstractNumId="217">
    <w:nsid w:val="5243BFAC"/>
    <w:multiLevelType w:val="hybridMultilevel"/>
    <w:lvl w:ilvl="0">
      <w:lvlJc w:val="left"/>
      <w:lvlText w:val="%1."/>
      <w:numFmt w:val="upperLetter"/>
      <w:start w:val="9"/>
    </w:lvl>
  </w:abstractNum>
  <w:abstractNum w:abstractNumId="218">
    <w:nsid w:val="425EB207"/>
    <w:multiLevelType w:val="hybridMultilevel"/>
    <w:lvl w:ilvl="0">
      <w:lvlJc w:val="left"/>
      <w:lvlText w:val="%1."/>
      <w:numFmt w:val="upperLetter"/>
      <w:start w:val="35"/>
    </w:lvl>
  </w:abstractNum>
  <w:abstractNum w:abstractNumId="219">
    <w:nsid w:val="334A6F1F"/>
    <w:multiLevelType w:val="hybridMultilevel"/>
    <w:lvl w:ilvl="0">
      <w:lvlJc w:val="left"/>
      <w:lvlText w:val="(%1)"/>
      <w:numFmt w:val="lowerRoman"/>
      <w:start w:val="3"/>
    </w:lvl>
  </w:abstractNum>
  <w:abstractNum w:abstractNumId="220">
    <w:nsid w:val="2E5B12B8"/>
    <w:multiLevelType w:val="hybridMultilevel"/>
    <w:lvl w:ilvl="0">
      <w:lvlJc w:val="left"/>
      <w:lvlText w:val="(%1)"/>
      <w:numFmt w:val="lowerLetter"/>
      <w:start w:val="5"/>
    </w:lvl>
  </w:abstractNum>
  <w:abstractNum w:abstractNumId="221">
    <w:nsid w:val="5C03D76D"/>
    <w:multiLevelType w:val="hybridMultilevel"/>
    <w:lvl w:ilvl="0">
      <w:lvlJc w:val="left"/>
      <w:lvlText w:val="(%1)"/>
      <w:numFmt w:val="lowerRoman"/>
      <w:start w:val="2"/>
    </w:lvl>
  </w:abstractNum>
  <w:abstractNum w:abstractNumId="222">
    <w:nsid w:val="66A48D11"/>
    <w:multiLevelType w:val="hybridMultilevel"/>
    <w:lvl w:ilvl="0">
      <w:lvlJc w:val="left"/>
      <w:lvlText w:val="(%1)"/>
      <w:numFmt w:val="decimal"/>
      <w:start w:val="30"/>
    </w:lvl>
    <w:lvl w:ilvl="1">
      <w:lvlJc w:val="left"/>
      <w:lvlText w:val="(%2)"/>
      <w:numFmt w:val="lowerLetter"/>
      <w:start w:val="6"/>
    </w:lvl>
  </w:abstractNum>
  <w:abstractNum w:abstractNumId="223">
    <w:nsid w:val="56C28E34"/>
    <w:multiLevelType w:val="hybridMultilevel"/>
    <w:lvl w:ilvl="0">
      <w:lvlJc w:val="left"/>
      <w:lvlText w:val="(%1)"/>
      <w:numFmt w:val="lowerLetter"/>
      <w:start w:val="7"/>
    </w:lvl>
  </w:abstractNum>
  <w:abstractNum w:abstractNumId="224">
    <w:nsid w:val="13916F2D"/>
    <w:multiLevelType w:val="hybridMultilevel"/>
    <w:lvl w:ilvl="0">
      <w:lvlJc w:val="left"/>
      <w:lvlText w:val="%1."/>
      <w:numFmt w:val="decimal"/>
      <w:start w:val="4"/>
    </w:lvl>
  </w:abstractNum>
  <w:abstractNum w:abstractNumId="225">
    <w:nsid w:val="435D38D"/>
    <w:multiLevelType w:val="hybridMultilevel"/>
    <w:lvl w:ilvl="0">
      <w:lvlJc w:val="left"/>
      <w:lvlText w:val="%1"/>
      <w:numFmt w:val="lowerRoman"/>
      <w:start w:val="1"/>
    </w:lvl>
    <w:lvl w:ilvl="1">
      <w:lvlJc w:val="left"/>
      <w:lvlText w:val="%2."/>
      <w:numFmt w:val="decimal"/>
      <w:start w:val="5"/>
    </w:lvl>
  </w:abstractNum>
  <w:abstractNum w:abstractNumId="226">
    <w:nsid w:val="822C0EF"/>
    <w:multiLevelType w:val="hybridMultilevel"/>
    <w:lvl w:ilvl="0">
      <w:lvlJc w:val="left"/>
      <w:lvlText w:val="(%1)"/>
      <w:numFmt w:val="lowerRoman"/>
      <w:start w:val="2"/>
    </w:lvl>
    <w:lvl w:ilvl="1">
      <w:lvlJc w:val="left"/>
      <w:lvlText w:val="%2"/>
      <w:numFmt w:val="decimal"/>
      <w:start w:val="1"/>
    </w:lvl>
  </w:abstractNum>
  <w:abstractNum w:abstractNumId="227">
    <w:nsid w:val="57C5BB4F"/>
    <w:multiLevelType w:val="hybridMultilevel"/>
    <w:lvl w:ilvl="0">
      <w:lvlJc w:val="left"/>
      <w:lvlText w:val="(%1)"/>
      <w:numFmt w:val="lowerLetter"/>
      <w:start w:val="2"/>
    </w:lvl>
  </w:abstractNum>
  <w:abstractNum w:abstractNumId="228">
    <w:nsid w:val="1803D089"/>
    <w:multiLevelType w:val="hybridMultilevel"/>
    <w:lvl w:ilvl="0">
      <w:lvlJc w:val="left"/>
      <w:lvlText w:val="%1."/>
      <w:numFmt w:val="decimal"/>
      <w:start w:val="6"/>
    </w:lvl>
  </w:abstractNum>
  <w:abstractNum w:abstractNumId="229">
    <w:nsid w:val="4F3A06D4"/>
    <w:multiLevelType w:val="hybridMultilevel"/>
    <w:lvl w:ilvl="0">
      <w:lvlJc w:val="left"/>
      <w:lvlText w:val="%1."/>
      <w:numFmt w:val="decimal"/>
      <w:start w:val="9"/>
    </w:lvl>
  </w:abstractNum>
  <w:abstractNum w:abstractNumId="230">
    <w:nsid w:val="59A377B6"/>
    <w:multiLevelType w:val="hybridMultilevel"/>
    <w:lvl w:ilvl="0">
      <w:lvlJc w:val="left"/>
      <w:lvlText w:val="(%1)"/>
      <w:numFmt w:val="lowerLetter"/>
      <w:start w:val="2"/>
    </w:lvl>
  </w:abstractNum>
  <w:abstractNum w:abstractNumId="231">
    <w:nsid w:val="48AEB063"/>
    <w:multiLevelType w:val="hybridMultilevel"/>
    <w:lvl w:ilvl="0">
      <w:lvlJc w:val="left"/>
      <w:lvlText w:val="%1."/>
      <w:numFmt w:val="decimal"/>
      <w:start w:val="11"/>
    </w:lvl>
  </w:abstractNum>
  <w:abstractNum w:abstractNumId="232">
    <w:nsid w:val="24E135"/>
    <w:multiLevelType w:val="hybridMultilevel"/>
    <w:lvl w:ilvl="0">
      <w:lvlJc w:val="left"/>
      <w:lvlText w:val="%1."/>
      <w:numFmt w:val="decimal"/>
      <w:start w:val="12"/>
    </w:lvl>
  </w:abstractNum>
  <w:abstractNum w:abstractNumId="233">
    <w:nsid w:val="BB13C1"/>
    <w:multiLevelType w:val="hybridMultilevel"/>
    <w:lvl w:ilvl="0">
      <w:lvlJc w:val="left"/>
      <w:lvlText w:val="(%1)"/>
      <w:numFmt w:val="lowerLetter"/>
      <w:start w:val="2"/>
    </w:lvl>
  </w:abstractNum>
  <w:abstractNum w:abstractNumId="234">
    <w:nsid w:val="271210C7"/>
    <w:multiLevelType w:val="hybridMultilevel"/>
    <w:lvl w:ilvl="0">
      <w:lvlJc w:val="left"/>
      <w:lvlText w:val="%1."/>
      <w:numFmt w:val="decimal"/>
      <w:start w:val="15"/>
    </w:lvl>
  </w:abstractNum>
  <w:abstractNum w:abstractNumId="235">
    <w:nsid w:val="217B22E4"/>
    <w:multiLevelType w:val="hybridMultilevel"/>
    <w:lvl w:ilvl="0">
      <w:lvlJc w:val="left"/>
      <w:lvlText w:val="(%1)"/>
      <w:numFmt w:val="lowerLetter"/>
      <w:start w:val="2"/>
    </w:lvl>
  </w:abstractNum>
  <w:abstractNum w:abstractNumId="236">
    <w:nsid w:val="53E31A24"/>
    <w:multiLevelType w:val="hybridMultilevel"/>
    <w:lvl w:ilvl="0">
      <w:lvlJc w:val="left"/>
      <w:lvlText w:val="(%1)"/>
      <w:numFmt w:val="lowerLetter"/>
      <w:start w:val="5"/>
    </w:lvl>
  </w:abstractNum>
  <w:abstractNum w:abstractNumId="237">
    <w:nsid w:val="6DC45E83"/>
    <w:multiLevelType w:val="hybridMultilevel"/>
    <w:lvl w:ilvl="0">
      <w:lvlJc w:val="left"/>
      <w:lvlText w:val="(%1)"/>
      <w:numFmt w:val="lowerLetter"/>
      <w:start w:val="12"/>
    </w:lvl>
  </w:abstractNum>
  <w:abstractNum w:abstractNumId="238">
    <w:nsid w:val="17304A67"/>
    <w:multiLevelType w:val="hybridMultilevel"/>
    <w:lvl w:ilvl="0">
      <w:lvlJc w:val="left"/>
      <w:lvlText w:val="%1."/>
      <w:numFmt w:val="decimal"/>
      <w:start w:val="17"/>
    </w:lvl>
  </w:abstractNum>
  <w:abstractNum w:abstractNumId="239">
    <w:nsid w:val="2BB180D8"/>
    <w:multiLevelType w:val="hybridMultilevel"/>
    <w:lvl w:ilvl="0">
      <w:lvlJc w:val="left"/>
      <w:lvlText w:val="%1."/>
      <w:numFmt w:val="decimal"/>
      <w:start w:val="1"/>
    </w:lvl>
  </w:abstractNum>
  <w:abstractNum w:abstractNumId="240">
    <w:nsid w:val="556B69ED"/>
    <w:multiLevelType w:val="hybridMultilevel"/>
    <w:lvl w:ilvl="0">
      <w:lvlJc w:val="left"/>
      <w:lvlText w:val="%1."/>
      <w:numFmt w:val="decimal"/>
      <w:start w:val="2"/>
    </w:lvl>
  </w:abstractNum>
  <w:abstractNum w:abstractNumId="241">
    <w:nsid w:val="708361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2">
    <w:nsid w:val="539F7F1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43">
    <w:nsid w:val="2817E7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44">
    <w:nsid w:val="71482545"/>
    <w:multiLevelType w:val="hybridMultilevel"/>
    <w:lvl w:ilvl="0">
      <w:lvlJc w:val="left"/>
      <w:lvlText w:val="%1."/>
      <w:numFmt w:val="decimal"/>
      <w:start w:val="6"/>
    </w:lvl>
    <w:lvl w:ilvl="1">
      <w:lvlJc w:val="left"/>
      <w:lvlText w:val="%2."/>
      <w:numFmt w:val="lowerLetter"/>
      <w:start w:val="2"/>
    </w:lvl>
  </w:abstractNum>
  <w:abstractNum w:abstractNumId="245">
    <w:nsid w:val="17D78639"/>
    <w:multiLevelType w:val="hybridMultilevel"/>
    <w:lvl w:ilvl="0">
      <w:lvlJc w:val="left"/>
      <w:lvlText w:val="%1."/>
      <w:numFmt w:val="decimal"/>
      <w:start w:val="7"/>
    </w:lvl>
  </w:abstractNum>
  <w:abstractNum w:abstractNumId="246">
    <w:nsid w:val="141D2302"/>
    <w:multiLevelType w:val="hybridMultilevel"/>
    <w:lvl w:ilvl="0">
      <w:lvlJc w:val="left"/>
      <w:lvlText w:val="%1."/>
      <w:numFmt w:val="decimal"/>
      <w:start w:val="10"/>
    </w:lvl>
    <w:lvl w:ilvl="1">
      <w:lvlJc w:val="left"/>
      <w:lvlText w:val="%2."/>
      <w:numFmt w:val="lowerLetter"/>
      <w:start w:val="2"/>
    </w:lvl>
  </w:abstractNum>
  <w:abstractNum w:abstractNumId="247">
    <w:nsid w:val="407168D8"/>
    <w:multiLevelType w:val="hybridMultilevel"/>
    <w:lvl w:ilvl="0">
      <w:lvlJc w:val="left"/>
      <w:lvlText w:val="(%1)"/>
      <w:numFmt w:val="decimal"/>
      <w:start w:val="7"/>
    </w:lvl>
  </w:abstractNum>
  <w:abstractNum w:abstractNumId="248">
    <w:nsid w:val="6A1B45E5"/>
    <w:multiLevelType w:val="hybridMultilevel"/>
    <w:lvl w:ilvl="0">
      <w:lvlJc w:val="left"/>
      <w:lvlText w:val="%1."/>
      <w:numFmt w:val="decimal"/>
      <w:start w:val="17"/>
    </w:lvl>
  </w:abstractNum>
  <w:abstractNum w:abstractNumId="249">
    <w:nsid w:val="567BD50A"/>
    <w:multiLevelType w:val="hybridMultilevel"/>
    <w:lvl w:ilvl="0">
      <w:lvlJc w:val="left"/>
      <w:lvlText w:val="(%1)"/>
      <w:numFmt w:val="lowerLetter"/>
      <w:start w:val="1"/>
    </w:lvl>
    <w:lvl w:ilvl="1">
      <w:lvlJc w:val="left"/>
      <w:lvlText w:val="•"/>
      <w:numFmt w:val="bullet"/>
      <w:start w:val="1"/>
    </w:lvl>
  </w:abstractNum>
  <w:abstractNum w:abstractNumId="250">
    <w:nsid w:val="73BBD7F8"/>
    <w:multiLevelType w:val="hybridMultilevel"/>
    <w:lvl w:ilvl="0">
      <w:lvlJc w:val="left"/>
      <w:lvlText w:val="%1."/>
      <w:numFmt w:val="decimal"/>
      <w:start w:val="1"/>
    </w:lvl>
    <w:lvl w:ilvl="1">
      <w:lvlJc w:val="left"/>
      <w:lvlText w:val="(%2)"/>
      <w:numFmt w:val="lowerLetter"/>
      <w:start w:val="1"/>
    </w:lvl>
  </w:abstractNum>
  <w:abstractNum w:abstractNumId="251">
    <w:nsid w:val="1876589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2019-12-29T11:55:17Z</dcterms:created>
  <dcterms:modified xsi:type="dcterms:W3CDTF">2019-12-29T11:55:17Z</dcterms:modified>
</cp:coreProperties>
</file>