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251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-224790</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104140</wp:posOffset>
            </wp:positionV>
            <wp:extent cx="15163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6380" cy="8255"/>
                    </a:xfrm>
                    <a:prstGeom prst="rect">
                      <a:avLst/>
                    </a:prstGeom>
                    <a:noFill/>
                  </pic:spPr>
                </pic:pic>
              </a:graphicData>
            </a:graphic>
          </wp:anchor>
        </w:drawing>
      </w: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114300</wp:posOffset>
            </wp:positionV>
            <wp:extent cx="1516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6380" cy="8255"/>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64" w:lineRule="exact"/>
        <w:rPr>
          <w:sz w:val="24"/>
          <w:szCs w:val="24"/>
          <w:color w:val="auto"/>
        </w:rPr>
      </w:pPr>
    </w:p>
    <w:p>
      <w:pPr>
        <w:ind w:left="560" w:hanging="556"/>
        <w:spacing w:after="0"/>
        <w:tabs>
          <w:tab w:leader="none" w:pos="5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7" w:lineRule="exact"/>
        <w:rPr>
          <w:sz w:val="24"/>
          <w:szCs w:val="24"/>
          <w:color w:val="auto"/>
        </w:rPr>
      </w:pPr>
    </w:p>
    <w:p>
      <w:pPr>
        <w:ind w:left="580"/>
        <w:spacing w:after="0"/>
        <w:rPr>
          <w:sz w:val="20"/>
          <w:szCs w:val="20"/>
          <w:color w:val="auto"/>
        </w:rPr>
      </w:pPr>
      <w:r>
        <w:rPr>
          <w:rFonts w:ascii="Arial" w:cs="Arial" w:eastAsia="Arial" w:hAnsi="Arial"/>
          <w:sz w:val="17"/>
          <w:szCs w:val="17"/>
          <w:b w:val="1"/>
          <w:bCs w:val="1"/>
          <w:color w:val="auto"/>
        </w:rPr>
        <w:t>For the fiscal year ended December 31, 2010</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OR</w:t>
      </w:r>
    </w:p>
    <w:p>
      <w:pPr>
        <w:spacing w:after="0" w:line="64" w:lineRule="exact"/>
        <w:rPr>
          <w:sz w:val="24"/>
          <w:szCs w:val="24"/>
          <w:color w:val="auto"/>
        </w:rPr>
      </w:pPr>
    </w:p>
    <w:p>
      <w:pPr>
        <w:ind w:left="560" w:hanging="556"/>
        <w:spacing w:after="0"/>
        <w:tabs>
          <w:tab w:leader="none" w:pos="5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580" w:type="dxa"/>
        <w:tblCellMar>
          <w:top w:w="0" w:type="dxa"/>
          <w:left w:w="0" w:type="dxa"/>
          <w:bottom w:w="0" w:type="dxa"/>
          <w:right w:w="0" w:type="dxa"/>
        </w:tblCellMar>
      </w:tblPr>
      <w:tr>
        <w:trPr>
          <w:trHeight w:val="195"/>
        </w:trPr>
        <w:tc>
          <w:tcPr>
            <w:tcW w:w="2240" w:type="dxa"/>
            <w:vAlign w:val="bottom"/>
          </w:tcPr>
          <w:p>
            <w:pPr>
              <w:spacing w:after="0"/>
              <w:rPr>
                <w:sz w:val="20"/>
                <w:szCs w:val="20"/>
                <w:color w:val="auto"/>
              </w:rPr>
            </w:pPr>
            <w:r>
              <w:rPr>
                <w:rFonts w:ascii="Arial" w:cs="Arial" w:eastAsia="Arial" w:hAnsi="Arial"/>
                <w:sz w:val="17"/>
                <w:szCs w:val="17"/>
                <w:b w:val="1"/>
                <w:bCs w:val="1"/>
                <w:color w:val="auto"/>
                <w:w w:val="92"/>
              </w:rPr>
              <w:t>For the transition period from</w:t>
            </w:r>
          </w:p>
        </w:tc>
        <w:tc>
          <w:tcPr>
            <w:tcW w:w="1000" w:type="dxa"/>
            <w:vAlign w:val="bottom"/>
            <w:tcBorders>
              <w:bottom w:val="single" w:sz="8" w:color="auto"/>
            </w:tcBorders>
          </w:tcPr>
          <w:p>
            <w:pPr>
              <w:spacing w:after="0"/>
              <w:rPr>
                <w:sz w:val="16"/>
                <w:szCs w:val="16"/>
                <w:color w:val="auto"/>
              </w:rPr>
            </w:pPr>
          </w:p>
        </w:tc>
        <w:tc>
          <w:tcPr>
            <w:tcW w:w="240" w:type="dxa"/>
            <w:vAlign w:val="bottom"/>
          </w:tcPr>
          <w:p>
            <w:pPr>
              <w:ind w:left="60"/>
              <w:spacing w:after="0"/>
              <w:rPr>
                <w:sz w:val="20"/>
                <w:szCs w:val="20"/>
                <w:color w:val="auto"/>
              </w:rPr>
            </w:pPr>
            <w:r>
              <w:rPr>
                <w:rFonts w:ascii="Arial" w:cs="Arial" w:eastAsia="Arial" w:hAnsi="Arial"/>
                <w:sz w:val="17"/>
                <w:szCs w:val="17"/>
                <w:b w:val="1"/>
                <w:bCs w:val="1"/>
                <w:color w:val="auto"/>
                <w:w w:val="99"/>
              </w:rPr>
              <w:t>to</w:t>
            </w:r>
          </w:p>
        </w:tc>
        <w:tc>
          <w:tcPr>
            <w:tcW w:w="1020" w:type="dxa"/>
            <w:vAlign w:val="bottom"/>
            <w:tcBorders>
              <w:bottom w:val="single" w:sz="8" w:color="auto"/>
            </w:tcBorders>
          </w:tcPr>
          <w:p>
            <w:pPr>
              <w:spacing w:after="0"/>
              <w:rPr>
                <w:sz w:val="16"/>
                <w:szCs w:val="16"/>
                <w:color w:val="auto"/>
              </w:rPr>
            </w:pPr>
          </w:p>
        </w:tc>
        <w:tc>
          <w:tcPr>
            <w:tcW w:w="1620" w:type="dxa"/>
            <w:vAlign w:val="bottom"/>
          </w:tcPr>
          <w:p>
            <w:pPr>
              <w:spacing w:after="0"/>
              <w:rPr>
                <w:sz w:val="16"/>
                <w:szCs w:val="16"/>
                <w:color w:val="auto"/>
              </w:rPr>
            </w:pPr>
          </w:p>
        </w:tc>
      </w:tr>
      <w:tr>
        <w:trPr>
          <w:trHeight w:val="281"/>
        </w:trPr>
        <w:tc>
          <w:tcPr>
            <w:tcW w:w="2240" w:type="dxa"/>
            <w:vAlign w:val="bottom"/>
          </w:tcPr>
          <w:p>
            <w:pPr>
              <w:spacing w:after="0"/>
              <w:rPr>
                <w:sz w:val="24"/>
                <w:szCs w:val="24"/>
                <w:color w:val="auto"/>
              </w:rPr>
            </w:pPr>
          </w:p>
        </w:tc>
        <w:tc>
          <w:tcPr>
            <w:tcW w:w="3880" w:type="dxa"/>
            <w:vAlign w:val="bottom"/>
            <w:gridSpan w:val="4"/>
          </w:tcPr>
          <w:p>
            <w:pPr>
              <w:jc w:val="right"/>
              <w:ind w:right="620"/>
              <w:spacing w:after="0"/>
              <w:rPr>
                <w:sz w:val="20"/>
                <w:szCs w:val="20"/>
                <w:color w:val="auto"/>
              </w:rPr>
            </w:pPr>
            <w:r>
              <w:rPr>
                <w:rFonts w:ascii="Arial" w:cs="Arial" w:eastAsia="Arial" w:hAnsi="Arial"/>
                <w:sz w:val="17"/>
                <w:szCs w:val="17"/>
                <w:b w:val="1"/>
                <w:bCs w:val="1"/>
                <w:color w:val="auto"/>
              </w:rPr>
              <w:t>001-32492</w:t>
            </w:r>
          </w:p>
        </w:tc>
      </w:tr>
      <w:tr>
        <w:trPr>
          <w:trHeight w:val="219"/>
        </w:trPr>
        <w:tc>
          <w:tcPr>
            <w:tcW w:w="2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40" w:type="dxa"/>
            <w:vAlign w:val="bottom"/>
            <w:gridSpan w:val="2"/>
          </w:tcPr>
          <w:p>
            <w:pPr>
              <w:jc w:val="center"/>
              <w:ind w:left="575"/>
              <w:spacing w:after="0"/>
              <w:rPr>
                <w:sz w:val="20"/>
                <w:szCs w:val="20"/>
                <w:color w:val="auto"/>
              </w:rPr>
            </w:pPr>
            <w:r>
              <w:rPr>
                <w:rFonts w:ascii="Arial" w:cs="Arial" w:eastAsia="Arial" w:hAnsi="Arial"/>
                <w:sz w:val="17"/>
                <w:szCs w:val="17"/>
                <w:b w:val="1"/>
                <w:bCs w:val="1"/>
                <w:color w:val="auto"/>
                <w:w w:val="91"/>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92710</wp:posOffset>
            </wp:positionV>
            <wp:extent cx="1516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6380" cy="8255"/>
                    </a:xfrm>
                    <a:prstGeom prst="rect">
                      <a:avLst/>
                    </a:prstGeom>
                    <a:noFill/>
                  </pic:spPr>
                </pic:pic>
              </a:graphicData>
            </a:graphic>
          </wp:anchor>
        </w:drawing>
      </w:r>
    </w:p>
    <w:p>
      <w:pPr>
        <w:spacing w:after="0" w:line="189" w:lineRule="exact"/>
        <w:rPr>
          <w:sz w:val="24"/>
          <w:szCs w:val="24"/>
          <w:color w:val="auto"/>
        </w:rPr>
      </w:pPr>
    </w:p>
    <w:tbl>
      <w:tblPr>
        <w:tblLayout w:type="fixed"/>
        <w:tblInd w:w="340" w:type="dxa"/>
        <w:tblCellMar>
          <w:top w:w="0" w:type="dxa"/>
          <w:left w:w="0" w:type="dxa"/>
          <w:bottom w:w="0" w:type="dxa"/>
          <w:right w:w="0" w:type="dxa"/>
        </w:tblCellMar>
      </w:tblPr>
      <w:tr>
        <w:trPr>
          <w:trHeight w:val="512"/>
        </w:trPr>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60" w:type="dxa"/>
            <w:vAlign w:val="bottom"/>
            <w:gridSpan w:val="4"/>
          </w:tcPr>
          <w:p>
            <w:pPr>
              <w:jc w:val="center"/>
              <w:ind w:left="498"/>
              <w:spacing w:after="0"/>
              <w:rPr>
                <w:sz w:val="20"/>
                <w:szCs w:val="20"/>
                <w:color w:val="auto"/>
              </w:rPr>
            </w:pPr>
            <w:r>
              <w:rPr>
                <w:rFonts w:ascii="Arial" w:cs="Arial" w:eastAsia="Arial" w:hAnsi="Arial"/>
                <w:sz w:val="42"/>
                <w:szCs w:val="42"/>
                <w:b w:val="1"/>
                <w:bCs w:val="1"/>
                <w:color w:val="auto"/>
              </w:rPr>
              <w:t>LAZARD LTD</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2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60" w:type="dxa"/>
            <w:vAlign w:val="bottom"/>
            <w:gridSpan w:val="4"/>
          </w:tcPr>
          <w:p>
            <w:pPr>
              <w:jc w:val="center"/>
              <w:ind w:left="518"/>
              <w:spacing w:after="0"/>
              <w:rPr>
                <w:sz w:val="20"/>
                <w:szCs w:val="20"/>
                <w:color w:val="auto"/>
              </w:rPr>
            </w:pPr>
            <w:r>
              <w:rPr>
                <w:rFonts w:ascii="Arial" w:cs="Arial" w:eastAsia="Arial" w:hAnsi="Arial"/>
                <w:sz w:val="13"/>
                <w:szCs w:val="13"/>
                <w:b w:val="1"/>
                <w:bCs w:val="1"/>
                <w:color w:val="auto"/>
                <w:w w:val="89"/>
              </w:rPr>
              <w:t>(Exact name of registrant as specified in its charter)</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49"/>
        </w:trPr>
        <w:tc>
          <w:tcPr>
            <w:tcW w:w="2000" w:type="dxa"/>
            <w:vAlign w:val="bottom"/>
          </w:tcPr>
          <w:p>
            <w:pPr>
              <w:spacing w:after="0"/>
              <w:rPr>
                <w:sz w:val="21"/>
                <w:szCs w:val="21"/>
                <w:color w:val="auto"/>
              </w:rPr>
            </w:pPr>
          </w:p>
        </w:tc>
        <w:tc>
          <w:tcPr>
            <w:tcW w:w="5100" w:type="dxa"/>
            <w:vAlign w:val="bottom"/>
            <w:gridSpan w:val="5"/>
          </w:tcPr>
          <w:p>
            <w:pPr>
              <w:jc w:val="center"/>
              <w:ind w:right="3940"/>
              <w:spacing w:after="0"/>
              <w:rPr>
                <w:sz w:val="20"/>
                <w:szCs w:val="20"/>
                <w:color w:val="auto"/>
              </w:rPr>
            </w:pPr>
            <w:r>
              <w:rPr>
                <w:rFonts w:ascii="Arial" w:cs="Arial" w:eastAsia="Arial" w:hAnsi="Arial"/>
                <w:sz w:val="17"/>
                <w:szCs w:val="17"/>
                <w:b w:val="1"/>
                <w:bCs w:val="1"/>
                <w:color w:val="auto"/>
                <w:w w:val="92"/>
              </w:rPr>
              <w:t>Bermuda</w:t>
            </w:r>
          </w:p>
        </w:tc>
        <w:tc>
          <w:tcPr>
            <w:tcW w:w="2540" w:type="dxa"/>
            <w:vAlign w:val="bottom"/>
            <w:gridSpan w:val="4"/>
          </w:tcPr>
          <w:p>
            <w:pPr>
              <w:jc w:val="right"/>
              <w:ind w:right="735"/>
              <w:spacing w:after="0"/>
              <w:rPr>
                <w:sz w:val="20"/>
                <w:szCs w:val="20"/>
                <w:color w:val="auto"/>
              </w:rPr>
            </w:pPr>
            <w:r>
              <w:rPr>
                <w:rFonts w:ascii="Arial" w:cs="Arial" w:eastAsia="Arial" w:hAnsi="Arial"/>
                <w:sz w:val="17"/>
                <w:szCs w:val="17"/>
                <w:b w:val="1"/>
                <w:bCs w:val="1"/>
                <w:color w:val="auto"/>
              </w:rPr>
              <w:t>98-0437848</w:t>
            </w:r>
          </w:p>
        </w:tc>
      </w:tr>
      <w:tr>
        <w:trPr>
          <w:trHeight w:val="144"/>
        </w:trPr>
        <w:tc>
          <w:tcPr>
            <w:tcW w:w="7100" w:type="dxa"/>
            <w:vAlign w:val="bottom"/>
            <w:gridSpan w:val="6"/>
          </w:tcPr>
          <w:p>
            <w:pPr>
              <w:jc w:val="center"/>
              <w:ind w:right="1940"/>
              <w:spacing w:after="0" w:line="144" w:lineRule="exact"/>
              <w:rPr>
                <w:sz w:val="20"/>
                <w:szCs w:val="20"/>
                <w:color w:val="auto"/>
              </w:rPr>
            </w:pPr>
            <w:r>
              <w:rPr>
                <w:rFonts w:ascii="Arial" w:cs="Arial" w:eastAsia="Arial" w:hAnsi="Arial"/>
                <w:sz w:val="13"/>
                <w:szCs w:val="13"/>
                <w:b w:val="1"/>
                <w:bCs w:val="1"/>
                <w:color w:val="auto"/>
                <w:w w:val="92"/>
              </w:rPr>
              <w:t>(State or Other Jurisdiction of Incorporation</w:t>
            </w:r>
          </w:p>
        </w:tc>
        <w:tc>
          <w:tcPr>
            <w:tcW w:w="2540" w:type="dxa"/>
            <w:vAlign w:val="bottom"/>
            <w:gridSpan w:val="4"/>
          </w:tcPr>
          <w:p>
            <w:pPr>
              <w:ind w:left="300"/>
              <w:spacing w:after="0" w:line="144" w:lineRule="exact"/>
              <w:rPr>
                <w:sz w:val="20"/>
                <w:szCs w:val="20"/>
                <w:color w:val="auto"/>
              </w:rPr>
            </w:pPr>
            <w:r>
              <w:rPr>
                <w:rFonts w:ascii="Arial" w:cs="Arial" w:eastAsia="Arial" w:hAnsi="Arial"/>
                <w:sz w:val="13"/>
                <w:szCs w:val="13"/>
                <w:b w:val="1"/>
                <w:bCs w:val="1"/>
                <w:color w:val="auto"/>
              </w:rPr>
              <w:t>(I.R.S. Employer Identification No.)</w:t>
            </w:r>
          </w:p>
        </w:tc>
      </w:tr>
      <w:tr>
        <w:trPr>
          <w:trHeight w:val="168"/>
        </w:trPr>
        <w:tc>
          <w:tcPr>
            <w:tcW w:w="2000" w:type="dxa"/>
            <w:vAlign w:val="bottom"/>
          </w:tcPr>
          <w:p>
            <w:pPr>
              <w:spacing w:after="0"/>
              <w:rPr>
                <w:sz w:val="14"/>
                <w:szCs w:val="14"/>
                <w:color w:val="auto"/>
              </w:rPr>
            </w:pPr>
          </w:p>
        </w:tc>
        <w:tc>
          <w:tcPr>
            <w:tcW w:w="5100" w:type="dxa"/>
            <w:vAlign w:val="bottom"/>
            <w:gridSpan w:val="5"/>
          </w:tcPr>
          <w:p>
            <w:pPr>
              <w:jc w:val="center"/>
              <w:ind w:right="3920"/>
              <w:spacing w:after="0"/>
              <w:rPr>
                <w:sz w:val="20"/>
                <w:szCs w:val="20"/>
                <w:color w:val="auto"/>
              </w:rPr>
            </w:pPr>
            <w:r>
              <w:rPr>
                <w:rFonts w:ascii="Arial" w:cs="Arial" w:eastAsia="Arial" w:hAnsi="Arial"/>
                <w:sz w:val="13"/>
                <w:szCs w:val="13"/>
                <w:b w:val="1"/>
                <w:bCs w:val="1"/>
                <w:color w:val="auto"/>
                <w:w w:val="93"/>
              </w:rPr>
              <w:t>or Organization)</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5"/>
        </w:trPr>
        <w:tc>
          <w:tcPr>
            <w:tcW w:w="2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81"/>
        </w:trPr>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20" w:type="dxa"/>
            <w:vAlign w:val="bottom"/>
            <w:gridSpan w:val="3"/>
          </w:tcPr>
          <w:p>
            <w:pPr>
              <w:jc w:val="center"/>
              <w:ind w:right="540"/>
              <w:spacing w:after="0"/>
              <w:rPr>
                <w:sz w:val="20"/>
                <w:szCs w:val="20"/>
                <w:color w:val="auto"/>
              </w:rPr>
            </w:pPr>
            <w:r>
              <w:rPr>
                <w:rFonts w:ascii="Arial" w:cs="Arial" w:eastAsia="Arial" w:hAnsi="Arial"/>
                <w:sz w:val="17"/>
                <w:szCs w:val="17"/>
                <w:b w:val="1"/>
                <w:bCs w:val="1"/>
                <w:color w:val="auto"/>
                <w:w w:val="89"/>
              </w:rPr>
              <w:t>Clarendon House</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20" w:type="dxa"/>
            <w:vAlign w:val="bottom"/>
            <w:gridSpan w:val="3"/>
          </w:tcPr>
          <w:p>
            <w:pPr>
              <w:jc w:val="center"/>
              <w:ind w:right="520"/>
              <w:spacing w:after="0"/>
              <w:rPr>
                <w:sz w:val="20"/>
                <w:szCs w:val="20"/>
                <w:color w:val="auto"/>
              </w:rPr>
            </w:pPr>
            <w:r>
              <w:rPr>
                <w:rFonts w:ascii="Arial" w:cs="Arial" w:eastAsia="Arial" w:hAnsi="Arial"/>
                <w:sz w:val="17"/>
                <w:szCs w:val="17"/>
                <w:b w:val="1"/>
                <w:bCs w:val="1"/>
                <w:color w:val="auto"/>
                <w:w w:val="91"/>
              </w:rPr>
              <w:t>2 Church Street</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20" w:type="dxa"/>
            <w:vAlign w:val="bottom"/>
            <w:gridSpan w:val="3"/>
          </w:tcPr>
          <w:p>
            <w:pPr>
              <w:jc w:val="center"/>
              <w:ind w:right="540"/>
              <w:spacing w:after="0"/>
              <w:rPr>
                <w:sz w:val="20"/>
                <w:szCs w:val="20"/>
                <w:color w:val="auto"/>
              </w:rPr>
            </w:pPr>
            <w:r>
              <w:rPr>
                <w:rFonts w:ascii="Arial" w:cs="Arial" w:eastAsia="Arial" w:hAnsi="Arial"/>
                <w:sz w:val="17"/>
                <w:szCs w:val="17"/>
                <w:b w:val="1"/>
                <w:bCs w:val="1"/>
                <w:color w:val="auto"/>
                <w:w w:val="94"/>
              </w:rPr>
              <w:t>Hamilton HM11, Bermuda</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60" w:type="dxa"/>
            <w:vAlign w:val="bottom"/>
            <w:gridSpan w:val="4"/>
          </w:tcPr>
          <w:p>
            <w:pPr>
              <w:jc w:val="center"/>
              <w:ind w:left="518"/>
              <w:spacing w:after="0"/>
              <w:rPr>
                <w:sz w:val="20"/>
                <w:szCs w:val="20"/>
                <w:color w:val="auto"/>
              </w:rPr>
            </w:pPr>
            <w:r>
              <w:rPr>
                <w:rFonts w:ascii="Arial" w:cs="Arial" w:eastAsia="Arial" w:hAnsi="Arial"/>
                <w:sz w:val="17"/>
                <w:szCs w:val="17"/>
                <w:b w:val="1"/>
                <w:bCs w:val="1"/>
                <w:color w:val="auto"/>
                <w:w w:val="88"/>
              </w:rPr>
              <w:t>(Address of principal executive offices)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4"/>
        </w:trPr>
        <w:tc>
          <w:tcPr>
            <w:tcW w:w="2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60" w:type="dxa"/>
            <w:vAlign w:val="bottom"/>
            <w:gridSpan w:val="4"/>
          </w:tcPr>
          <w:p>
            <w:pPr>
              <w:jc w:val="center"/>
              <w:ind w:left="518"/>
              <w:spacing w:after="0"/>
              <w:rPr>
                <w:sz w:val="20"/>
                <w:szCs w:val="20"/>
                <w:color w:val="auto"/>
              </w:rPr>
            </w:pPr>
            <w:r>
              <w:rPr>
                <w:rFonts w:ascii="Arial" w:cs="Arial" w:eastAsia="Arial" w:hAnsi="Arial"/>
                <w:sz w:val="17"/>
                <w:szCs w:val="17"/>
                <w:b w:val="1"/>
                <w:bCs w:val="1"/>
                <w:color w:val="auto"/>
                <w:w w:val="90"/>
              </w:rPr>
              <w:t>Registrant’s telephone number: (441) 295-1422</w:t>
            </w: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46"/>
        </w:trPr>
        <w:tc>
          <w:tcPr>
            <w:tcW w:w="2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91"/>
        </w:trPr>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40" w:type="dxa"/>
            <w:vAlign w:val="bottom"/>
            <w:gridSpan w:val="5"/>
          </w:tcPr>
          <w:p>
            <w:pPr>
              <w:jc w:val="center"/>
              <w:ind w:right="305"/>
              <w:spacing w:after="0"/>
              <w:rPr>
                <w:sz w:val="20"/>
                <w:szCs w:val="20"/>
                <w:color w:val="auto"/>
              </w:rPr>
            </w:pPr>
            <w:r>
              <w:rPr>
                <w:rFonts w:ascii="Arial" w:cs="Arial" w:eastAsia="Arial" w:hAnsi="Arial"/>
                <w:sz w:val="17"/>
                <w:szCs w:val="17"/>
                <w:color w:val="auto"/>
                <w:w w:val="90"/>
              </w:rPr>
              <w:t>Securities Registered Pursuant to Section 12(b) of the Act: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000" w:type="dxa"/>
            <w:vAlign w:val="bottom"/>
          </w:tcPr>
          <w:p>
            <w:pPr>
              <w:spacing w:after="0"/>
              <w:rPr>
                <w:sz w:val="21"/>
                <w:szCs w:val="21"/>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7"/>
              </w:rPr>
              <w:t>Title of each class</w:t>
            </w:r>
          </w:p>
        </w:tc>
        <w:tc>
          <w:tcPr>
            <w:tcW w:w="4020" w:type="dxa"/>
            <w:vAlign w:val="bottom"/>
            <w:gridSpan w:val="3"/>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0"/>
              </w:rPr>
              <w:t>Name of each exchange on which registered</w:t>
            </w:r>
          </w:p>
        </w:tc>
      </w:tr>
      <w:tr>
        <w:trPr>
          <w:trHeight w:val="212"/>
        </w:trPr>
        <w:tc>
          <w:tcPr>
            <w:tcW w:w="2000" w:type="dxa"/>
            <w:vAlign w:val="bottom"/>
          </w:tcPr>
          <w:p>
            <w:pPr>
              <w:ind w:left="700"/>
              <w:spacing w:after="0"/>
              <w:rPr>
                <w:sz w:val="20"/>
                <w:szCs w:val="20"/>
                <w:color w:val="auto"/>
              </w:rPr>
            </w:pPr>
            <w:r>
              <w:rPr>
                <w:rFonts w:ascii="Arial" w:cs="Arial" w:eastAsia="Arial" w:hAnsi="Arial"/>
                <w:sz w:val="17"/>
                <w:szCs w:val="17"/>
                <w:b w:val="1"/>
                <w:bCs w:val="1"/>
                <w:color w:val="auto"/>
                <w:w w:val="90"/>
              </w:rPr>
              <w:t>Class A Common</w:t>
            </w:r>
          </w:p>
        </w:tc>
        <w:tc>
          <w:tcPr>
            <w:tcW w:w="5100" w:type="dxa"/>
            <w:vAlign w:val="bottom"/>
            <w:gridSpan w:val="5"/>
          </w:tcPr>
          <w:p>
            <w:pPr>
              <w:ind w:left="20"/>
              <w:spacing w:after="0"/>
              <w:rPr>
                <w:sz w:val="20"/>
                <w:szCs w:val="20"/>
                <w:color w:val="auto"/>
              </w:rPr>
            </w:pPr>
            <w:r>
              <w:rPr>
                <w:rFonts w:ascii="Arial" w:cs="Arial" w:eastAsia="Arial" w:hAnsi="Arial"/>
                <w:sz w:val="17"/>
                <w:szCs w:val="17"/>
                <w:b w:val="1"/>
                <w:bCs w:val="1"/>
                <w:color w:val="auto"/>
              </w:rPr>
              <w:t>Stock, par value $0.01 per share</w:t>
            </w:r>
          </w:p>
        </w:tc>
        <w:tc>
          <w:tcPr>
            <w:tcW w:w="2540" w:type="dxa"/>
            <w:vAlign w:val="bottom"/>
            <w:gridSpan w:val="4"/>
          </w:tcPr>
          <w:p>
            <w:pPr>
              <w:ind w:left="280"/>
              <w:spacing w:after="0"/>
              <w:rPr>
                <w:sz w:val="20"/>
                <w:szCs w:val="20"/>
                <w:color w:val="auto"/>
              </w:rPr>
            </w:pPr>
            <w:r>
              <w:rPr>
                <w:rFonts w:ascii="Arial" w:cs="Arial" w:eastAsia="Arial" w:hAnsi="Arial"/>
                <w:sz w:val="17"/>
                <w:szCs w:val="17"/>
                <w:b w:val="1"/>
                <w:bCs w:val="1"/>
                <w:color w:val="auto"/>
              </w:rPr>
              <w:t>New York Stock Exchange</w:t>
            </w:r>
          </w:p>
        </w:tc>
      </w:tr>
      <w:tr>
        <w:trPr>
          <w:trHeight w:val="301"/>
        </w:trPr>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40" w:type="dxa"/>
            <w:vAlign w:val="bottom"/>
            <w:gridSpan w:val="5"/>
          </w:tcPr>
          <w:p>
            <w:pPr>
              <w:jc w:val="center"/>
              <w:ind w:right="305"/>
              <w:spacing w:after="0"/>
              <w:rPr>
                <w:sz w:val="20"/>
                <w:szCs w:val="20"/>
                <w:color w:val="auto"/>
              </w:rPr>
            </w:pPr>
            <w:r>
              <w:rPr>
                <w:rFonts w:ascii="Arial" w:cs="Arial" w:eastAsia="Arial" w:hAnsi="Arial"/>
                <w:sz w:val="17"/>
                <w:szCs w:val="17"/>
                <w:color w:val="auto"/>
                <w:w w:val="90"/>
              </w:rPr>
              <w:t>Securities Registered Pursuant to Section 12(g) of the Act: None</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4"/>
        </w:trPr>
        <w:tc>
          <w:tcPr>
            <w:tcW w:w="8080" w:type="dxa"/>
            <w:vAlign w:val="bottom"/>
            <w:gridSpan w:val="7"/>
          </w:tcPr>
          <w:p>
            <w:pPr>
              <w:spacing w:after="0"/>
              <w:rPr>
                <w:sz w:val="20"/>
                <w:szCs w:val="20"/>
                <w:color w:val="auto"/>
              </w:rPr>
            </w:pPr>
            <w:r>
              <w:rPr>
                <w:rFonts w:ascii="Arial" w:cs="Arial" w:eastAsia="Arial" w:hAnsi="Arial"/>
                <w:sz w:val="17"/>
                <w:szCs w:val="17"/>
                <w:color w:val="auto"/>
                <w:w w:val="91"/>
              </w:rPr>
              <w:t>Indicate by check mark if the Registrant is a well-known seasoned issuer, as defined in Rule 405 of the Securities Act.</w:t>
            </w:r>
          </w:p>
        </w:tc>
        <w:tc>
          <w:tcPr>
            <w:tcW w:w="360" w:type="dxa"/>
            <w:vAlign w:val="bottom"/>
          </w:tcPr>
          <w:p>
            <w:pPr>
              <w:ind w:left="120"/>
              <w:spacing w:after="0"/>
              <w:rPr>
                <w:sz w:val="20"/>
                <w:szCs w:val="20"/>
                <w:color w:val="auto"/>
              </w:rPr>
            </w:pPr>
            <w:r>
              <w:rPr>
                <w:rFonts w:ascii="Arial" w:cs="Arial" w:eastAsia="Arial" w:hAnsi="Arial"/>
                <w:sz w:val="17"/>
                <w:szCs w:val="17"/>
                <w:color w:val="auto"/>
                <w:w w:val="74"/>
              </w:rPr>
              <w:t>Yes</w:t>
            </w:r>
          </w:p>
        </w:tc>
        <w:tc>
          <w:tcPr>
            <w:tcW w:w="260" w:type="dxa"/>
            <w:vAlign w:val="bottom"/>
          </w:tcPr>
          <w:p>
            <w:pPr>
              <w:ind w:left="80"/>
              <w:spacing w:after="0" w:line="171" w:lineRule="exact"/>
              <w:rPr>
                <w:sz w:val="20"/>
                <w:szCs w:val="20"/>
                <w:color w:val="auto"/>
              </w:rPr>
            </w:pPr>
            <w:r>
              <w:rPr>
                <w:rFonts w:ascii="MS PGothic" w:cs="MS PGothic" w:eastAsia="MS PGothic" w:hAnsi="MS PGothic"/>
                <w:sz w:val="17"/>
                <w:szCs w:val="17"/>
                <w:color w:val="auto"/>
                <w:w w:val="93"/>
              </w:rPr>
              <w:t>☒</w:t>
            </w:r>
          </w:p>
        </w:tc>
        <w:tc>
          <w:tcPr>
            <w:tcW w:w="940" w:type="dxa"/>
            <w:vAlign w:val="bottom"/>
          </w:tcPr>
          <w:p>
            <w:pPr>
              <w:jc w:val="right"/>
              <w:ind w:right="255"/>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r>
        <w:trPr>
          <w:trHeight w:val="274"/>
        </w:trPr>
        <w:tc>
          <w:tcPr>
            <w:tcW w:w="8080" w:type="dxa"/>
            <w:vAlign w:val="bottom"/>
            <w:gridSpan w:val="7"/>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15(d) of the Act.  Yes</w:t>
            </w:r>
          </w:p>
        </w:tc>
        <w:tc>
          <w:tcPr>
            <w:tcW w:w="36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260" w:type="dxa"/>
            <w:vAlign w:val="bottom"/>
          </w:tcPr>
          <w:p>
            <w:pPr>
              <w:ind w:left="20"/>
              <w:spacing w:after="0"/>
              <w:rPr>
                <w:sz w:val="20"/>
                <w:szCs w:val="20"/>
                <w:color w:val="auto"/>
              </w:rPr>
            </w:pPr>
            <w:r>
              <w:rPr>
                <w:rFonts w:ascii="Arial" w:cs="Arial" w:eastAsia="Arial" w:hAnsi="Arial"/>
                <w:sz w:val="17"/>
                <w:szCs w:val="17"/>
                <w:color w:val="auto"/>
              </w:rPr>
              <w:t>No</w:t>
            </w:r>
          </w:p>
        </w:tc>
        <w:tc>
          <w:tcPr>
            <w:tcW w:w="940" w:type="dxa"/>
            <w:vAlign w:val="bottom"/>
          </w:tcPr>
          <w:p>
            <w:pPr>
              <w:jc w:val="right"/>
              <w:ind w:right="655"/>
              <w:spacing w:after="0" w:line="171" w:lineRule="exact"/>
              <w:rPr>
                <w:sz w:val="20"/>
                <w:szCs w:val="20"/>
                <w:color w:val="auto"/>
              </w:rPr>
            </w:pPr>
            <w:r>
              <w:rPr>
                <w:rFonts w:ascii="MS PGothic" w:cs="MS PGothic" w:eastAsia="MS PGothic" w:hAnsi="MS PGothic"/>
                <w:sz w:val="17"/>
                <w:szCs w:val="17"/>
                <w:color w:val="auto"/>
              </w:rPr>
              <w:t>☒</w:t>
            </w:r>
          </w:p>
        </w:tc>
      </w:tr>
    </w:tbl>
    <w:p>
      <w:pPr>
        <w:spacing w:after="0" w:line="39" w:lineRule="exact"/>
        <w:rPr>
          <w:sz w:val="24"/>
          <w:szCs w:val="24"/>
          <w:color w:val="auto"/>
        </w:rPr>
      </w:pPr>
    </w:p>
    <w:p>
      <w:pPr>
        <w:jc w:val="both"/>
        <w:ind w:right="160" w:firstLine="343"/>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9" w:lineRule="exact"/>
        <w:rPr>
          <w:sz w:val="24"/>
          <w:szCs w:val="24"/>
          <w:color w:val="auto"/>
        </w:rPr>
      </w:pPr>
    </w:p>
    <w:p>
      <w:pPr>
        <w:jc w:val="both"/>
        <w:ind w:right="120" w:firstLine="343"/>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9" w:lineRule="exact"/>
        <w:rPr>
          <w:sz w:val="24"/>
          <w:szCs w:val="24"/>
          <w:color w:val="auto"/>
        </w:rPr>
      </w:pPr>
    </w:p>
    <w:p>
      <w:pPr>
        <w:ind w:firstLine="343"/>
        <w:spacing w:after="0" w:line="218"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39" w:lineRule="exact"/>
        <w:rPr>
          <w:sz w:val="24"/>
          <w:szCs w:val="24"/>
          <w:color w:val="auto"/>
        </w:rPr>
      </w:pPr>
    </w:p>
    <w:p>
      <w:pPr>
        <w:ind w:right="320" w:firstLine="343"/>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26" w:right="299" w:bottom="1440" w:gutter="0" w:footer="0" w:header="0"/>
        </w:sectPr>
      </w:pPr>
    </w:p>
    <w:p>
      <w:pPr>
        <w:spacing w:after="0" w:line="1" w:lineRule="exact"/>
        <w:rPr>
          <w:sz w:val="24"/>
          <w:szCs w:val="24"/>
          <w:color w:val="auto"/>
        </w:rPr>
      </w:pPr>
    </w:p>
    <w:p>
      <w:pPr>
        <w:ind w:left="5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83"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00" w:space="720"/>
            <w:col w:w="1860" w:space="80"/>
            <w:col w:w="3300"/>
          </w:cols>
          <w:pgMar w:left="240" w:top="226" w:right="299" w:bottom="1440" w:gutter="0" w:footer="0" w:header="0"/>
          <w:type w:val="continuous"/>
        </w:sectPr>
      </w:pPr>
    </w:p>
    <w:p>
      <w:pPr>
        <w:ind w:left="340"/>
        <w:spacing w:after="0" w:line="196" w:lineRule="exact"/>
        <w:tabs>
          <w:tab w:leader="none" w:pos="8260" w:val="left"/>
          <w:tab w:leader="none" w:pos="89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aggregate market value of the common stock held by non-affiliates of the Registrant as of June 30, 2010 was approximately $2,909,921,164.</w:t>
      </w:r>
    </w:p>
    <w:p>
      <w:pPr>
        <w:spacing w:after="0" w:line="79" w:lineRule="exact"/>
        <w:rPr>
          <w:sz w:val="24"/>
          <w:szCs w:val="24"/>
          <w:color w:val="auto"/>
        </w:rPr>
      </w:pPr>
    </w:p>
    <w:p>
      <w:pPr>
        <w:ind w:right="40" w:firstLine="343"/>
        <w:spacing w:after="0" w:line="280" w:lineRule="auto"/>
        <w:rPr>
          <w:sz w:val="20"/>
          <w:szCs w:val="20"/>
          <w:color w:val="auto"/>
        </w:rPr>
      </w:pPr>
      <w:r>
        <w:rPr>
          <w:rFonts w:ascii="Arial" w:cs="Arial" w:eastAsia="Arial" w:hAnsi="Arial"/>
          <w:sz w:val="17"/>
          <w:szCs w:val="17"/>
          <w:color w:val="auto"/>
        </w:rPr>
        <w:t>As of January 31, 2011, there were 119,697,936 shares of the Registrant’s Class A common stock (including 6,847,508 shares held by a subsidiary) and one share of the registrant’s Class B common stock outstanding.</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DOCUMENTS INCORPORATED BY REFERENCE</w:t>
      </w:r>
    </w:p>
    <w:p>
      <w:pPr>
        <w:spacing w:after="0" w:line="83" w:lineRule="exact"/>
        <w:rPr>
          <w:sz w:val="24"/>
          <w:szCs w:val="24"/>
          <w:color w:val="auto"/>
        </w:rPr>
      </w:pPr>
    </w:p>
    <w:p>
      <w:pPr>
        <w:ind w:right="220" w:firstLine="343"/>
        <w:spacing w:after="0" w:line="280" w:lineRule="auto"/>
        <w:rPr>
          <w:sz w:val="20"/>
          <w:szCs w:val="20"/>
          <w:color w:val="auto"/>
        </w:rPr>
      </w:pPr>
      <w:r>
        <w:rPr>
          <w:rFonts w:ascii="Arial" w:cs="Arial" w:eastAsia="Arial" w:hAnsi="Arial"/>
          <w:sz w:val="17"/>
          <w:szCs w:val="17"/>
          <w:color w:val="auto"/>
        </w:rPr>
        <w:t>Portions of the Registrant’s proxy statement for its 2011 annual general meeting of shareholders are incorporated by reference in this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251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46990</wp:posOffset>
            </wp:positionV>
            <wp:extent cx="7251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ANNUAL REPORT ON FORM 10-K</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FOR THE FISCAL YEAR ENDED DECEMBER 31, 2010</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INDEX</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3"/>
              </w:rPr>
              <w:t>Page</w:t>
            </w:r>
          </w:p>
        </w:tc>
      </w:tr>
      <w:tr>
        <w:trPr>
          <w:trHeight w:val="156"/>
        </w:trPr>
        <w:tc>
          <w:tcPr>
            <w:tcW w:w="150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Form 10-K Item Number</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No.</w:t>
            </w:r>
          </w:p>
        </w:tc>
      </w:tr>
      <w:tr>
        <w:trPr>
          <w:trHeight w:val="267"/>
        </w:trPr>
        <w:tc>
          <w:tcPr>
            <w:tcW w:w="520" w:type="dxa"/>
            <w:vAlign w:val="bottom"/>
            <w:tcBorders>
              <w:bottom w:val="single" w:sz="8" w:color="0000EE"/>
            </w:tcBorders>
          </w:tcPr>
          <w:p>
            <w:pPr>
              <w:spacing w:after="0"/>
              <w:rPr>
                <w:rFonts w:ascii="Arial" w:cs="Arial" w:eastAsia="Arial" w:hAnsi="Arial"/>
                <w:sz w:val="17"/>
                <w:szCs w:val="17"/>
                <w:color w:val="0000EE"/>
                <w:w w:val="91"/>
              </w:rPr>
            </w:pPr>
            <w:hyperlink w:anchor="page3">
              <w:r>
                <w:rPr>
                  <w:rFonts w:ascii="Arial" w:cs="Arial" w:eastAsia="Arial" w:hAnsi="Arial"/>
                  <w:sz w:val="17"/>
                  <w:szCs w:val="17"/>
                  <w:color w:val="0000EE"/>
                  <w:w w:val="91"/>
                </w:rPr>
                <w:t>PART I</w:t>
              </w:r>
            </w:hyperlink>
          </w:p>
        </w:tc>
        <w:tc>
          <w:tcPr>
            <w:tcW w:w="980" w:type="dxa"/>
            <w:vAlign w:val="bottom"/>
            <w:gridSpan w:val="5"/>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1.</w:t>
            </w:r>
          </w:p>
        </w:tc>
        <w:tc>
          <w:tcPr>
            <w:tcW w:w="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3"/>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tcBorders>
              <w:bottom w:val="single" w:sz="8" w:color="0000EE"/>
            </w:tcBorders>
            <w:gridSpan w:val="10"/>
          </w:tcPr>
          <w:p>
            <w:pPr>
              <w:spacing w:after="0"/>
              <w:rPr>
                <w:rFonts w:ascii="Arial" w:cs="Arial" w:eastAsia="Arial" w:hAnsi="Arial"/>
                <w:sz w:val="17"/>
                <w:szCs w:val="17"/>
                <w:color w:val="0000EE"/>
                <w:w w:val="91"/>
              </w:rPr>
            </w:pPr>
            <w:hyperlink w:anchor="page15">
              <w:r>
                <w:rPr>
                  <w:rFonts w:ascii="Arial" w:cs="Arial" w:eastAsia="Arial" w:hAnsi="Arial"/>
                  <w:sz w:val="17"/>
                  <w:szCs w:val="17"/>
                  <w:color w:val="0000EE"/>
                  <w:w w:val="91"/>
                </w:rPr>
                <w:t>Executive Officers of the Registrant</w:t>
              </w:r>
            </w:hyperlink>
          </w:p>
        </w:tc>
        <w:tc>
          <w:tcPr>
            <w:tcW w:w="698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1A.</w:t>
            </w:r>
          </w:p>
        </w:tc>
        <w:tc>
          <w:tcPr>
            <w:tcW w:w="8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rFonts w:ascii="Arial" w:cs="Arial" w:eastAsia="Arial" w:hAnsi="Arial"/>
                <w:sz w:val="17"/>
                <w:szCs w:val="17"/>
                <w:color w:val="0000EE"/>
                <w:w w:val="88"/>
              </w:rPr>
            </w:pPr>
            <w:hyperlink w:anchor="page17">
              <w:r>
                <w:rPr>
                  <w:rFonts w:ascii="Arial" w:cs="Arial" w:eastAsia="Arial" w:hAnsi="Arial"/>
                  <w:sz w:val="17"/>
                  <w:szCs w:val="17"/>
                  <w:color w:val="0000EE"/>
                  <w:w w:val="88"/>
                </w:rPr>
                <w:t>Risk Factors</w:t>
              </w:r>
            </w:hyperlink>
          </w:p>
        </w:tc>
        <w:tc>
          <w:tcPr>
            <w:tcW w:w="8580" w:type="dxa"/>
            <w:vAlign w:val="bottom"/>
            <w:gridSpan w:val="1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1B.</w:t>
            </w:r>
          </w:p>
        </w:tc>
        <w:tc>
          <w:tcPr>
            <w:tcW w:w="80" w:type="dxa"/>
            <w:vAlign w:val="bottom"/>
          </w:tcPr>
          <w:p>
            <w:pPr>
              <w:spacing w:after="0"/>
              <w:rPr>
                <w:sz w:val="24"/>
                <w:szCs w:val="24"/>
                <w:color w:val="auto"/>
              </w:rPr>
            </w:pPr>
          </w:p>
        </w:tc>
        <w:tc>
          <w:tcPr>
            <w:tcW w:w="1940" w:type="dxa"/>
            <w:vAlign w:val="bottom"/>
            <w:tcBorders>
              <w:bottom w:val="single" w:sz="8" w:color="0000EE"/>
            </w:tcBorders>
            <w:gridSpan w:val="9"/>
          </w:tcPr>
          <w:p>
            <w:pPr>
              <w:spacing w:after="0"/>
              <w:rPr>
                <w:rFonts w:ascii="Arial" w:cs="Arial" w:eastAsia="Arial" w:hAnsi="Arial"/>
                <w:sz w:val="17"/>
                <w:szCs w:val="17"/>
                <w:color w:val="0000EE"/>
                <w:w w:val="90"/>
              </w:rPr>
            </w:pPr>
            <w:hyperlink w:anchor="page33">
              <w:r>
                <w:rPr>
                  <w:rFonts w:ascii="Arial" w:cs="Arial" w:eastAsia="Arial" w:hAnsi="Arial"/>
                  <w:sz w:val="17"/>
                  <w:szCs w:val="17"/>
                  <w:color w:val="0000EE"/>
                  <w:w w:val="90"/>
                </w:rPr>
                <w:t>Unresolved Staff Comments</w:t>
              </w:r>
            </w:hyperlink>
          </w:p>
        </w:tc>
        <w:tc>
          <w:tcPr>
            <w:tcW w:w="75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2.</w:t>
            </w:r>
          </w:p>
        </w:tc>
        <w:tc>
          <w:tcPr>
            <w:tcW w:w="8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rFonts w:ascii="Arial" w:cs="Arial" w:eastAsia="Arial" w:hAnsi="Arial"/>
                <w:sz w:val="17"/>
                <w:szCs w:val="17"/>
                <w:color w:val="0000EE"/>
                <w:w w:val="87"/>
              </w:rPr>
            </w:pPr>
            <w:hyperlink w:anchor="page34">
              <w:r>
                <w:rPr>
                  <w:rFonts w:ascii="Arial" w:cs="Arial" w:eastAsia="Arial" w:hAnsi="Arial"/>
                  <w:sz w:val="17"/>
                  <w:szCs w:val="17"/>
                  <w:color w:val="0000EE"/>
                  <w:w w:val="87"/>
                </w:rPr>
                <w:t>Properties</w:t>
              </w:r>
            </w:hyperlink>
          </w:p>
        </w:tc>
        <w:tc>
          <w:tcPr>
            <w:tcW w:w="8740" w:type="dxa"/>
            <w:vAlign w:val="bottom"/>
            <w:gridSpan w:val="1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3.</w:t>
            </w:r>
          </w:p>
        </w:tc>
        <w:tc>
          <w:tcPr>
            <w:tcW w:w="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Legal Proceedings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
        </w:trPr>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4.</w:t>
            </w:r>
          </w:p>
        </w:tc>
        <w:tc>
          <w:tcPr>
            <w:tcW w:w="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(Removed and Reserved)</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93"/>
        </w:trPr>
        <w:tc>
          <w:tcPr>
            <w:tcW w:w="1500" w:type="dxa"/>
            <w:vAlign w:val="bottom"/>
            <w:gridSpan w:val="6"/>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PART II</w:t>
              </w:r>
            </w:hyperlink>
          </w:p>
        </w:tc>
        <w:tc>
          <w:tcPr>
            <w:tcW w:w="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5.</w:t>
            </w:r>
          </w:p>
        </w:tc>
        <w:tc>
          <w:tcPr>
            <w:tcW w:w="80" w:type="dxa"/>
            <w:vAlign w:val="bottom"/>
          </w:tcPr>
          <w:p>
            <w:pPr>
              <w:spacing w:after="0"/>
              <w:rPr>
                <w:sz w:val="24"/>
                <w:szCs w:val="24"/>
                <w:color w:val="auto"/>
              </w:rPr>
            </w:pPr>
          </w:p>
        </w:tc>
        <w:tc>
          <w:tcPr>
            <w:tcW w:w="7620" w:type="dxa"/>
            <w:vAlign w:val="bottom"/>
            <w:tcBorders>
              <w:bottom w:val="single" w:sz="8" w:color="0000EE"/>
            </w:tcBorders>
            <w:gridSpan w:val="20"/>
          </w:tcPr>
          <w:p>
            <w:pPr>
              <w:spacing w:after="0"/>
              <w:rPr>
                <w:rFonts w:ascii="Arial" w:cs="Arial" w:eastAsia="Arial" w:hAnsi="Arial"/>
                <w:sz w:val="17"/>
                <w:szCs w:val="17"/>
                <w:color w:val="0000EE"/>
                <w:w w:val="90"/>
              </w:rPr>
            </w:pPr>
            <w:hyperlink w:anchor="page35">
              <w:r>
                <w:rPr>
                  <w:rFonts w:ascii="Arial" w:cs="Arial" w:eastAsia="Arial" w:hAnsi="Arial"/>
                  <w:sz w:val="17"/>
                  <w:szCs w:val="17"/>
                  <w:color w:val="0000EE"/>
                  <w:w w:val="90"/>
                </w:rPr>
                <w:t>Market for Registrant’s Common Equity, Related Stockholder Matters and Issuer Purchases of Equity Securities</w:t>
              </w:r>
            </w:hyperlink>
          </w:p>
        </w:tc>
        <w:tc>
          <w:tcPr>
            <w:tcW w:w="18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6.</w:t>
            </w:r>
          </w:p>
        </w:tc>
        <w:tc>
          <w:tcPr>
            <w:tcW w:w="80" w:type="dxa"/>
            <w:vAlign w:val="bottom"/>
          </w:tcPr>
          <w:p>
            <w:pPr>
              <w:spacing w:after="0"/>
              <w:rPr>
                <w:sz w:val="24"/>
                <w:szCs w:val="24"/>
                <w:color w:val="auto"/>
              </w:rPr>
            </w:pPr>
          </w:p>
        </w:tc>
        <w:tc>
          <w:tcPr>
            <w:tcW w:w="1620" w:type="dxa"/>
            <w:vAlign w:val="bottom"/>
            <w:tcBorders>
              <w:bottom w:val="single" w:sz="8" w:color="0000EE"/>
            </w:tcBorders>
            <w:gridSpan w:val="5"/>
          </w:tcPr>
          <w:p>
            <w:pPr>
              <w:spacing w:after="0"/>
              <w:rPr>
                <w:rFonts w:ascii="Arial" w:cs="Arial" w:eastAsia="Arial" w:hAnsi="Arial"/>
                <w:sz w:val="17"/>
                <w:szCs w:val="17"/>
                <w:color w:val="0000EE"/>
                <w:w w:val="89"/>
              </w:rPr>
            </w:pPr>
            <w:hyperlink w:anchor="page36">
              <w:r>
                <w:rPr>
                  <w:rFonts w:ascii="Arial" w:cs="Arial" w:eastAsia="Arial" w:hAnsi="Arial"/>
                  <w:sz w:val="17"/>
                  <w:szCs w:val="17"/>
                  <w:color w:val="0000EE"/>
                  <w:w w:val="89"/>
                </w:rPr>
                <w:t>Selected Financial Data</w:t>
              </w:r>
            </w:hyperlink>
          </w:p>
        </w:tc>
        <w:tc>
          <w:tcPr>
            <w:tcW w:w="782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7.</w:t>
            </w:r>
          </w:p>
        </w:tc>
        <w:tc>
          <w:tcPr>
            <w:tcW w:w="80" w:type="dxa"/>
            <w:vAlign w:val="bottom"/>
          </w:tcPr>
          <w:p>
            <w:pPr>
              <w:spacing w:after="0"/>
              <w:rPr>
                <w:sz w:val="24"/>
                <w:szCs w:val="24"/>
                <w:color w:val="auto"/>
              </w:rPr>
            </w:pPr>
          </w:p>
        </w:tc>
        <w:tc>
          <w:tcPr>
            <w:tcW w:w="6100" w:type="dxa"/>
            <w:vAlign w:val="bottom"/>
            <w:tcBorders>
              <w:bottom w:val="single" w:sz="8" w:color="0000EE"/>
            </w:tcBorders>
            <w:gridSpan w:val="17"/>
          </w:tcPr>
          <w:p>
            <w:pPr>
              <w:spacing w:after="0"/>
              <w:rPr>
                <w:rFonts w:ascii="Arial" w:cs="Arial" w:eastAsia="Arial" w:hAnsi="Arial"/>
                <w:sz w:val="17"/>
                <w:szCs w:val="17"/>
                <w:color w:val="0000EE"/>
                <w:w w:val="90"/>
              </w:rPr>
            </w:pPr>
            <w:hyperlink w:anchor="page38">
              <w:r>
                <w:rPr>
                  <w:rFonts w:ascii="Arial" w:cs="Arial" w:eastAsia="Arial" w:hAnsi="Arial"/>
                  <w:sz w:val="17"/>
                  <w:szCs w:val="17"/>
                  <w:color w:val="0000EE"/>
                  <w:w w:val="90"/>
                </w:rPr>
                <w:t>Management’s Discussion and Analysis of Financial Condition and Results of Operations</w:t>
              </w:r>
            </w:hyperlink>
          </w:p>
        </w:tc>
        <w:tc>
          <w:tcPr>
            <w:tcW w:w="334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7A.</w:t>
            </w:r>
          </w:p>
        </w:tc>
        <w:tc>
          <w:tcPr>
            <w:tcW w:w="80" w:type="dxa"/>
            <w:vAlign w:val="bottom"/>
          </w:tcPr>
          <w:p>
            <w:pPr>
              <w:spacing w:after="0"/>
              <w:rPr>
                <w:sz w:val="24"/>
                <w:szCs w:val="24"/>
                <w:color w:val="auto"/>
              </w:rPr>
            </w:pPr>
          </w:p>
        </w:tc>
        <w:tc>
          <w:tcPr>
            <w:tcW w:w="4120" w:type="dxa"/>
            <w:vAlign w:val="bottom"/>
            <w:tcBorders>
              <w:bottom w:val="single" w:sz="8" w:color="0000EE"/>
            </w:tcBorders>
            <w:gridSpan w:val="15"/>
          </w:tcPr>
          <w:p>
            <w:pPr>
              <w:spacing w:after="0"/>
              <w:rPr>
                <w:rFonts w:ascii="Arial" w:cs="Arial" w:eastAsia="Arial" w:hAnsi="Arial"/>
                <w:sz w:val="17"/>
                <w:szCs w:val="17"/>
                <w:color w:val="0000EE"/>
                <w:w w:val="92"/>
              </w:rPr>
            </w:pPr>
            <w:hyperlink w:anchor="page72">
              <w:r>
                <w:rPr>
                  <w:rFonts w:ascii="Arial" w:cs="Arial" w:eastAsia="Arial" w:hAnsi="Arial"/>
                  <w:sz w:val="17"/>
                  <w:szCs w:val="17"/>
                  <w:color w:val="0000EE"/>
                  <w:w w:val="92"/>
                </w:rPr>
                <w:t>Quantitative and Qualitative Disclosures About Market Risk</w:t>
              </w:r>
            </w:hyperlink>
          </w:p>
        </w:tc>
        <w:tc>
          <w:tcPr>
            <w:tcW w:w="532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8.</w:t>
            </w:r>
          </w:p>
        </w:tc>
        <w:tc>
          <w:tcPr>
            <w:tcW w:w="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Financial Statements and Supplementary Data</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0"/>
        </w:trPr>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9.</w:t>
            </w:r>
          </w:p>
        </w:tc>
        <w:tc>
          <w:tcPr>
            <w:tcW w:w="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Changes in and Disagreements with Accountants on Accounting and Financial Disclosure</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9A.</w:t>
            </w:r>
          </w:p>
        </w:tc>
        <w:tc>
          <w:tcPr>
            <w:tcW w:w="8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88"/>
              </w:rPr>
            </w:pPr>
            <w:hyperlink w:anchor="page137">
              <w:r>
                <w:rPr>
                  <w:rFonts w:ascii="Arial" w:cs="Arial" w:eastAsia="Arial" w:hAnsi="Arial"/>
                  <w:sz w:val="17"/>
                  <w:szCs w:val="17"/>
                  <w:color w:val="0000EE"/>
                  <w:w w:val="88"/>
                </w:rPr>
                <w:t>Controls and Procedures</w:t>
              </w:r>
            </w:hyperlink>
          </w:p>
        </w:tc>
        <w:tc>
          <w:tcPr>
            <w:tcW w:w="4420" w:type="dxa"/>
            <w:vAlign w:val="bottom"/>
            <w:tcBorders>
              <w:top w:val="single" w:sz="8" w:color="0000EE"/>
            </w:tcBorders>
            <w:gridSpan w:val="11"/>
          </w:tcPr>
          <w:p>
            <w:pPr>
              <w:spacing w:after="0"/>
              <w:rPr>
                <w:sz w:val="24"/>
                <w:szCs w:val="24"/>
                <w:color w:val="auto"/>
              </w:rPr>
            </w:pPr>
          </w:p>
        </w:tc>
        <w:tc>
          <w:tcPr>
            <w:tcW w:w="334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9B.</w:t>
            </w:r>
          </w:p>
        </w:tc>
        <w:tc>
          <w:tcPr>
            <w:tcW w:w="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93"/>
        </w:trPr>
        <w:tc>
          <w:tcPr>
            <w:tcW w:w="1500" w:type="dxa"/>
            <w:vAlign w:val="bottom"/>
            <w:gridSpan w:val="6"/>
          </w:tcPr>
          <w:p>
            <w:pPr>
              <w:spacing w:after="0"/>
              <w:rPr>
                <w:rFonts w:ascii="Arial" w:cs="Arial" w:eastAsia="Arial" w:hAnsi="Arial"/>
                <w:sz w:val="17"/>
                <w:szCs w:val="17"/>
                <w:color w:val="0000EE"/>
              </w:rPr>
            </w:pPr>
            <w:hyperlink w:anchor="page138">
              <w:r>
                <w:rPr>
                  <w:rFonts w:ascii="Arial" w:cs="Arial" w:eastAsia="Arial" w:hAnsi="Arial"/>
                  <w:sz w:val="17"/>
                  <w:szCs w:val="17"/>
                  <w:color w:val="0000EE"/>
                </w:rPr>
                <w:t>PART III</w:t>
              </w:r>
            </w:hyperlink>
          </w:p>
        </w:tc>
        <w:tc>
          <w:tcPr>
            <w:tcW w:w="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10.</w:t>
            </w:r>
          </w:p>
        </w:tc>
        <w:tc>
          <w:tcPr>
            <w:tcW w:w="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7"/>
                <w:szCs w:val="17"/>
                <w:color w:val="0000EE"/>
              </w:rPr>
            </w:pPr>
            <w:hyperlink w:anchor="page138">
              <w:r>
                <w:rPr>
                  <w:rFonts w:ascii="Arial" w:cs="Arial" w:eastAsia="Arial" w:hAnsi="Arial"/>
                  <w:sz w:val="17"/>
                  <w:szCs w:val="17"/>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11.</w:t>
            </w:r>
          </w:p>
        </w:tc>
        <w:tc>
          <w:tcPr>
            <w:tcW w:w="80" w:type="dxa"/>
            <w:vAlign w:val="bottom"/>
          </w:tcPr>
          <w:p>
            <w:pPr>
              <w:spacing w:after="0"/>
              <w:rPr>
                <w:sz w:val="24"/>
                <w:szCs w:val="24"/>
                <w:color w:val="auto"/>
              </w:rPr>
            </w:pPr>
          </w:p>
        </w:tc>
        <w:tc>
          <w:tcPr>
            <w:tcW w:w="3860" w:type="dxa"/>
            <w:vAlign w:val="bottom"/>
            <w:tcBorders>
              <w:top w:val="single" w:sz="8" w:color="0000EE"/>
            </w:tcBorders>
            <w:gridSpan w:val="14"/>
          </w:tcPr>
          <w:p>
            <w:pPr>
              <w:spacing w:after="0"/>
              <w:rPr>
                <w:rFonts w:ascii="Arial" w:cs="Arial" w:eastAsia="Arial" w:hAnsi="Arial"/>
                <w:sz w:val="17"/>
                <w:szCs w:val="17"/>
                <w:color w:val="0000EE"/>
              </w:rPr>
            </w:pPr>
            <w:hyperlink w:anchor="page138">
              <w:r>
                <w:rPr>
                  <w:rFonts w:ascii="Arial" w:cs="Arial" w:eastAsia="Arial" w:hAnsi="Arial"/>
                  <w:sz w:val="17"/>
                  <w:szCs w:val="17"/>
                  <w:color w:val="0000EE"/>
                </w:rPr>
                <w:t>Executive Compensation</w:t>
              </w:r>
            </w:hyperlink>
          </w:p>
        </w:tc>
        <w:tc>
          <w:tcPr>
            <w:tcW w:w="55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0"/>
        </w:trPr>
        <w:tc>
          <w:tcPr>
            <w:tcW w:w="6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12.</w:t>
            </w:r>
          </w:p>
        </w:tc>
        <w:tc>
          <w:tcPr>
            <w:tcW w:w="80" w:type="dxa"/>
            <w:vAlign w:val="bottom"/>
          </w:tcPr>
          <w:p>
            <w:pPr>
              <w:spacing w:after="0"/>
              <w:rPr>
                <w:sz w:val="24"/>
                <w:szCs w:val="24"/>
                <w:color w:val="auto"/>
              </w:rPr>
            </w:pPr>
          </w:p>
        </w:tc>
        <w:tc>
          <w:tcPr>
            <w:tcW w:w="6880" w:type="dxa"/>
            <w:vAlign w:val="bottom"/>
            <w:tcBorders>
              <w:bottom w:val="single" w:sz="8" w:color="0000EE"/>
            </w:tcBorders>
            <w:gridSpan w:val="19"/>
          </w:tcPr>
          <w:p>
            <w:pPr>
              <w:spacing w:after="0"/>
              <w:rPr>
                <w:rFonts w:ascii="Arial" w:cs="Arial" w:eastAsia="Arial" w:hAnsi="Arial"/>
                <w:sz w:val="17"/>
                <w:szCs w:val="17"/>
                <w:color w:val="0000EE"/>
                <w:w w:val="90"/>
              </w:rPr>
            </w:pPr>
            <w:hyperlink w:anchor="page138">
              <w:r>
                <w:rPr>
                  <w:rFonts w:ascii="Arial" w:cs="Arial" w:eastAsia="Arial" w:hAnsi="Arial"/>
                  <w:sz w:val="17"/>
                  <w:szCs w:val="17"/>
                  <w:color w:val="0000EE"/>
                  <w:w w:val="90"/>
                </w:rPr>
                <w:t>Security Ownership of Certain Beneficial Owners and Management and Related Stockholder Matters</w:t>
              </w:r>
            </w:hyperlink>
          </w:p>
        </w:tc>
        <w:tc>
          <w:tcPr>
            <w:tcW w:w="256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13.</w:t>
            </w:r>
          </w:p>
        </w:tc>
        <w:tc>
          <w:tcPr>
            <w:tcW w:w="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7"/>
                <w:szCs w:val="17"/>
                <w:color w:val="0000EE"/>
              </w:rPr>
            </w:pPr>
            <w:hyperlink w:anchor="page139">
              <w:r>
                <w:rPr>
                  <w:rFonts w:ascii="Arial" w:cs="Arial" w:eastAsia="Arial" w:hAnsi="Arial"/>
                  <w:sz w:val="17"/>
                  <w:szCs w:val="17"/>
                  <w:color w:val="0000EE"/>
                </w:rPr>
                <w:t>Certain Relationships and Related Transactions, and Director Independence</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14.</w:t>
            </w:r>
          </w:p>
        </w:tc>
        <w:tc>
          <w:tcPr>
            <w:tcW w:w="80" w:type="dxa"/>
            <w:vAlign w:val="bottom"/>
          </w:tcPr>
          <w:p>
            <w:pPr>
              <w:spacing w:after="0"/>
              <w:rPr>
                <w:sz w:val="24"/>
                <w:szCs w:val="24"/>
                <w:color w:val="auto"/>
              </w:rPr>
            </w:pPr>
          </w:p>
        </w:tc>
        <w:tc>
          <w:tcPr>
            <w:tcW w:w="5140" w:type="dxa"/>
            <w:vAlign w:val="bottom"/>
            <w:tcBorders>
              <w:top w:val="single" w:sz="8" w:color="0000EE"/>
            </w:tcBorders>
            <w:gridSpan w:val="16"/>
          </w:tcPr>
          <w:p>
            <w:pPr>
              <w:spacing w:after="0"/>
              <w:rPr>
                <w:rFonts w:ascii="Arial" w:cs="Arial" w:eastAsia="Arial" w:hAnsi="Arial"/>
                <w:sz w:val="17"/>
                <w:szCs w:val="17"/>
                <w:color w:val="0000EE"/>
              </w:rPr>
            </w:pPr>
            <w:hyperlink w:anchor="page139">
              <w:r>
                <w:rPr>
                  <w:rFonts w:ascii="Arial" w:cs="Arial" w:eastAsia="Arial" w:hAnsi="Arial"/>
                  <w:sz w:val="17"/>
                  <w:szCs w:val="17"/>
                  <w:color w:val="0000EE"/>
                </w:rPr>
                <w:t>Principal Accountant Fees and Services</w:t>
              </w:r>
            </w:hyperlink>
          </w:p>
        </w:tc>
        <w:tc>
          <w:tcPr>
            <w:tcW w:w="430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93"/>
        </w:trPr>
        <w:tc>
          <w:tcPr>
            <w:tcW w:w="640" w:type="dxa"/>
            <w:vAlign w:val="bottom"/>
            <w:tcBorders>
              <w:bottom w:val="single" w:sz="8" w:color="0000EE"/>
            </w:tcBorders>
            <w:gridSpan w:val="4"/>
          </w:tcPr>
          <w:p>
            <w:pPr>
              <w:spacing w:after="0"/>
              <w:rPr>
                <w:rFonts w:ascii="Arial" w:cs="Arial" w:eastAsia="Arial" w:hAnsi="Arial"/>
                <w:sz w:val="17"/>
                <w:szCs w:val="17"/>
                <w:color w:val="0000EE"/>
                <w:w w:val="93"/>
              </w:rPr>
            </w:pPr>
            <w:hyperlink w:anchor="page140">
              <w:r>
                <w:rPr>
                  <w:rFonts w:ascii="Arial" w:cs="Arial" w:eastAsia="Arial" w:hAnsi="Arial"/>
                  <w:sz w:val="17"/>
                  <w:szCs w:val="17"/>
                  <w:color w:val="0000EE"/>
                  <w:w w:val="93"/>
                </w:rPr>
                <w:t>PART IV</w:t>
              </w:r>
            </w:hyperlink>
          </w:p>
        </w:tc>
        <w:tc>
          <w:tcPr>
            <w:tcW w:w="8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93"/>
        </w:trPr>
        <w:tc>
          <w:tcPr>
            <w:tcW w:w="1500" w:type="dxa"/>
            <w:vAlign w:val="bottom"/>
            <w:gridSpan w:val="6"/>
          </w:tcPr>
          <w:p>
            <w:pPr>
              <w:ind w:left="420"/>
              <w:spacing w:after="0"/>
              <w:rPr>
                <w:sz w:val="20"/>
                <w:szCs w:val="20"/>
                <w:color w:val="auto"/>
              </w:rPr>
            </w:pPr>
            <w:r>
              <w:rPr>
                <w:rFonts w:ascii="Arial" w:cs="Arial" w:eastAsia="Arial" w:hAnsi="Arial"/>
                <w:sz w:val="17"/>
                <w:szCs w:val="17"/>
                <w:color w:val="auto"/>
              </w:rPr>
              <w:t>Item 15.</w:t>
            </w:r>
          </w:p>
        </w:tc>
        <w:tc>
          <w:tcPr>
            <w:tcW w:w="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7"/>
                <w:szCs w:val="17"/>
                <w:color w:val="0000EE"/>
              </w:rPr>
            </w:pPr>
            <w:hyperlink w:anchor="page140">
              <w:r>
                <w:rPr>
                  <w:rFonts w:ascii="Arial" w:cs="Arial" w:eastAsia="Arial" w:hAnsi="Arial"/>
                  <w:sz w:val="17"/>
                  <w:szCs w:val="17"/>
                  <w:color w:val="0000EE"/>
                </w:rPr>
                <w:t>Exhibits and Financial Statement Schedule</w:t>
              </w:r>
            </w:hyperlink>
            <w:r>
              <w:rPr>
                <w:rFonts w:ascii="Arial" w:cs="Arial" w:eastAsia="Arial" w:hAnsi="Arial"/>
                <w:sz w:val="17"/>
                <w:szCs w:val="17"/>
                <w:color w:val="000000"/>
              </w:rPr>
              <w:t>s</w:t>
            </w:r>
          </w:p>
        </w:tc>
        <w:tc>
          <w:tcPr>
            <w:tcW w:w="320" w:type="dxa"/>
            <w:vAlign w:val="bottom"/>
          </w:tcPr>
          <w:p>
            <w:pPr>
              <w:jc w:val="right"/>
              <w:spacing w:after="0"/>
              <w:rPr>
                <w:sz w:val="20"/>
                <w:szCs w:val="20"/>
                <w:color w:val="auto"/>
              </w:rPr>
            </w:pPr>
            <w:r>
              <w:rPr>
                <w:rFonts w:ascii="Arial" w:cs="Arial" w:eastAsia="Arial" w:hAnsi="Arial"/>
                <w:sz w:val="17"/>
                <w:szCs w:val="17"/>
                <w:color w:val="auto"/>
              </w:rPr>
              <w:t>138</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gridSpan w:val="12"/>
            <w:shd w:val="clear" w:color="auto" w:fill="0000EE"/>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3"/>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7"/>
                <w:szCs w:val="17"/>
                <w:color w:val="0000EE"/>
              </w:rPr>
            </w:pPr>
            <w:hyperlink w:anchor="page146">
              <w:r>
                <w:rPr>
                  <w:rFonts w:ascii="Arial" w:cs="Arial" w:eastAsia="Arial" w:hAnsi="Arial"/>
                  <w:sz w:val="17"/>
                  <w:szCs w:val="17"/>
                  <w:color w:val="0000EE"/>
                </w:rPr>
                <w:t>Index to Financial Statements and Financial Statement Schedule Items 15(a)(1) and 15(a)(2)</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F-1</w:t>
            </w:r>
          </w:p>
        </w:tc>
      </w:tr>
      <w:tr>
        <w:trPr>
          <w:trHeight w:val="293"/>
        </w:trPr>
        <w:tc>
          <w:tcPr>
            <w:tcW w:w="1500" w:type="dxa"/>
            <w:vAlign w:val="bottom"/>
            <w:gridSpan w:val="6"/>
          </w:tcPr>
          <w:p>
            <w:pPr>
              <w:spacing w:after="0"/>
              <w:rPr>
                <w:rFonts w:ascii="Arial" w:cs="Arial" w:eastAsia="Arial" w:hAnsi="Arial"/>
                <w:sz w:val="17"/>
                <w:szCs w:val="17"/>
                <w:color w:val="0000EE"/>
              </w:rPr>
            </w:pPr>
            <w:hyperlink w:anchor="page154">
              <w:r>
                <w:rPr>
                  <w:rFonts w:ascii="Arial" w:cs="Arial" w:eastAsia="Arial" w:hAnsi="Arial"/>
                  <w:sz w:val="17"/>
                  <w:szCs w:val="17"/>
                  <w:color w:val="0000EE"/>
                </w:rPr>
                <w:t>SIGNATURES</w:t>
              </w:r>
            </w:hyperlink>
          </w:p>
        </w:tc>
        <w:tc>
          <w:tcPr>
            <w:tcW w:w="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II-1</w:t>
            </w:r>
          </w:p>
        </w:tc>
      </w:tr>
      <w:tr>
        <w:trPr>
          <w:trHeight w:val="369"/>
        </w:trPr>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80" w:type="dxa"/>
            <w:vAlign w:val="bottom"/>
            <w:gridSpan w:val="7"/>
          </w:tcPr>
          <w:p>
            <w:pPr>
              <w:ind w:left="260"/>
              <w:spacing w:after="0"/>
              <w:rPr>
                <w:sz w:val="20"/>
                <w:szCs w:val="20"/>
                <w:color w:val="auto"/>
              </w:rPr>
            </w:pPr>
            <w:r>
              <w:rPr>
                <w:rFonts w:ascii="Arial" w:cs="Arial" w:eastAsia="Arial" w:hAnsi="Arial"/>
                <w:sz w:val="17"/>
                <w:szCs w:val="17"/>
                <w:color w:val="auto"/>
              </w:rPr>
              <w:t>i</w:t>
            </w:r>
          </w:p>
        </w:tc>
        <w:tc>
          <w:tcPr>
            <w:tcW w:w="320" w:type="dxa"/>
            <w:vAlign w:val="bottom"/>
          </w:tcPr>
          <w:p>
            <w:pPr>
              <w:spacing w:after="0"/>
              <w:rPr>
                <w:sz w:val="24"/>
                <w:szCs w:val="24"/>
                <w:color w:val="auto"/>
              </w:rPr>
            </w:pPr>
          </w:p>
        </w:tc>
      </w:tr>
    </w:tbl>
    <w:p>
      <w:pPr>
        <w:sectPr>
          <w:pgSz w:w="11900" w:h="16838" w:orient="portrait"/>
          <w:cols w:equalWidth="0" w:num="1">
            <w:col w:w="11340"/>
          </w:cols>
          <w:pgMar w:left="240" w:top="448" w:right="31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61"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December 31, 2010 of approximately 94.0% of the common membership interests in Lazard Group and its controlling interest in Lazard Group.</w:t>
      </w:r>
    </w:p>
    <w:p>
      <w:pPr>
        <w:spacing w:after="0" w:line="11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83"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We are one of the world’s preeminent financial advisory and asset management firms and have long specialized in crafting solutions to the complex financial and strategic challenges of our clients. We serve a diverse set of clients around the world, including corporations, partnerships, institutions, governments and high-net worth individuals. The first Lazard partnership was established in 1848. Over time we have extended our activities beyond our roots in New York, Paris and London. We currently operate from 41 cities in key business and financial centers across 26 countries throughout Europe, North America, Asia, Australia, the Middle East and Central and South America.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Separation and Recapitalization</w:t>
      </w:r>
    </w:p>
    <w:p>
      <w:pPr>
        <w:spacing w:after="0" w:line="83"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On May 10, 2005, we completed the equity public offering (the “equity public offering”) of Class A common stock of Lazard Ltd (“Class A common stock”), the public offering of equity security units of Lazard Ltd, the private placements under an investment agreement with IXIS Corporate &amp; Investment Bank (“IXIS” or, following its merger with and into its parent, “Natixis”) and the private offering of the 7.125% senior notes due 2015 of Lazard Group, primarily to recapitalize Lazard Group. We refer to these financing transactions and the recapitalization, collectively, as the “recapitalization.” As part of the recapitalization, Lazard Group used the net proceeds from the financing transactions primarily to redeem the outstanding Lazard Group membership interests of certain of its historical partners.</w:t>
      </w:r>
    </w:p>
    <w:p>
      <w:pPr>
        <w:spacing w:after="0" w:line="107"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On May 10, 2005, Lazard Group also transferred its capital markets business, which consisted of equity, fixed income and convertibles sales and trading, broking, research and underwriting services, and fund management activities outside of France as well as other specified non-operating assets and liabilities, to LFCM Holdings LLC, a Delaware limited liability company (“LFCM Holdings”). We refer to these businesses, assets and liabilities as the “separated businesses” and these transfers collectively as the “separation.”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Business Lines</w:t>
      </w:r>
    </w:p>
    <w:p>
      <w:pPr>
        <w:spacing w:after="0" w:line="83" w:lineRule="exact"/>
        <w:rPr>
          <w:sz w:val="20"/>
          <w:szCs w:val="20"/>
          <w:color w:val="auto"/>
        </w:rPr>
      </w:pPr>
    </w:p>
    <w:p>
      <w:pPr>
        <w:ind w:right="180" w:firstLine="457"/>
        <w:spacing w:after="0" w:line="280" w:lineRule="auto"/>
        <w:rPr>
          <w:sz w:val="20"/>
          <w:szCs w:val="20"/>
          <w:color w:val="auto"/>
        </w:rPr>
      </w:pPr>
      <w:r>
        <w:rPr>
          <w:rFonts w:ascii="Arial" w:cs="Arial" w:eastAsia="Arial" w:hAnsi="Arial"/>
          <w:sz w:val="17"/>
          <w:szCs w:val="17"/>
          <w:color w:val="auto"/>
        </w:rPr>
        <w:t>We focus primarily on two business segments - Financial Advisory and Asset Management. We believe that the mix of our activities across business segments, geographic regions, industries and investment strategies helps to diversify and stabilize our revenue stream.</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Financial Advisory</w:t>
      </w:r>
    </w:p>
    <w:p>
      <w:pPr>
        <w:spacing w:after="0" w:line="79" w:lineRule="exact"/>
        <w:rPr>
          <w:sz w:val="20"/>
          <w:szCs w:val="20"/>
          <w:color w:val="auto"/>
        </w:rPr>
      </w:pPr>
    </w:p>
    <w:p>
      <w:pPr>
        <w:jc w:val="both"/>
        <w:ind w:right="40" w:firstLine="457"/>
        <w:spacing w:after="0" w:line="264" w:lineRule="auto"/>
        <w:rPr>
          <w:sz w:val="20"/>
          <w:szCs w:val="20"/>
          <w:color w:val="auto"/>
        </w:rPr>
      </w:pPr>
      <w:r>
        <w:rPr>
          <w:rFonts w:ascii="Arial" w:cs="Arial" w:eastAsia="Arial" w:hAnsi="Arial"/>
          <w:sz w:val="17"/>
          <w:szCs w:val="17"/>
          <w:color w:val="auto"/>
        </w:rPr>
        <w:t>We offer corporate, partnership, institutional, government, sovereign and individual clients across the globe a wide array of financial advisory services regarding mergers and acquisitions (“M&amp;A”) and other strategic matters, restructurings, capital structure, capital raising and various other corporate finance matters. We focus on solving our clients’ most complex problems, providing advice to senior management, boards of directors and business owners of prominent companies and institutions in transactions that typically are of significant strategic and financial importance to them.</w:t>
      </w:r>
    </w:p>
    <w:p>
      <w:pPr>
        <w:spacing w:after="0" w:line="119" w:lineRule="exact"/>
        <w:rPr>
          <w:sz w:val="20"/>
          <w:szCs w:val="20"/>
          <w:color w:val="auto"/>
        </w:rPr>
      </w:pPr>
    </w:p>
    <w:p>
      <w:pPr>
        <w:ind w:right="520" w:firstLine="457"/>
        <w:spacing w:after="0" w:line="280" w:lineRule="auto"/>
        <w:rPr>
          <w:sz w:val="20"/>
          <w:szCs w:val="20"/>
          <w:color w:val="auto"/>
        </w:rPr>
      </w:pPr>
      <w:r>
        <w:rPr>
          <w:rFonts w:ascii="Arial" w:cs="Arial" w:eastAsia="Arial" w:hAnsi="Arial"/>
          <w:sz w:val="17"/>
          <w:szCs w:val="17"/>
          <w:color w:val="auto"/>
        </w:rPr>
        <w:t>We continue to build our Financial Advisory business by fostering long-term, senior level relationships with existing and new clients as their independent advisor on strategic transactions. We seek to build and sustain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48" w:right="2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40"/>
        <w:spacing w:after="0" w:line="349" w:lineRule="auto"/>
        <w:rPr>
          <w:sz w:val="20"/>
          <w:szCs w:val="20"/>
          <w:color w:val="auto"/>
        </w:rPr>
      </w:pPr>
      <w:r>
        <w:rPr>
          <w:rFonts w:ascii="Arial" w:cs="Arial" w:eastAsia="Arial" w:hAnsi="Arial"/>
          <w:sz w:val="15"/>
          <w:szCs w:val="15"/>
          <w:color w:val="auto"/>
        </w:rPr>
        <w:t>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execution.</w:t>
      </w:r>
    </w:p>
    <w:p>
      <w:pPr>
        <w:spacing w:after="0" w:line="60"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2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For the years ended December 31, 2010, 2009 and 2008, the Financial Advisory segment net revenue totaled $1.120 billion, $987 million and $1.023 billion, respectively, accounting for approximately 59%, 65% and 66%, respectively, of our consolidated net revenue for such years. We earned $1 million or more from 255 clients, 257 clients and 220 clients for the years ended December 31, 2010, 2009 and 2008, respectively. For the years ended December 31, 2010, 2009 and 2008, the ten largest fee paying clients constituted approximately 16%, 17% and 20% of our Financial Advisory segment net revenue, respectively, with no client individually having constituted more than 10% of segment net revenue during any of these years. For the years ended December 31, 2010, 2009 and 2008, the Financial Advisory segment reported operating income (loss) of $169 million, $(12) million and $226 million, respectively. Operating income in 2010 and 2009 included charges of approximately $20 million and $49 million, respectively, representing the portion of special items (as described in Management’s Discussion and Analysis of Financial Condition and Results of Operations and Note 23 of Notes to Consolidated Financial Statements) that are applicable to the Financial Advisory segment. Excluding the impact of such special items, our Financial Advisory segment had operating income of $189 million, $37 million and $226 million in the years ended December 31, 2010, 2009 and 2008, respectively. At December 31, 2010, 2009 and 2008, the Financial Advisory segment had total assets of $799 million, $707 million and $739 million, respectively.</w:t>
      </w:r>
    </w:p>
    <w:p>
      <w:pPr>
        <w:spacing w:after="0" w:line="113"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We believe that we have been pioneers in offering financial advisory services on an international basis, with the establishment of our New York, Paris and London offices dating back to the nineteenth century. We maintain a major local presence in the U.S., the United Kingdom (the “U.K.”) and France, including a network of regional branch offices in the U.S. and France, as well a presence in Argentina, Australia, Belgium, Brazil, Chile, Colombia, Dubai, Germany, Hong Kong, India, Italy, Japan, the Netherlands, Panama, Peru, Singapore, South Korea, Spain, Sweden, Switzerland, Uruguay and mainland China.</w:t>
      </w:r>
    </w:p>
    <w:p>
      <w:pPr>
        <w:spacing w:after="0" w:line="105" w:lineRule="exact"/>
        <w:rPr>
          <w:sz w:val="20"/>
          <w:szCs w:val="20"/>
          <w:color w:val="auto"/>
        </w:rPr>
      </w:pPr>
    </w:p>
    <w:p>
      <w:pPr>
        <w:ind w:right="60" w:firstLine="457"/>
        <w:spacing w:after="0" w:line="297" w:lineRule="auto"/>
        <w:rPr>
          <w:sz w:val="20"/>
          <w:szCs w:val="20"/>
          <w:color w:val="auto"/>
        </w:rPr>
      </w:pPr>
      <w:r>
        <w:rPr>
          <w:rFonts w:ascii="Arial" w:cs="Arial" w:eastAsia="Arial" w:hAnsi="Arial"/>
          <w:sz w:val="15"/>
          <w:szCs w:val="15"/>
          <w:color w:val="auto"/>
        </w:rPr>
        <w:t>Over the past several years, our Financial Advisory segment has made several business acquisitions and entered into certain other business relationships. On August 13, 2007, we acquired all of the outstanding ownership interests of Goldsmith, Agio, Helms &amp; Lynner, LLC (“GAHL”), a Minneapolis-based investment bank specializing in financial advisory services to mid-sized private companies. On July 31, 2007, Lazard Ltd acquired all of the outstanding shares of Carnegie, Wylie &amp; Company (Holdings) PTY LTD (“CWC”), an Australia-based financial advisory firm, and concurrently sold such investment to Lazard Group. Furthermore, on June 19, 2007, we entered into a joint cooperation agreement with Raiffeisen Investment AG (“Raiffeisen”) for merger and acquisition advisory services in Russia and the Central and Eastern European (the “CEE”) region. This cooperation agreement is currently in the process of being renewed. The cooperation between us and Raiffeisen, one of the CEE region’s top M&amp;A advisors, provides domestic, international and cross-border expertise within Russia and the CEE region. In addition, on January 31, 2008, we acquired a 50% interest in Merchant Bankers Asociados (“MBA”), an Argentina-based financial advisory services firm with offices across Central and South America and the parent company of MBA Banco de Inversiones. In February 2009, we entered into a strategic alliance with a financial</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448" w:right="2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advisory firm in Mexico to provide global M&amp;A advisory services for clients, both inside and outside of Mexico, who are seeking to acquire or sell assets in Mexico or have interests in other financial transactions with companies in Mexico, and to provide restructuring advisory services to clients in Mexico.</w:t>
      </w:r>
    </w:p>
    <w:p>
      <w:pPr>
        <w:spacing w:after="0" w:line="105" w:lineRule="exact"/>
        <w:rPr>
          <w:sz w:val="20"/>
          <w:szCs w:val="20"/>
          <w:color w:val="auto"/>
        </w:rPr>
      </w:pPr>
    </w:p>
    <w:p>
      <w:pPr>
        <w:ind w:right="280" w:firstLine="457"/>
        <w:spacing w:after="0" w:line="262" w:lineRule="auto"/>
        <w:rPr>
          <w:sz w:val="20"/>
          <w:szCs w:val="20"/>
          <w:color w:val="auto"/>
        </w:rPr>
      </w:pPr>
      <w:r>
        <w:rPr>
          <w:rFonts w:ascii="Arial" w:cs="Arial" w:eastAsia="Arial" w:hAnsi="Arial"/>
          <w:sz w:val="17"/>
          <w:szCs w:val="17"/>
          <w:color w:val="auto"/>
        </w:rPr>
        <w:t>In addition to seeking business centered in the locations referred to above, we historically have focused in particular on advising clients with respect to cross-border transactions. We believe that we are particularly well known for our legacy of offering broad teams of professionals who are indigenous to their respective regions and who have long-term client relationships, capabilities and know-how in their respective regions, who will coordinate with our professionals with global sector expertise. We also believe that this positioning affords us insight around the globe into key industry, economic, government and regulatory issues and developments, which we can bring to bear on behalf of our clients.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Services Offered</w:t>
      </w:r>
    </w:p>
    <w:p>
      <w:pPr>
        <w:spacing w:after="0" w:line="79" w:lineRule="exact"/>
        <w:rPr>
          <w:sz w:val="20"/>
          <w:szCs w:val="20"/>
          <w:color w:val="auto"/>
        </w:rPr>
      </w:pPr>
    </w:p>
    <w:p>
      <w:pPr>
        <w:ind w:right="60" w:firstLine="457"/>
        <w:spacing w:after="0" w:line="310" w:lineRule="auto"/>
        <w:rPr>
          <w:sz w:val="20"/>
          <w:szCs w:val="20"/>
          <w:color w:val="auto"/>
        </w:rPr>
      </w:pPr>
      <w:r>
        <w:rPr>
          <w:rFonts w:ascii="Arial" w:cs="Arial" w:eastAsia="Arial" w:hAnsi="Arial"/>
          <w:sz w:val="15"/>
          <w:szCs w:val="15"/>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88" w:lineRule="exact"/>
        <w:rPr>
          <w:sz w:val="20"/>
          <w:szCs w:val="20"/>
          <w:color w:val="auto"/>
        </w:rPr>
      </w:pPr>
    </w:p>
    <w:p>
      <w:pPr>
        <w:ind w:right="280" w:firstLine="457"/>
        <w:spacing w:after="0" w:line="282" w:lineRule="auto"/>
        <w:rPr>
          <w:sz w:val="20"/>
          <w:szCs w:val="20"/>
          <w:color w:val="auto"/>
        </w:rPr>
      </w:pPr>
      <w:r>
        <w:rPr>
          <w:rFonts w:ascii="Arial" w:cs="Arial" w:eastAsia="Arial" w:hAnsi="Arial"/>
          <w:sz w:val="16"/>
          <w:szCs w:val="16"/>
          <w:color w:val="auto"/>
        </w:rPr>
        <w:t>When we advise clients that are contemplating the sale of certain businesses, assets or their entire company, our services include advising on the appropriate sales process for the situation, valuation issues, assisting in preparing an offering circular or other appropriate sales materials and rendering, if appropriate, fairness opinions. We also identify and contact selected qualified acquirors and assist in negotiating and closing the proposed sale. As appropriate, we also advise our clients regarding financial and strategic alternatives to a sale including recapitalizations, spin-offs, carve-outs, split-offs and tracking stocks. Our advice includes recommendations with respect to the structure, timing and pricing of these alternatives.</w:t>
      </w:r>
    </w:p>
    <w:p>
      <w:pPr>
        <w:spacing w:after="0" w:line="107"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and recommending financial and strategic alternatives, including providing advice on dividend policy.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all aspects of the implementation of such a plan, including advising and assisting in structuring and effecting the financial aspects of a sale or recapitalization, structuring new securities, exchange offers, other considerations or other inducements to be offered or issued, as well as assisting and participating in negotiations with affected entities or groups.</w:t>
      </w:r>
    </w:p>
    <w:p>
      <w:pPr>
        <w:spacing w:after="0" w:line="108" w:lineRule="exact"/>
        <w:rPr>
          <w:sz w:val="20"/>
          <w:szCs w:val="20"/>
          <w:color w:val="auto"/>
        </w:rPr>
      </w:pPr>
    </w:p>
    <w:p>
      <w:pPr>
        <w:ind w:right="40" w:firstLine="457"/>
        <w:spacing w:after="0" w:line="310" w:lineRule="auto"/>
        <w:rPr>
          <w:sz w:val="20"/>
          <w:szCs w:val="20"/>
          <w:color w:val="auto"/>
        </w:rPr>
      </w:pPr>
      <w:r>
        <w:rPr>
          <w:rFonts w:ascii="Arial" w:cs="Arial" w:eastAsia="Arial" w:hAnsi="Arial"/>
          <w:sz w:val="15"/>
          <w:szCs w:val="15"/>
          <w:color w:val="auto"/>
        </w:rPr>
        <w:t>When we assist clients in raising private or public market financing, our services include originating and executing private placements of equity, debt and related securities, assisting clients in connection with securing, refinancing or restructuring bank loans, originating public underwritings of equity, debt and convertible securities and originating and executing private placements of partnership and similar interests in alternative investment funds such as leveraged buyout, mezzanine or real estate focused funds. In addition, we may advise on capital structure and assist in long-range capital planning and rating agency relationships.</w:t>
      </w:r>
    </w:p>
    <w:p>
      <w:pPr>
        <w:spacing w:after="0" w:line="88" w:lineRule="exact"/>
        <w:rPr>
          <w:sz w:val="20"/>
          <w:szCs w:val="20"/>
          <w:color w:val="auto"/>
        </w:rPr>
      </w:pPr>
    </w:p>
    <w:p>
      <w:pPr>
        <w:ind w:right="120" w:firstLine="457"/>
        <w:spacing w:after="0" w:line="268" w:lineRule="auto"/>
        <w:rPr>
          <w:sz w:val="20"/>
          <w:szCs w:val="20"/>
          <w:color w:val="auto"/>
        </w:rPr>
      </w:pPr>
      <w:r>
        <w:rPr>
          <w:rFonts w:ascii="Arial" w:cs="Arial" w:eastAsia="Arial" w:hAnsi="Arial"/>
          <w:sz w:val="17"/>
          <w:szCs w:val="17"/>
          <w:color w:val="auto"/>
        </w:rPr>
        <w:t>Since the beginning of the financial crisis that began in mid-2007, we have been at the forefront of providing independent advice to governments and governmental agencies challenged by the current troubled environment. Lazard’s Sovereign Advisory Group is also highly active, advising a number of countries with respect to sovereign debt.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8" w:right="2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320" w:firstLine="457"/>
        <w:spacing w:after="0" w:line="262" w:lineRule="auto"/>
        <w:rPr>
          <w:sz w:val="20"/>
          <w:szCs w:val="20"/>
          <w:color w:val="auto"/>
        </w:rPr>
      </w:pPr>
      <w:r>
        <w:rPr>
          <w:rFonts w:ascii="Arial" w:cs="Arial" w:eastAsia="Arial" w:hAnsi="Arial"/>
          <w:sz w:val="17"/>
          <w:szCs w:val="17"/>
          <w:color w:val="auto"/>
        </w:rPr>
        <w:t>In connection with the separation, we entered into a business alliance agreement dated as of May 10, 2005 by and among Lazard Group, LAZ-MD Holdings LLC (“LAZ-MD Holdings”, an entity owned by Lazard Group’s current and former managing directors, including executive officers) and LFCM Holdings (the “business alliance agreement”), pursuant to which a subsidiary of LFCM Holdings generally underwrites and distributes U.S. securities offerings originated by our Financial Advisory business in a manner intended to be similar to our practice prior to the separation, with revenue from such offerings generally continuing to be divided evenly between Lazard Group and LFCM Holdings.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Staffing</w:t>
      </w:r>
    </w:p>
    <w:p>
      <w:pPr>
        <w:spacing w:after="0" w:line="79"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We staff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transaction execution services. Our managing directors have significant experience, and many of them are able to use this experience to advise on both M&amp;A and restructuring transactions, depending on our clients’ needs. Many of our managing directors and senior advisors come from diverse backgrounds, such as senior executive positions at corporations and in government, law and strategic consulting, which we believe enhances our ability to offer sophisticated advice and customized solutions to our clients. As of December 31, 2010, our Financial Advisory segment had 129 managing directors, 673 other professionals (which includes directors, vice presidents, associates and analysts) and 222 support staff personnel.</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Industries Served</w:t>
      </w:r>
    </w:p>
    <w:p>
      <w:pPr>
        <w:spacing w:after="0" w:line="79" w:lineRule="exact"/>
        <w:rPr>
          <w:sz w:val="20"/>
          <w:szCs w:val="20"/>
          <w:color w:val="auto"/>
        </w:rPr>
      </w:pPr>
    </w:p>
    <w:p>
      <w:pPr>
        <w:ind w:right="300" w:firstLine="457"/>
        <w:spacing w:after="0" w:line="280" w:lineRule="auto"/>
        <w:rPr>
          <w:sz w:val="20"/>
          <w:szCs w:val="20"/>
          <w:color w:val="auto"/>
        </w:rPr>
      </w:pPr>
      <w:r>
        <w:rPr>
          <w:rFonts w:ascii="Arial" w:cs="Arial" w:eastAsia="Arial" w:hAnsi="Arial"/>
          <w:sz w:val="17"/>
          <w:szCs w:val="17"/>
          <w:color w:val="auto"/>
        </w:rPr>
        <w:t>We seek to offer our services across most major industry groups, including, in many cases, sub-industry specialties. Our Mergers and Acquisitions managing directors and professionals are organized to provide advice in the following major industry practice areas:</w:t>
      </w:r>
    </w:p>
    <w:p>
      <w:pPr>
        <w:spacing w:after="0" w:line="27" w:lineRule="exact"/>
        <w:rPr>
          <w:sz w:val="20"/>
          <w:szCs w:val="20"/>
          <w:color w:val="auto"/>
        </w:rPr>
      </w:pPr>
    </w:p>
    <w:p>
      <w:pPr>
        <w:ind w:left="780" w:hanging="319"/>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consumer,</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institutions,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sponsors,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healthcare and life sciences,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industrial,</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power and energy/infrastructure,</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real estate,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technology, media and telecommunications.</w:t>
      </w:r>
    </w:p>
    <w:p>
      <w:pPr>
        <w:spacing w:after="0" w:line="183"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These groups are managed locally in each relevant geographic region and are coordinated globally, which allows us to bring local industry-specific knowledge to bear on behalf of our clients on a global basis. We believe that this enhances the quality of the advice that we can offer, which improves our ability to market our capabilities to clients.</w:t>
      </w:r>
    </w:p>
    <w:p>
      <w:pPr>
        <w:spacing w:after="0" w:line="115" w:lineRule="exact"/>
        <w:rPr>
          <w:sz w:val="20"/>
          <w:szCs w:val="20"/>
          <w:color w:val="auto"/>
        </w:rPr>
      </w:pPr>
    </w:p>
    <w:p>
      <w:pPr>
        <w:ind w:right="20" w:firstLine="457"/>
        <w:spacing w:after="0" w:line="280" w:lineRule="auto"/>
        <w:rPr>
          <w:sz w:val="20"/>
          <w:szCs w:val="20"/>
          <w:color w:val="auto"/>
        </w:rPr>
      </w:pPr>
      <w:r>
        <w:rPr>
          <w:rFonts w:ascii="Arial" w:cs="Arial" w:eastAsia="Arial" w:hAnsi="Arial"/>
          <w:sz w:val="17"/>
          <w:szCs w:val="17"/>
          <w:color w:val="auto"/>
        </w:rPr>
        <w:t>In addition to our Mergers and Acquisitions and Restructuring practices, we also maintain specialties in the following distinct practice areas within our Financial Advisory segment:</w:t>
      </w:r>
    </w:p>
    <w:p>
      <w:pPr>
        <w:spacing w:after="0" w:line="27" w:lineRule="exact"/>
        <w:rPr>
          <w:sz w:val="20"/>
          <w:szCs w:val="20"/>
          <w:color w:val="auto"/>
        </w:rPr>
      </w:pPr>
    </w:p>
    <w:p>
      <w:pPr>
        <w:ind w:left="780" w:hanging="319"/>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government advisory,</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capital structure and debt advisory,</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fund raising for alternative investment funds,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448" w:right="2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80" w:hanging="319"/>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private investment in public equities, or “PIPES”,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corporate finance and other advisory services, including convertible exchange transactions, Registered Direct offerings and private placements.</w:t>
      </w:r>
    </w:p>
    <w:p>
      <w:pPr>
        <w:spacing w:after="0" w:line="194" w:lineRule="exact"/>
        <w:rPr>
          <w:sz w:val="20"/>
          <w:szCs w:val="20"/>
          <w:color w:val="auto"/>
        </w:rPr>
      </w:pPr>
    </w:p>
    <w:p>
      <w:pPr>
        <w:ind w:right="540" w:firstLine="457"/>
        <w:spacing w:after="0" w:line="280" w:lineRule="auto"/>
        <w:rPr>
          <w:sz w:val="20"/>
          <w:szCs w:val="20"/>
          <w:color w:val="auto"/>
        </w:rPr>
      </w:pPr>
      <w:r>
        <w:rPr>
          <w:rFonts w:ascii="Arial" w:cs="Arial" w:eastAsia="Arial" w:hAnsi="Arial"/>
          <w:sz w:val="17"/>
          <w:szCs w:val="17"/>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Strategy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focus in our Financial Advisory business is on:</w:t>
      </w:r>
    </w:p>
    <w:p>
      <w:pPr>
        <w:spacing w:after="0" w:line="79" w:lineRule="exact"/>
        <w:rPr>
          <w:sz w:val="20"/>
          <w:szCs w:val="20"/>
          <w:color w:val="auto"/>
        </w:rPr>
      </w:pPr>
    </w:p>
    <w:p>
      <w:pPr>
        <w:ind w:left="780" w:right="380" w:hanging="319"/>
        <w:spacing w:after="0" w:line="280"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making a significant investment in our intellectual capital with the addition of senior professionals who we believe have strong client relationships and industry expertise,</w:t>
      </w:r>
    </w:p>
    <w:p>
      <w:pPr>
        <w:spacing w:after="0" w:line="26" w:lineRule="exact"/>
        <w:rPr>
          <w:rFonts w:ascii="Arial" w:cs="Arial" w:eastAsia="Arial" w:hAnsi="Arial"/>
          <w:sz w:val="17"/>
          <w:szCs w:val="17"/>
          <w:color w:val="auto"/>
        </w:rPr>
      </w:pPr>
    </w:p>
    <w:p>
      <w:pPr>
        <w:ind w:left="780" w:hanging="319"/>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16" w:lineRule="exact"/>
        <w:rPr>
          <w:rFonts w:ascii="Arial" w:cs="Arial" w:eastAsia="Arial" w:hAnsi="Arial"/>
          <w:sz w:val="16"/>
          <w:szCs w:val="16"/>
          <w:color w:val="auto"/>
        </w:rPr>
      </w:pPr>
    </w:p>
    <w:p>
      <w:pPr>
        <w:ind w:left="780" w:right="300" w:hanging="319"/>
        <w:spacing w:after="0" w:line="313"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expanding the breadth and depth of our industry expertise and selectively adding new practice areas, such as our capital structure advisory effort to help corporations and governments in addressing the significant deleveraging that is occurring in the developed markets,</w:t>
      </w:r>
    </w:p>
    <w:p>
      <w:pPr>
        <w:spacing w:after="0" w:line="2" w:lineRule="exact"/>
        <w:rPr>
          <w:rFonts w:ascii="Arial" w:cs="Arial" w:eastAsia="Arial" w:hAnsi="Arial"/>
          <w:sz w:val="16"/>
          <w:szCs w:val="16"/>
          <w:color w:val="auto"/>
        </w:rPr>
      </w:pPr>
    </w:p>
    <w:p>
      <w:pPr>
        <w:ind w:left="780" w:right="260" w:hanging="319"/>
        <w:spacing w:after="0" w:line="280"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coordinating our industry specialty activities on a global basis and increasing the integration of our industry experts in mergers and acquisitions with our Restructuring and Capital Markets professionals, and</w:t>
      </w:r>
    </w:p>
    <w:p>
      <w:pPr>
        <w:spacing w:after="0" w:line="26" w:lineRule="exact"/>
        <w:rPr>
          <w:rFonts w:ascii="Arial" w:cs="Arial" w:eastAsia="Arial" w:hAnsi="Arial"/>
          <w:sz w:val="17"/>
          <w:szCs w:val="17"/>
          <w:color w:val="auto"/>
        </w:rPr>
      </w:pPr>
    </w:p>
    <w:p>
      <w:pPr>
        <w:ind w:left="780" w:right="40" w:hanging="319"/>
        <w:spacing w:after="0" w:line="310"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broadening our geographic presence by adding new offices, including, since the beginning of 2007, offices in Australia (Melbourne and Perth), Switzerland (Zurich) and United Arab Emirates (Dubai City), as well as new regional offices in the U.S. (Boston, Minneapolis, Charlotte and Washington DC), acquiring a 50% interest in a financial advisory firm with offices in Central and South America (Argentina, Chile, Colombia, Panama, Peru and Uruguay) and entering into a joint cooperation agreement in Eastern Europe and Russia, as well as a strategic alliance with a financial advisory firm in Mexico.</w:t>
      </w:r>
    </w:p>
    <w:p>
      <w:pPr>
        <w:spacing w:after="0" w:line="88" w:lineRule="exact"/>
        <w:rPr>
          <w:sz w:val="20"/>
          <w:szCs w:val="20"/>
          <w:color w:val="auto"/>
        </w:rPr>
      </w:pPr>
    </w:p>
    <w:p>
      <w:pPr>
        <w:ind w:right="80" w:firstLine="457"/>
        <w:spacing w:after="0" w:line="280" w:lineRule="auto"/>
        <w:rPr>
          <w:sz w:val="20"/>
          <w:szCs w:val="20"/>
          <w:color w:val="auto"/>
        </w:rPr>
      </w:pPr>
      <w:r>
        <w:rPr>
          <w:rFonts w:ascii="Arial" w:cs="Arial" w:eastAsia="Arial" w:hAnsi="Arial"/>
          <w:sz w:val="17"/>
          <w:szCs w:val="17"/>
          <w:color w:val="auto"/>
        </w:rPr>
        <w:t>In addition to the investments made as part of this strategy, we believe that the following external market factors may enable our Financial Advisory business to benefit by:</w:t>
      </w:r>
    </w:p>
    <w:p>
      <w:pPr>
        <w:spacing w:after="0" w:line="27" w:lineRule="exact"/>
        <w:rPr>
          <w:sz w:val="20"/>
          <w:szCs w:val="20"/>
          <w:color w:val="auto"/>
        </w:rPr>
      </w:pPr>
    </w:p>
    <w:p>
      <w:pPr>
        <w:ind w:left="780" w:hanging="319"/>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increasing demand for independent, unbiased financial advice,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potential increase in cross-border M&amp;A and large capitalization M&amp;A, two of our areas of historical specialization.</w:t>
      </w:r>
    </w:p>
    <w:p>
      <w:pPr>
        <w:spacing w:after="0" w:line="183"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Going forward, our strategic emphasis in our Financial Advisory business is to leverage the investments we have made in recent years to grow our business and drive our productivity. We continue to seek to opportunistically attract outstanding individuals to our business. We routinely reassess our strategic position and may in the future seek opportunities to further enhance our competitive position. In this regard, since 2007, as described above, we broadened our geographic footprint through acquisitions, investments and alliances.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Relationship with Natixis</w:t>
      </w:r>
    </w:p>
    <w:p>
      <w:pPr>
        <w:spacing w:after="0" w:line="79"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Lazard Group and Natixis have in place a cooperation arrangement to place and underwrite securities in the French capital markets under a common brand, currently “Lazard-Natixis,” and cooperate in their respective origination, syndication, placement and other activities, whose term continues through July 8, 2012. This arrangement primarily covers French listed companies included in the Société des Bourses Francaises (“SBF”) 120 Index and initial public offerings with an expected resulting market capitalization of at least €500 million.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448" w:right="2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Asset Management</w:t>
      </w:r>
    </w:p>
    <w:p>
      <w:pPr>
        <w:spacing w:after="0" w:line="79" w:lineRule="exact"/>
        <w:rPr>
          <w:sz w:val="20"/>
          <w:szCs w:val="20"/>
          <w:color w:val="auto"/>
        </w:rPr>
      </w:pPr>
    </w:p>
    <w:p>
      <w:pPr>
        <w:jc w:val="both"/>
        <w:ind w:right="320" w:firstLine="457"/>
        <w:spacing w:after="0" w:line="264" w:lineRule="auto"/>
        <w:rPr>
          <w:sz w:val="20"/>
          <w:szCs w:val="20"/>
          <w:color w:val="auto"/>
        </w:rPr>
      </w:pPr>
      <w:r>
        <w:rPr>
          <w:rFonts w:ascii="Arial" w:cs="Arial" w:eastAsia="Arial" w:hAnsi="Arial"/>
          <w:sz w:val="17"/>
          <w:szCs w:val="17"/>
          <w:color w:val="auto"/>
        </w:rPr>
        <w:t>Our Asset Management business provides investment management and advisory services to institutional clients, financial intermediaries, private clients and investment vehicles around the world. Our goal in our Asset Management business is to produce superior risk-adjusted investment returns and provide investment solutions customized for our clients. Many of our equity investment strategies share an investment philosophy that centers on fundamental security selection with a focus on the trade-off between a company’s valuation and its financial productivity.</w:t>
      </w:r>
    </w:p>
    <w:p>
      <w:pPr>
        <w:spacing w:after="0" w:line="11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As of December 31, 2010, total assets under management (“AUM”) were $155.3 billion, of which approximately 85% was invested in equities, 11% in fixed income, 3% in alternative investments, and 1% in private equity funds. As of the same date, approximately 30% of our AUM was invested in international (</w:t>
      </w:r>
      <w:r>
        <w:rPr>
          <w:rFonts w:ascii="Arial" w:cs="Arial" w:eastAsia="Arial" w:hAnsi="Arial"/>
          <w:sz w:val="17"/>
          <w:szCs w:val="17"/>
          <w:i w:val="1"/>
          <w:iCs w:val="1"/>
          <w:color w:val="auto"/>
        </w:rPr>
        <w:t>i.e.</w:t>
      </w:r>
      <w:r>
        <w:rPr>
          <w:rFonts w:ascii="Arial" w:cs="Arial" w:eastAsia="Arial" w:hAnsi="Arial"/>
          <w:sz w:val="17"/>
          <w:szCs w:val="17"/>
          <w:color w:val="auto"/>
        </w:rPr>
        <w:t>, non-U.S. and regional non-U.S.) investment strategies, 50% was invested in global investment strategies and 20% was invested in U.S. investment strategies, and our top ten clients accounted for 22% of our total AUM. Approximately 90% of our AUM as of that date was managed on behalf of institutional clients, including corporations, labor unions, public pension funds, insurance companies and banks, and through sub-advisory relationships, mutual fund sponsors, broker-dealers and registered advisors, and approximately 10% of our AUM as of December 31, 2010 was managed on behalf of individual client relationships, which are principally with family offices and high-net worth individuals.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charts below illustrate the mix of our AUM as of December 31, 2010,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4740275" cy="1375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40275" cy="1375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For the years ended December 31, 2010, 2009 and 2008, our Asset Management segment net revenue totaled $850 million, $602 million and $615 million, respectively, accounting for approximately 45%, 39% and 39%, respectively, of our consolidated net revenue for such years. For the years ended December 31, 2010, 2009 and 2008, Asset Management reported operating income (loss) of $265 million, $97 million and $(63) million, respectively. Operating income (loss) in 2010, 2009 and 2008 included charges of $3 million, $8 million and approximately $197 million, respectively, representing the portion of the special items (as described in Management’s Discussion and Analysis of Financial Condition and Results of Operations and Note 23 of Notes to Consolidated Financial Statements) that are applicable to the Asset Management segment. Excluding the impact of such special items, our Asset Management segment had operating income of $268 million, $105 million and $134 million in the years ended December 31, 2010, 2009 and 2008, respectively. At December 31, 2010, 2009 and 2008, our Asset Management segment had total assets of $687 million, $703 million and $420 million, respectively.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LAM and LFG</w:t>
      </w:r>
    </w:p>
    <w:p>
      <w:pPr>
        <w:spacing w:after="0" w:line="79" w:lineRule="exact"/>
        <w:rPr>
          <w:sz w:val="20"/>
          <w:szCs w:val="20"/>
          <w:color w:val="auto"/>
        </w:rPr>
      </w:pPr>
    </w:p>
    <w:p>
      <w:pPr>
        <w:ind w:right="80" w:firstLine="457"/>
        <w:spacing w:after="0" w:line="349" w:lineRule="auto"/>
        <w:rPr>
          <w:sz w:val="20"/>
          <w:szCs w:val="20"/>
          <w:color w:val="auto"/>
        </w:rPr>
      </w:pPr>
      <w:r>
        <w:rPr>
          <w:rFonts w:ascii="Arial" w:cs="Arial" w:eastAsia="Arial" w:hAnsi="Arial"/>
          <w:sz w:val="15"/>
          <w:szCs w:val="15"/>
          <w:color w:val="auto"/>
        </w:rPr>
        <w:t>Our largest Asset Management subsidiaries are Lazard Asset Management LLC and its subsidiaries (“LAM”), with offices in New York, San Francisco, Boston, Chicago, Toronto, Montreal, London, Milan, Frankfurt, Hamburg, Tokyo, Hong Kong, Sydney, Seoul and Bahrain (aggregating approximately $140.6 billion</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48"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in total AUM as of December 31, 2010), and Lazard Frères Gestion SAS (“LFG”), with offices in Paris and Brussels (aggregating approximately $13.5 billion in total AUM as of December 31, 2010). These operations, with 630 employees as of December 31, 2010, provide our business with both a global presence and a local identity.</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Primary distinguishing features of these operations include:</w:t>
      </w:r>
    </w:p>
    <w:p>
      <w:pPr>
        <w:spacing w:after="0" w:line="79" w:lineRule="exact"/>
        <w:rPr>
          <w:sz w:val="20"/>
          <w:szCs w:val="20"/>
          <w:color w:val="auto"/>
        </w:rPr>
      </w:pPr>
    </w:p>
    <w:p>
      <w:pPr>
        <w:ind w:left="780" w:hanging="319"/>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global footprint with global research, global mandates and global clients,</w:t>
      </w:r>
    </w:p>
    <w:p>
      <w:pPr>
        <w:spacing w:after="0" w:line="104" w:lineRule="exact"/>
        <w:rPr>
          <w:rFonts w:ascii="Arial" w:cs="Arial" w:eastAsia="Arial" w:hAnsi="Arial"/>
          <w:sz w:val="17"/>
          <w:szCs w:val="17"/>
          <w:color w:val="auto"/>
        </w:rPr>
      </w:pPr>
    </w:p>
    <w:p>
      <w:pPr>
        <w:ind w:left="780" w:hanging="319"/>
        <w:spacing w:after="0" w:line="268"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broad-based team of approximately 250 investment professionals at December 31, 2010: LAM had approximately 215 investment professionals, including approximately 95 focused, in-house, investment analysts across all products and platforms, many of whom have substantial industry or sector specific expertise, and LFG had approximately 35 investment professionals, including research analysts,</w:t>
      </w:r>
    </w:p>
    <w:p>
      <w:pPr>
        <w:spacing w:after="0" w:line="36" w:lineRule="exact"/>
        <w:rPr>
          <w:rFonts w:ascii="Arial" w:cs="Arial" w:eastAsia="Arial" w:hAnsi="Arial"/>
          <w:sz w:val="17"/>
          <w:szCs w:val="17"/>
          <w:color w:val="auto"/>
        </w:rPr>
      </w:pPr>
    </w:p>
    <w:p>
      <w:pPr>
        <w:ind w:left="780" w:hanging="319"/>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security selection-based investment philosophy applied across products,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world-wide brand recognition and multi-channel distribution capabilities.</w:t>
      </w:r>
    </w:p>
    <w:p>
      <w:pPr>
        <w:spacing w:after="0" w:line="183" w:lineRule="exact"/>
        <w:rPr>
          <w:sz w:val="20"/>
          <w:szCs w:val="20"/>
          <w:color w:val="auto"/>
        </w:rPr>
      </w:pPr>
    </w:p>
    <w:p>
      <w:pPr>
        <w:ind w:left="460"/>
        <w:spacing w:after="0"/>
        <w:tabs>
          <w:tab w:leader="none" w:pos="4080" w:val="left"/>
        </w:tabs>
        <w:rPr>
          <w:sz w:val="20"/>
          <w:szCs w:val="20"/>
          <w:color w:val="auto"/>
        </w:rPr>
      </w:pPr>
      <w:r>
        <w:rPr>
          <w:rFonts w:ascii="Arial" w:cs="Arial" w:eastAsia="Arial" w:hAnsi="Arial"/>
          <w:sz w:val="17"/>
          <w:szCs w:val="17"/>
          <w:i w:val="1"/>
          <w:iCs w:val="1"/>
          <w:color w:val="auto"/>
        </w:rPr>
        <w:t>Our Investment Philosophy, Process and Research</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Our investment philosophy is generally based upon a fundamental security selection approach to investing.</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Across many of our products, we apply three key principles to investment portfolios:</w:t>
      </w:r>
    </w:p>
    <w:p>
      <w:pPr>
        <w:spacing w:after="0" w:line="72" w:lineRule="exact"/>
        <w:rPr>
          <w:sz w:val="20"/>
          <w:szCs w:val="20"/>
          <w:color w:val="auto"/>
        </w:rPr>
      </w:pPr>
    </w:p>
    <w:p>
      <w:pPr>
        <w:ind w:left="780" w:hanging="319"/>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select securities, not markets,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evaluate the trade-off between returns and valuations,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manage risk.</w:t>
      </w:r>
    </w:p>
    <w:p>
      <w:pPr>
        <w:spacing w:after="0" w:line="183" w:lineRule="exact"/>
        <w:rPr>
          <w:sz w:val="20"/>
          <w:szCs w:val="20"/>
          <w:color w:val="auto"/>
        </w:rPr>
      </w:pPr>
    </w:p>
    <w:p>
      <w:pPr>
        <w:ind w:right="260" w:firstLine="457"/>
        <w:spacing w:after="0" w:line="280" w:lineRule="auto"/>
        <w:rPr>
          <w:sz w:val="20"/>
          <w:szCs w:val="20"/>
          <w:color w:val="auto"/>
        </w:rPr>
      </w:pPr>
      <w:r>
        <w:rPr>
          <w:rFonts w:ascii="Arial" w:cs="Arial" w:eastAsia="Arial" w:hAnsi="Arial"/>
          <w:sz w:val="17"/>
          <w:szCs w:val="17"/>
          <w:color w:val="auto"/>
        </w:rPr>
        <w:t>In searching for equity investment opportunities, many of our investment professionals follow an investment process that incorporates several interconnected components that may include:</w:t>
      </w:r>
    </w:p>
    <w:p>
      <w:pPr>
        <w:spacing w:after="0" w:line="27" w:lineRule="exact"/>
        <w:rPr>
          <w:sz w:val="20"/>
          <w:szCs w:val="20"/>
          <w:color w:val="auto"/>
        </w:rPr>
      </w:pPr>
    </w:p>
    <w:p>
      <w:pPr>
        <w:ind w:left="780" w:hanging="319"/>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analytical framework analysis and screening,</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accounting validation,</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fundamental analysis,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security selection and portfolio construction,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At LAM, we conduct investment research on a global basis to develop market, industry and company specific insights and evaluate investment opportunities.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LAM global equity analysts, located in our worldwide offices, are organized around six global industry sectors:</w:t>
      </w:r>
    </w:p>
    <w:p>
      <w:pPr>
        <w:spacing w:after="0" w:line="72" w:lineRule="exact"/>
        <w:rPr>
          <w:sz w:val="20"/>
          <w:szCs w:val="20"/>
          <w:color w:val="auto"/>
        </w:rPr>
      </w:pPr>
    </w:p>
    <w:p>
      <w:pPr>
        <w:ind w:left="780" w:hanging="319"/>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consumer goods,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financial services,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health care,</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industrials,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power,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technology, media and telecommunications.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448" w:right="25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0" w:firstLine="457"/>
        <w:spacing w:after="0" w:line="313"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 clients,</w:t>
      </w:r>
      <w:r>
        <w:rPr>
          <w:rFonts w:ascii="Arial" w:cs="Arial" w:eastAsia="Arial" w:hAnsi="Arial"/>
          <w:sz w:val="16"/>
          <w:szCs w:val="16"/>
          <w:i w:val="1"/>
          <w:iCs w:val="1"/>
          <w:color w:val="auto"/>
        </w:rPr>
        <w:t xml:space="preserve"> </w:t>
      </w:r>
      <w:r>
        <w:rPr>
          <w:rFonts w:ascii="Arial" w:cs="Arial" w:eastAsia="Arial" w:hAnsi="Arial"/>
          <w:sz w:val="16"/>
          <w:szCs w:val="16"/>
          <w:color w:val="auto"/>
        </w:rPr>
        <w:t>paying close attention to our clients’ varying and expanding investment needs. We offer the following product platform of investment strategies:</w:t>
      </w:r>
    </w:p>
    <w:p>
      <w:pPr>
        <w:sectPr>
          <w:pgSz w:w="11900" w:h="16838" w:orient="portrait"/>
          <w:cols w:equalWidth="0" w:num="1">
            <w:col w:w="11400"/>
          </w:cols>
          <w:pgMar w:left="240" w:top="448" w:right="259" w:bottom="1440" w:gutter="0" w:footer="0" w:header="0"/>
        </w:sectPr>
      </w:pP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00" w:type="dxa"/>
            <w:vAlign w:val="bottom"/>
            <w:vMerge w:val="restart"/>
          </w:tcPr>
          <w:p>
            <w:pPr>
              <w:spacing w:after="0"/>
              <w:rPr>
                <w:sz w:val="20"/>
                <w:szCs w:val="20"/>
                <w:color w:val="auto"/>
              </w:rPr>
            </w:pPr>
            <w:r>
              <w:rPr>
                <w:rFonts w:ascii="Arial" w:cs="Arial" w:eastAsia="Arial" w:hAnsi="Arial"/>
                <w:sz w:val="17"/>
                <w:szCs w:val="17"/>
                <w:b w:val="1"/>
                <w:bCs w:val="1"/>
                <w:color w:val="auto"/>
              </w:rPr>
              <w:t>Equities</w:t>
            </w:r>
          </w:p>
        </w:tc>
        <w:tc>
          <w:tcPr>
            <w:tcW w:w="1640" w:type="dxa"/>
            <w:vAlign w:val="bottom"/>
          </w:tcPr>
          <w:p>
            <w:pPr>
              <w:spacing w:after="0"/>
              <w:rPr>
                <w:sz w:val="13"/>
                <w:szCs w:val="13"/>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8"/>
              </w:rPr>
              <w:t>Global</w:t>
            </w:r>
          </w:p>
        </w:tc>
        <w:tc>
          <w:tcPr>
            <w:tcW w:w="0" w:type="dxa"/>
            <w:vAlign w:val="bottom"/>
          </w:tcPr>
          <w:p>
            <w:pPr>
              <w:spacing w:after="0"/>
              <w:rPr>
                <w:sz w:val="1"/>
                <w:szCs w:val="1"/>
                <w:color w:val="auto"/>
              </w:rPr>
            </w:pPr>
          </w:p>
        </w:tc>
      </w:tr>
      <w:tr>
        <w:trPr>
          <w:trHeight w:val="193"/>
        </w:trPr>
        <w:tc>
          <w:tcPr>
            <w:tcW w:w="2000" w:type="dxa"/>
            <w:vAlign w:val="bottom"/>
            <w:vMerge w:val="continue"/>
          </w:tcPr>
          <w:p>
            <w:pPr>
              <w:spacing w:after="0"/>
              <w:rPr>
                <w:sz w:val="16"/>
                <w:szCs w:val="16"/>
                <w:color w:val="auto"/>
              </w:rPr>
            </w:pPr>
          </w:p>
        </w:tc>
        <w:tc>
          <w:tcPr>
            <w:tcW w:w="1640" w:type="dxa"/>
            <w:vAlign w:val="bottom"/>
          </w:tcPr>
          <w:p>
            <w:pPr>
              <w:ind w:left="300"/>
              <w:spacing w:after="0" w:line="194" w:lineRule="exact"/>
              <w:rPr>
                <w:sz w:val="20"/>
                <w:szCs w:val="20"/>
                <w:color w:val="auto"/>
              </w:rPr>
            </w:pPr>
            <w:r>
              <w:rPr>
                <w:rFonts w:ascii="Arial" w:cs="Arial" w:eastAsia="Arial" w:hAnsi="Arial"/>
                <w:sz w:val="17"/>
                <w:szCs w:val="17"/>
                <w:b w:val="1"/>
                <w:bCs w:val="1"/>
                <w:i w:val="1"/>
                <w:iCs w:val="1"/>
                <w:color w:val="auto"/>
              </w:rPr>
              <w:t>Global</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Large Capitalization</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Small Capitalization</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Emerging Markets</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Thematic</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Convertibles*</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Listed Infrastructure</w:t>
            </w: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Quantitative</w:t>
            </w:r>
          </w:p>
        </w:tc>
        <w:tc>
          <w:tcPr>
            <w:tcW w:w="0" w:type="dxa"/>
            <w:vAlign w:val="bottom"/>
          </w:tcPr>
          <w:p>
            <w:pPr>
              <w:spacing w:after="0"/>
              <w:rPr>
                <w:sz w:val="1"/>
                <w:szCs w:val="1"/>
                <w:color w:val="auto"/>
              </w:rPr>
            </w:pPr>
          </w:p>
        </w:tc>
      </w:tr>
      <w:tr>
        <w:trPr>
          <w:trHeight w:val="268"/>
        </w:trPr>
        <w:tc>
          <w:tcPr>
            <w:tcW w:w="2000" w:type="dxa"/>
            <w:vAlign w:val="bottom"/>
          </w:tcPr>
          <w:p>
            <w:pPr>
              <w:spacing w:after="0"/>
              <w:rPr>
                <w:sz w:val="23"/>
                <w:szCs w:val="23"/>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b w:val="1"/>
                <w:bCs w:val="1"/>
                <w:i w:val="1"/>
                <w:iCs w:val="1"/>
                <w:color w:val="auto"/>
              </w:rPr>
              <w:t>EAFE (Non-U.S.)</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Large Capitalization</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Small Capitalization</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Multi-Capitalization</w:t>
            </w: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Quantitative</w:t>
            </w:r>
          </w:p>
        </w:tc>
        <w:tc>
          <w:tcPr>
            <w:tcW w:w="0" w:type="dxa"/>
            <w:vAlign w:val="bottom"/>
          </w:tcPr>
          <w:p>
            <w:pPr>
              <w:spacing w:after="0"/>
              <w:rPr>
                <w:sz w:val="1"/>
                <w:szCs w:val="1"/>
                <w:color w:val="auto"/>
              </w:rPr>
            </w:pPr>
          </w:p>
        </w:tc>
      </w:tr>
      <w:tr>
        <w:trPr>
          <w:trHeight w:val="268"/>
        </w:trPr>
        <w:tc>
          <w:tcPr>
            <w:tcW w:w="2000" w:type="dxa"/>
            <w:vAlign w:val="bottom"/>
          </w:tcPr>
          <w:p>
            <w:pPr>
              <w:spacing w:after="0"/>
              <w:rPr>
                <w:sz w:val="23"/>
                <w:szCs w:val="23"/>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b w:val="1"/>
                <w:bCs w:val="1"/>
                <w:i w:val="1"/>
                <w:iCs w:val="1"/>
                <w:color w:val="auto"/>
              </w:rPr>
              <w:t>Global Ex</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Global Ex-U.K.</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Global Ex-Japan</w:t>
            </w: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Global Ex-Australia</w:t>
            </w:r>
          </w:p>
        </w:tc>
        <w:tc>
          <w:tcPr>
            <w:tcW w:w="0" w:type="dxa"/>
            <w:vAlign w:val="bottom"/>
          </w:tcPr>
          <w:p>
            <w:pPr>
              <w:spacing w:after="0"/>
              <w:rPr>
                <w:sz w:val="1"/>
                <w:szCs w:val="1"/>
                <w:color w:val="auto"/>
              </w:rPr>
            </w:pPr>
          </w:p>
        </w:tc>
      </w:tr>
      <w:tr>
        <w:trPr>
          <w:trHeight w:val="277"/>
        </w:trPr>
        <w:tc>
          <w:tcPr>
            <w:tcW w:w="2000" w:type="dxa"/>
            <w:vAlign w:val="bottom"/>
          </w:tcPr>
          <w:p>
            <w:pPr>
              <w:spacing w:after="0"/>
              <w:rPr>
                <w:sz w:val="20"/>
                <w:szCs w:val="20"/>
                <w:color w:val="auto"/>
              </w:rPr>
            </w:pPr>
            <w:r>
              <w:rPr>
                <w:rFonts w:ascii="Arial" w:cs="Arial" w:eastAsia="Arial" w:hAnsi="Arial"/>
                <w:sz w:val="17"/>
                <w:szCs w:val="17"/>
                <w:b w:val="1"/>
                <w:bCs w:val="1"/>
                <w:color w:val="auto"/>
              </w:rPr>
              <w:t>Fixed Income and Cash</w:t>
            </w:r>
          </w:p>
        </w:tc>
        <w:tc>
          <w:tcPr>
            <w:tcW w:w="2040" w:type="dxa"/>
            <w:vAlign w:val="bottom"/>
            <w:gridSpan w:val="2"/>
          </w:tcPr>
          <w:p>
            <w:pPr>
              <w:ind w:left="300"/>
              <w:spacing w:after="0"/>
              <w:rPr>
                <w:sz w:val="20"/>
                <w:szCs w:val="20"/>
                <w:color w:val="auto"/>
              </w:rPr>
            </w:pPr>
            <w:r>
              <w:rPr>
                <w:rFonts w:ascii="Arial" w:cs="Arial" w:eastAsia="Arial" w:hAnsi="Arial"/>
                <w:sz w:val="17"/>
                <w:szCs w:val="17"/>
                <w:b w:val="1"/>
                <w:bCs w:val="1"/>
                <w:i w:val="1"/>
                <w:iCs w:val="1"/>
                <w:color w:val="auto"/>
              </w:rPr>
              <w:t>Global</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7"/>
                <w:szCs w:val="17"/>
                <w:b w:val="1"/>
                <w:bCs w:val="1"/>
                <w:color w:val="auto"/>
              </w:rPr>
              <w:t>Management</w:t>
            </w: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Core Fixed Income</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High Yield</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Short Duration</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7"/>
                <w:szCs w:val="17"/>
                <w:color w:val="auto"/>
              </w:rPr>
              <w:t>Emerging Markets</w:t>
            </w: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2040" w:type="dxa"/>
            <w:vAlign w:val="bottom"/>
            <w:gridSpan w:val="2"/>
          </w:tcPr>
          <w:p>
            <w:pPr>
              <w:ind w:left="520"/>
              <w:spacing w:after="0"/>
              <w:rPr>
                <w:sz w:val="20"/>
                <w:szCs w:val="20"/>
                <w:color w:val="auto"/>
              </w:rPr>
            </w:pPr>
            <w:r>
              <w:rPr>
                <w:rFonts w:ascii="Arial" w:cs="Arial" w:eastAsia="Arial" w:hAnsi="Arial"/>
                <w:sz w:val="17"/>
                <w:szCs w:val="17"/>
                <w:color w:val="auto"/>
              </w:rPr>
              <w:t>Fixed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2280" w:val="left"/>
        </w:tabs>
        <w:rPr>
          <w:sz w:val="20"/>
          <w:szCs w:val="20"/>
          <w:color w:val="auto"/>
        </w:rPr>
      </w:pPr>
      <w:r>
        <w:rPr>
          <w:rFonts w:ascii="Arial" w:cs="Arial" w:eastAsia="Arial" w:hAnsi="Arial"/>
          <w:sz w:val="17"/>
          <w:szCs w:val="17"/>
          <w:b w:val="1"/>
          <w:bCs w:val="1"/>
          <w:color w:val="auto"/>
        </w:rPr>
        <w:t>Alternative</w:t>
      </w:r>
      <w:r>
        <w:rPr>
          <w:sz w:val="20"/>
          <w:szCs w:val="20"/>
          <w:color w:val="auto"/>
        </w:rPr>
        <w:tab/>
      </w:r>
      <w:r>
        <w:rPr>
          <w:rFonts w:ascii="Arial" w:cs="Arial" w:eastAsia="Arial" w:hAnsi="Arial"/>
          <w:sz w:val="17"/>
          <w:szCs w:val="17"/>
          <w:b w:val="1"/>
          <w:bCs w:val="1"/>
          <w:i w:val="1"/>
          <w:iCs w:val="1"/>
          <w:color w:val="auto"/>
        </w:rPr>
        <w:t>Global</w:t>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Fund of Hedge Funds</w:t>
      </w:r>
    </w:p>
    <w:p>
      <w:pPr>
        <w:spacing w:after="0" w:line="13" w:lineRule="exact"/>
        <w:rPr>
          <w:sz w:val="20"/>
          <w:szCs w:val="20"/>
          <w:color w:val="auto"/>
        </w:rPr>
      </w:pPr>
    </w:p>
    <w:p>
      <w:pPr>
        <w:jc w:val="right"/>
        <w:ind w:right="980"/>
        <w:spacing w:after="0"/>
        <w:rPr>
          <w:sz w:val="20"/>
          <w:szCs w:val="20"/>
          <w:color w:val="auto"/>
        </w:rPr>
      </w:pPr>
      <w:r>
        <w:rPr>
          <w:rFonts w:ascii="Arial" w:cs="Arial" w:eastAsia="Arial" w:hAnsi="Arial"/>
          <w:sz w:val="17"/>
          <w:szCs w:val="17"/>
          <w:color w:val="auto"/>
        </w:rPr>
        <w:t>Fund of Closed-End Funds</w:t>
      </w:r>
    </w:p>
    <w:p>
      <w:pPr>
        <w:spacing w:after="0" w:line="13" w:lineRule="exact"/>
        <w:rPr>
          <w:sz w:val="20"/>
          <w:szCs w:val="20"/>
          <w:color w:val="auto"/>
        </w:rPr>
      </w:pPr>
    </w:p>
    <w:p>
      <w:pPr>
        <w:jc w:val="right"/>
        <w:ind w:right="1040"/>
        <w:spacing w:after="0"/>
        <w:rPr>
          <w:sz w:val="20"/>
          <w:szCs w:val="20"/>
          <w:color w:val="auto"/>
        </w:rPr>
      </w:pPr>
      <w:r>
        <w:rPr>
          <w:rFonts w:ascii="Arial" w:cs="Arial" w:eastAsia="Arial" w:hAnsi="Arial"/>
          <w:sz w:val="17"/>
          <w:szCs w:val="17"/>
          <w:color w:val="auto"/>
        </w:rPr>
        <w:t>(Long and Long/Short)</w:t>
      </w:r>
    </w:p>
    <w:p>
      <w:pPr>
        <w:spacing w:after="0" w:line="13"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Convertible</w:t>
      </w:r>
    </w:p>
    <w:p>
      <w:pPr>
        <w:spacing w:after="0" w:line="13"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Arbitrage/Relative Value</w:t>
      </w:r>
    </w:p>
    <w:p>
      <w:pPr>
        <w:spacing w:after="0" w:line="13"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Emerging Income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3"/>
          <w:szCs w:val="13"/>
          <w:b w:val="1"/>
          <w:bCs w:val="1"/>
          <w:u w:val="single" w:color="auto"/>
          <w:color w:val="auto"/>
        </w:rPr>
        <w:t>Regional</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Pan-European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Large Capitalization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Small Capitalization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Quantitative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Eurozone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Large Capitalization**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Small Capitalization**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Continental European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Small Cap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Multi Cap</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Eurozone (</w:t>
      </w:r>
      <w:r>
        <w:rPr>
          <w:rFonts w:ascii="Arial" w:cs="Arial" w:eastAsia="Arial" w:hAnsi="Arial"/>
          <w:sz w:val="15"/>
          <w:szCs w:val="15"/>
          <w:i w:val="1"/>
          <w:iCs w:val="1"/>
          <w:color w:val="auto"/>
        </w:rPr>
        <w:t>i.e</w:t>
      </w:r>
      <w:r>
        <w:rPr>
          <w:rFonts w:ascii="Arial" w:cs="Arial" w:eastAsia="Arial" w:hAnsi="Arial"/>
          <w:sz w:val="15"/>
          <w:szCs w:val="15"/>
          <w:color w:val="auto"/>
        </w:rPr>
        <w:t>., Euro Bloc)</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Euro-Trend (Thematic)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Pan-European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Core Fixed Income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High Yield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Cash Management*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Duration Overlay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Eurozone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Fixed Income**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Cash Management*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Corporate Bonds**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Regional</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European Explorer</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(Long/Short)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Japan (Long/Short)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120"/>
        <w:spacing w:after="0"/>
        <w:rPr>
          <w:sz w:val="20"/>
          <w:szCs w:val="20"/>
          <w:color w:val="auto"/>
        </w:rPr>
      </w:pPr>
      <w:r>
        <w:rPr>
          <w:rFonts w:ascii="Arial" w:cs="Arial" w:eastAsia="Arial" w:hAnsi="Arial"/>
          <w:sz w:val="13"/>
          <w:szCs w:val="13"/>
          <w:b w:val="1"/>
          <w:bCs w:val="1"/>
          <w:u w:val="single" w:color="auto"/>
          <w:color w:val="auto"/>
        </w:rPr>
        <w:t>Domestic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Large Capitalization**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Mid Capitalization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Small/Mid Capitalization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Multi-Capitalization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U.K. (Large Capitalization)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U.K. (Small Capitalization)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U.K. Quantitative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Australia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France (Large Capitalization)*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France (Small Capitalization)*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Japan**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Korea</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Core Fixed Income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High Yield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Short Duration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Municipals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Cash Management*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U.K. Fixed Income</w:t>
      </w:r>
    </w:p>
    <w:p>
      <w:pPr>
        <w:spacing w:after="0" w:line="1912" w:lineRule="exact"/>
        <w:rPr>
          <w:sz w:val="20"/>
          <w:szCs w:val="20"/>
          <w:color w:val="auto"/>
        </w:rPr>
      </w:pPr>
    </w:p>
    <w:p>
      <w:pPr>
        <w:sectPr>
          <w:pgSz w:w="11900" w:h="16838" w:orient="portrait"/>
          <w:cols w:equalWidth="0" w:num="3">
            <w:col w:w="5120" w:space="720"/>
            <w:col w:w="2120" w:space="720"/>
            <w:col w:w="2720"/>
          </w:cols>
          <w:pgMar w:left="240" w:top="448" w:right="259" w:bottom="1440" w:gutter="0" w:footer="0" w:header="0"/>
          <w:type w:val="continuous"/>
        </w:sectPr>
      </w:pPr>
    </w:p>
    <w:p>
      <w:pPr>
        <w:ind w:right="140"/>
        <w:spacing w:after="0" w:line="280" w:lineRule="auto"/>
        <w:rPr>
          <w:sz w:val="20"/>
          <w:szCs w:val="20"/>
          <w:color w:val="auto"/>
        </w:rPr>
      </w:pPr>
      <w:r>
        <w:rPr>
          <w:rFonts w:ascii="Arial" w:cs="Arial" w:eastAsia="Arial" w:hAnsi="Arial"/>
          <w:sz w:val="17"/>
          <w:szCs w:val="17"/>
          <w:color w:val="auto"/>
        </w:rPr>
        <w:t>All of the above strategies are offered by LAM, except for those denoted by *, which are offered exclusively by LFG. Investment strategies offered by both LAM and LFG are denoted by **.</w:t>
      </w:r>
    </w:p>
    <w:p>
      <w:pPr>
        <w:spacing w:after="0" w:line="105" w:lineRule="exact"/>
        <w:rPr>
          <w:sz w:val="20"/>
          <w:szCs w:val="20"/>
          <w:color w:val="auto"/>
        </w:rPr>
      </w:pPr>
    </w:p>
    <w:p>
      <w:pPr>
        <w:ind w:firstLine="457"/>
        <w:spacing w:after="0" w:line="349" w:lineRule="auto"/>
        <w:rPr>
          <w:sz w:val="20"/>
          <w:szCs w:val="20"/>
          <w:color w:val="auto"/>
        </w:rPr>
      </w:pPr>
      <w:r>
        <w:rPr>
          <w:rFonts w:ascii="Arial" w:cs="Arial" w:eastAsia="Arial" w:hAnsi="Arial"/>
          <w:sz w:val="15"/>
          <w:szCs w:val="15"/>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60" w:lineRule="exact"/>
        <w:rPr>
          <w:sz w:val="20"/>
          <w:szCs w:val="20"/>
          <w:color w:val="auto"/>
        </w:rPr>
      </w:pPr>
    </w:p>
    <w:p>
      <w:pPr>
        <w:ind w:right="180" w:firstLine="457"/>
        <w:spacing w:after="0" w:line="262" w:lineRule="auto"/>
        <w:rPr>
          <w:sz w:val="20"/>
          <w:szCs w:val="20"/>
          <w:color w:val="auto"/>
        </w:rPr>
      </w:pPr>
      <w:r>
        <w:rPr>
          <w:rFonts w:ascii="Arial" w:cs="Arial" w:eastAsia="Arial" w:hAnsi="Arial"/>
          <w:sz w:val="17"/>
          <w:szCs w:val="17"/>
          <w:i w:val="1"/>
          <w:iCs w:val="1"/>
          <w:color w:val="auto"/>
        </w:rPr>
        <w:t>Distribution</w:t>
      </w:r>
      <w:r>
        <w:rPr>
          <w:rFonts w:ascii="Arial" w:cs="Arial" w:eastAsia="Arial" w:hAnsi="Arial"/>
          <w:sz w:val="17"/>
          <w:szCs w:val="17"/>
          <w:color w:val="auto"/>
        </w:rPr>
        <w:t>. We distribute our products through a broad array of marketing channels on a global basis. LAM’s marketing, sales and client service efforts are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organized through a global market delivery and service network, with distribution professionals located in cities including New York, San Francisco, London, Milan, Frankfurt, Hamburg, Tokyo, Sydney, Hong Kong, Bahrain and Seoul. We have developed a well-established presence in the institutional asset management arena, managing money for corporations, labor unions, sovereign wealth funds and public pension funds around the world. In addition, we manage assets for insurance companies, savings and trust banks, endowments, foundations and charities.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48" w:right="25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 w:firstLine="457"/>
        <w:spacing w:after="0" w:line="349" w:lineRule="auto"/>
        <w:rPr>
          <w:sz w:val="20"/>
          <w:szCs w:val="20"/>
          <w:color w:val="auto"/>
        </w:rPr>
      </w:pPr>
      <w:r>
        <w:rPr>
          <w:rFonts w:ascii="Arial" w:cs="Arial" w:eastAsia="Arial" w:hAnsi="Arial"/>
          <w:sz w:val="15"/>
          <w:szCs w:val="15"/>
          <w:color w:val="auto"/>
        </w:rPr>
        <w:t>We also have become a leading firm in third-party distribution, managing mutual funds and separately managed accounts for many of the world’s largest broker-dealers, insurance companies, registered advisors and other financial intermediaries. In the area of wealth management, we cater to family offices and private clients.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LFG markets and distributes its products through 22 sales professionals based in France, who directly target both individual and institutional investors.</w:t>
      </w:r>
    </w:p>
    <w:p>
      <w:pPr>
        <w:spacing w:after="0" w:line="168" w:lineRule="exact"/>
        <w:rPr>
          <w:sz w:val="20"/>
          <w:szCs w:val="20"/>
          <w:color w:val="auto"/>
        </w:rPr>
      </w:pPr>
    </w:p>
    <w:p>
      <w:pPr>
        <w:ind w:right="60" w:firstLine="457"/>
        <w:spacing w:after="0" w:line="305" w:lineRule="auto"/>
        <w:rPr>
          <w:sz w:val="20"/>
          <w:szCs w:val="20"/>
          <w:color w:val="auto"/>
        </w:rPr>
      </w:pPr>
      <w:r>
        <w:rPr>
          <w:rFonts w:ascii="Arial" w:cs="Arial" w:eastAsia="Arial" w:hAnsi="Arial"/>
          <w:sz w:val="15"/>
          <w:szCs w:val="15"/>
          <w:color w:val="auto"/>
        </w:rPr>
        <w:t>In June 2009, the Company formed a new wealth management subsidiary, Lazard Wealth Management LLC (“Lazard Wealth Management”). Lazard Wealth Management provides customized investment management and financial planning services to high net worth investors in the U.S. Lazard Wealth Management works with investors to construct, implement and monitor an asset allocation strategy designed to meet the individual client’s investment objectives, integrating tax planning, estate planning, philanthropic interests and legacy planning with investment and risk management services. Lazard Wealth Management is registered as an investment adviser with the United States Securities and Exchange Commission (the “SEC”). As of December 31, 2010, Lazard Wealth Management had 20 employees.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Strategy</w:t>
      </w:r>
    </w:p>
    <w:p>
      <w:pPr>
        <w:spacing w:after="0" w:line="79" w:lineRule="exact"/>
        <w:rPr>
          <w:sz w:val="20"/>
          <w:szCs w:val="20"/>
          <w:color w:val="auto"/>
        </w:rPr>
      </w:pPr>
    </w:p>
    <w:p>
      <w:pPr>
        <w:ind w:right="180" w:firstLine="457"/>
        <w:spacing w:after="0" w:line="268" w:lineRule="auto"/>
        <w:rPr>
          <w:sz w:val="20"/>
          <w:szCs w:val="20"/>
          <w:color w:val="auto"/>
        </w:rPr>
      </w:pPr>
      <w:r>
        <w:rPr>
          <w:rFonts w:ascii="Arial" w:cs="Arial" w:eastAsia="Arial" w:hAnsi="Arial"/>
          <w:sz w:val="17"/>
          <w:szCs w:val="17"/>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LAM’s operations and expand our business, we have:</w:t>
      </w:r>
    </w:p>
    <w:p>
      <w:pPr>
        <w:spacing w:after="0" w:line="37" w:lineRule="exact"/>
        <w:rPr>
          <w:sz w:val="20"/>
          <w:szCs w:val="20"/>
          <w:color w:val="auto"/>
        </w:rPr>
      </w:pPr>
    </w:p>
    <w:p>
      <w:pPr>
        <w:ind w:left="780" w:hanging="319"/>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focused on enhancing our investment performance,</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16" w:lineRule="exact"/>
        <w:rPr>
          <w:rFonts w:ascii="Arial" w:cs="Arial" w:eastAsia="Arial" w:hAnsi="Arial"/>
          <w:sz w:val="16"/>
          <w:szCs w:val="16"/>
          <w:color w:val="auto"/>
        </w:rPr>
      </w:pPr>
    </w:p>
    <w:p>
      <w:pPr>
        <w:ind w:left="780" w:hanging="319"/>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continued to strengthen our marketing and consultant relations capabilities,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expanded our product platform, including the addition of a new emerging markets debt team,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continued to expand LAM’s geographic reach, including through opening offices in Hong Kong and Bahrain.</w:t>
      </w:r>
    </w:p>
    <w:p>
      <w:pPr>
        <w:spacing w:after="0" w:line="183" w:lineRule="exact"/>
        <w:rPr>
          <w:sz w:val="20"/>
          <w:szCs w:val="20"/>
          <w:color w:val="auto"/>
        </w:rPr>
      </w:pPr>
    </w:p>
    <w:p>
      <w:pPr>
        <w:ind w:right="260" w:firstLine="457"/>
        <w:spacing w:after="0" w:line="302" w:lineRule="auto"/>
        <w:rPr>
          <w:sz w:val="20"/>
          <w:szCs w:val="20"/>
          <w:color w:val="auto"/>
        </w:rPr>
      </w:pPr>
      <w:r>
        <w:rPr>
          <w:rFonts w:ascii="Arial" w:cs="Arial" w:eastAsia="Arial" w:hAnsi="Arial"/>
          <w:sz w:val="15"/>
          <w:szCs w:val="15"/>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plan to expand our participation in alternative investment activities through investments in new and successor funds, and are considering expanding the services we offer to high-net worth individuals, through organic growth, acquisitions or otherwise.</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Alternative Investments</w:t>
      </w:r>
    </w:p>
    <w:p>
      <w:pPr>
        <w:spacing w:after="0" w:line="7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Lazard has a long history of making investments with its own capital, often alongside capital of qualified institutional and individual investors. These activities typically are organized in funds that make substantial or controlling investments in private or public companies, generally through privately negotiated transactions and with a view to divestment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105" w:lineRule="exact"/>
        <w:rPr>
          <w:sz w:val="20"/>
          <w:szCs w:val="20"/>
          <w:color w:val="auto"/>
        </w:rPr>
      </w:pPr>
    </w:p>
    <w:p>
      <w:pPr>
        <w:ind w:right="480" w:firstLine="457"/>
        <w:spacing w:after="0" w:line="280" w:lineRule="auto"/>
        <w:rPr>
          <w:sz w:val="20"/>
          <w:szCs w:val="20"/>
          <w:color w:val="auto"/>
        </w:rPr>
      </w:pPr>
      <w:r>
        <w:rPr>
          <w:rFonts w:ascii="Arial" w:cs="Arial" w:eastAsia="Arial" w:hAnsi="Arial"/>
          <w:sz w:val="17"/>
          <w:szCs w:val="17"/>
          <w:color w:val="auto"/>
        </w:rPr>
        <w:t>As a part of the separation in 2005, we transferred to LFCM Holdings all of our alternative investment activities at that time, except for Fonds Partenaires Gestion SA (“FPG”), our private equity business in France,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448" w:right="2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300"/>
        <w:spacing w:after="0" w:line="349" w:lineRule="auto"/>
        <w:rPr>
          <w:sz w:val="20"/>
          <w:szCs w:val="20"/>
          <w:color w:val="auto"/>
        </w:rPr>
      </w:pPr>
      <w:r>
        <w:rPr>
          <w:rFonts w:ascii="Arial" w:cs="Arial" w:eastAsia="Arial" w:hAnsi="Arial"/>
          <w:sz w:val="15"/>
          <w:szCs w:val="15"/>
          <w:color w:val="auto"/>
        </w:rPr>
        <w:t>which, until September 30, 2009, was a subsidiary of our Paris-based banking affiliate, Lazard Frères Banque SA (“LFB”). We also transferred to LFCM Holdings certain principal investments by Lazard Group in the funds managed by the separated businesses. Effective September 30, 2009, the Company sold FPG.</w:t>
      </w:r>
    </w:p>
    <w:p>
      <w:pPr>
        <w:spacing w:after="0" w:line="60"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LFCM Holdings operates the alternative investment business (including private equity activities) transferred to it in the separation. Consistent with our intent to support the development of the alternative investment business, including investing capital in funds managed or formed by Lazard Alternative Investments Holdings LLC (“LAI”), a subsidiary of LFCM Holdings, and in order to benefit from what we believe to be the potential of this business, we are entitled to receive from LFCM Holdings all or a portion of the payments from the incentive distributions attributable to these funds (net of compensation payable to investment professionals who manage these funds) pursuant to the business alliance agreement. In addition, pursuant to the business alliance agreement, we retained an option to acquire the North American and European fund management activities of LAI and have the right to participate in the oversight of LFCM Holdings’ funds and consent to certain actions. On December 15, 2009, Lazard Group exercised its option to acquire the European fund management activities of LAI. The remaining option to purchase the North American fund management activities is currently exercisable at any time prior to May 10, 2014 (see Note 21 of Notes to Consolidated Financial Statements). We will continue to abide by our obligations with respect to transferred funds. From time to time, we have considered exercising the option with respect to the remaining activities in North America.</w:t>
      </w:r>
    </w:p>
    <w:p>
      <w:pPr>
        <w:spacing w:after="0" w:line="116"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Since 2005, consistent with our obligations to LFCM Holdings, we have engaged in a number of alternative investments and private equity activities. In February 2009 the business alliance agreement was amended to remove certain restrictions on the Company engaging in private equity businesses in North America and to reduce the price of our option to acquire the fund management activities of LAI in North America.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9 of Notes to Consolidated Financial Statements). As of December 31, 2010, Edgewater, with 18 employees, had approximately $1.0 billion of AUM and unfunded fee-earning commitments. Also, consistent with our obligations to LFCM Holdings, we may explore discrete capital markets opportunities. See Notes 14 and 21 of Notes to Consolidated Financial Statements for additional information regarding alternative investments, including certain matters with respect to Corporate Partners II Limited (“CP II MgmtCo.”).</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CWC operates our private equity business in Australia, which, as of December 31, 2010, had 8 employees and approximately $200 million of private equity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AUM.</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83"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We believe that our people are our most important asset, and it is their reputation, talent, integrity and dedication that underpin our success. As of December 31, 2010, we employed 2,332 people, which included 129 managing directors and 673 other professionals in our Financial Advisory segment and 64 managing directors and 315 other professionals in our Asset Management segment. We strive to maintain a work environment that 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European offices, including France and Italy, are covered by national, industry-wide collective bargaining agreements. We believe that we have good relations with our employees.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40" w:top="448" w:right="29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83"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our competitors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of products and services, innovation, brand recognition and business reputation.</w:t>
      </w:r>
    </w:p>
    <w:p>
      <w:pPr>
        <w:spacing w:after="0" w:line="121" w:lineRule="exact"/>
        <w:rPr>
          <w:sz w:val="20"/>
          <w:szCs w:val="20"/>
          <w:color w:val="auto"/>
        </w:rPr>
      </w:pPr>
    </w:p>
    <w:p>
      <w:pPr>
        <w:jc w:val="both"/>
        <w:ind w:right="100" w:firstLine="457"/>
        <w:spacing w:after="0" w:line="264" w:lineRule="auto"/>
        <w:rPr>
          <w:sz w:val="20"/>
          <w:szCs w:val="20"/>
          <w:color w:val="auto"/>
        </w:rPr>
      </w:pPr>
      <w:r>
        <w:rPr>
          <w:rFonts w:ascii="Arial" w:cs="Arial" w:eastAsia="Arial" w:hAnsi="Arial"/>
          <w:sz w:val="17"/>
          <w:szCs w:val="17"/>
          <w:color w:val="auto"/>
        </w:rPr>
        <w:t>While our competitors vary by country in our Mergers and Acquisitions practice, we believe our primary competitors in securing M&amp;A advisory engagements are Bank of America, Barclays, Citigroup, Credit Suisse, Deutsche Bank AG, Goldman Sachs &amp; Co., JPMorgan Chase, Mediobanca, Morgan Stanley, Rothschild and UBS. In our Restructuring practice, our primary competitors are The Blackstone Group, Evercore Partners, Greenhill &amp; Co., Houlihan Lokey, Moelis &amp; Company and Rothschild.</w:t>
      </w:r>
    </w:p>
    <w:p>
      <w:pPr>
        <w:spacing w:after="0" w:line="119" w:lineRule="exact"/>
        <w:rPr>
          <w:sz w:val="20"/>
          <w:szCs w:val="20"/>
          <w:color w:val="auto"/>
        </w:rPr>
      </w:pPr>
    </w:p>
    <w:p>
      <w:pPr>
        <w:ind w:right="200" w:firstLine="457"/>
        <w:spacing w:after="0" w:line="262" w:lineRule="auto"/>
        <w:rPr>
          <w:sz w:val="20"/>
          <w:szCs w:val="20"/>
          <w:color w:val="auto"/>
        </w:rPr>
      </w:pPr>
      <w:r>
        <w:rPr>
          <w:rFonts w:ascii="Arial" w:cs="Arial" w:eastAsia="Arial" w:hAnsi="Arial"/>
          <w:sz w:val="17"/>
          <w:szCs w:val="17"/>
          <w:color w:val="auto"/>
        </w:rPr>
        <w:t>We believe that our primary global competitors in our Asset Management business include, in the case of LAM, Alliance Bernstein, Brandes Investment Partners, Capital Management &amp; Research, Fidelity, Invesco, Lord Abbett, Aberdeen and Schroders and, in the case of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21" w:lineRule="exact"/>
        <w:rPr>
          <w:sz w:val="20"/>
          <w:szCs w:val="20"/>
          <w:color w:val="auto"/>
        </w:rPr>
      </w:pPr>
    </w:p>
    <w:p>
      <w:pPr>
        <w:ind w:right="260" w:firstLine="457"/>
        <w:spacing w:after="0" w:line="268" w:lineRule="auto"/>
        <w:rPr>
          <w:sz w:val="20"/>
          <w:szCs w:val="20"/>
          <w:color w:val="auto"/>
        </w:rPr>
      </w:pPr>
      <w:r>
        <w:rPr>
          <w:rFonts w:ascii="Arial" w:cs="Arial" w:eastAsia="Arial" w:hAnsi="Arial"/>
          <w:sz w:val="17"/>
          <w:szCs w:val="17"/>
          <w:color w:val="auto"/>
        </w:rPr>
        <w:t>Competition is also intense in each of our businesses for the attraction and retention of qualified employees, and we compete on the level and nature of compensation and equity-based incentives for key employees. Our ability to continue to compete effectively in our businesses will depend upon our ability to attract new employees and retain and motivate our existing employees.</w:t>
      </w:r>
    </w:p>
    <w:p>
      <w:pPr>
        <w:spacing w:after="0" w:line="115"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including, in certain cases, becoming commercial banks. Many of these firms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have the ability to support investment banking and securities products with commercial banking, insurance and other financial services revenue in an effort to gain market share, which could result in pricing pressure in our businesses. This trend toward consolidation and convergence has significantly increased the capital base and geographic reach of our competitors, and, in certain instances, has afforded them access to government funds.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8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capital structure regulations and customer protection rules. In the U.S., certain of our subsidiaries are subject to such regulations promulgated by the SEC or Financial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48"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Industry Regulatory Authority (“FINRA”) (formerly the NASD) or the Municipal Securities Rulemakers Board (the “MSRB”).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21"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MSRB is also a voluntary, self-regulatory body, composed of members, including “municipal advisors”, that have agreed to abide by the MSRB’s rules and regulations. The SEC, FINRA, MSRB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particularly in light of the extraordinary disruption and volatility in the global financial markets experienced in recent years. The effect of any such changes cannot be predicted and may impact the manner of operation and profitability of our company.</w:t>
      </w:r>
    </w:p>
    <w:p>
      <w:pPr>
        <w:spacing w:after="0" w:line="123"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effectively every aspect of the securities business, including minimum capital requirements, record-keeping and reporting procedures, relationships with customers, experience and training requirements for certain employees, and business procedures with firms that are not members of certain regulatory bodies. LFNY is also currently registered with the SEC and the MSRB as a “municipal advisor”, a new registration category that includes placement agents that solicit investments from public pension funds on behalf of investments funds. The MSRB has adopted, and is in the process of adopting, additional rules to govern municipal advisors, including “pay-to-play” rules and rules regarding professional standards, and LFNY is subject to those rules. Lazard Asset Management Securities LLC, a subsidiary of LAM, is registered as a broker-dealer with the SEC and FINRA and in all 50 U.S. states, the District of Columbia and Puerto Rico. Lazard Middle Market LLC, a subsidiary of GAHL, is registered as a broker-dealer with the SEC and FINRA, and as a broker-dealer in various U.S. states and territories.</w:t>
      </w:r>
    </w:p>
    <w:p>
      <w:pPr>
        <w:spacing w:after="0" w:line="122"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Certain U.K. subsidiaries of Lazard Group, including Lazard &amp; Co., Limited, Lazard Fund Managers Limited and Lazard Asset Management Limited, which we refer to in this Annual Report on Form 10-K (this “Form 10-K”) as the “U.K. subsidiaries,” are regulated by the Financial Services Authority. We also have other subsidiaries that are registered as broker-dealers (or have similar non-US registration in various jurisdictions).</w:t>
      </w:r>
    </w:p>
    <w:p>
      <w:pPr>
        <w:spacing w:after="0" w:line="115"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Compagnie Financière Lazard Frères SAS (“CFLF”), our French subsidiary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Our business is also subject to regulation by non-U.S. governmental and regulatory bodies and self-regulatory authorities in other countries where we operate.</w:t>
      </w:r>
    </w:p>
    <w:p>
      <w:pPr>
        <w:spacing w:after="0" w:line="121"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8"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15"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Certain of our Asset Management subsidiaries are registered as investment advisors with the SEC. As registered investment advisors, each is subject to the requirements of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 keeping and reporting requirements, disclosure requirements, limitations on trades where a single broker acts as the agent for both the buyer and seller (known as “agency cross”), and limitations on affiliated transactions and joint transactions. Lazard Asset Management Securities LLC, a subsidiary of LAM, serves as the underwriter or distributor for mutual funds and hedge funds managed by LAM, and as an introducing broker to Lazard Capital Markets LLC for unmanaged accounts of LAM’s private clients.</w:t>
      </w:r>
    </w:p>
    <w:p>
      <w:pPr>
        <w:spacing w:after="0" w:line="95" w:lineRule="exact"/>
        <w:rPr>
          <w:sz w:val="20"/>
          <w:szCs w:val="20"/>
          <w:color w:val="auto"/>
        </w:rPr>
      </w:pPr>
    </w:p>
    <w:p>
      <w:pPr>
        <w:ind w:right="80" w:firstLine="457"/>
        <w:spacing w:after="0" w:line="268" w:lineRule="auto"/>
        <w:rPr>
          <w:sz w:val="20"/>
          <w:szCs w:val="20"/>
          <w:color w:val="auto"/>
        </w:rPr>
      </w:pPr>
      <w:r>
        <w:rPr>
          <w:rFonts w:ascii="Arial" w:cs="Arial" w:eastAsia="Arial" w:hAnsi="Arial"/>
          <w:sz w:val="17"/>
          <w:szCs w:val="17"/>
          <w:color w:val="auto"/>
        </w:rPr>
        <w:t>In addition, the Japanese Ministry of Finance and the Financial Supervisory Agency, the Korean Financial Supervisory Commission, as well as Australian and German banking authorities, among others, regulate various of our operating entities and also have capital standards and other requirements comparable to the rules of the SEC.</w:t>
      </w:r>
    </w:p>
    <w:p>
      <w:pPr>
        <w:spacing w:after="0" w:line="115" w:lineRule="exact"/>
        <w:rPr>
          <w:sz w:val="20"/>
          <w:szCs w:val="20"/>
          <w:color w:val="auto"/>
        </w:rPr>
      </w:pPr>
    </w:p>
    <w:p>
      <w:pPr>
        <w:ind w:right="280" w:firstLine="457"/>
        <w:spacing w:after="0" w:line="280" w:lineRule="auto"/>
        <w:rPr>
          <w:sz w:val="20"/>
          <w:szCs w:val="20"/>
          <w:color w:val="auto"/>
        </w:rPr>
      </w:pPr>
      <w:r>
        <w:rPr>
          <w:rFonts w:ascii="Arial" w:cs="Arial" w:eastAsia="Arial" w:hAnsi="Arial"/>
          <w:sz w:val="17"/>
          <w:szCs w:val="17"/>
          <w:color w:val="auto"/>
        </w:rPr>
        <w:t>Regulators are empowered to conduct administrative proceedings that can result in censure, fine, the issuance of cease-and-desist orders or the suspension or expulsion or other disciplining of a broker-dealer or its directors, officers or employees.</w:t>
      </w:r>
    </w:p>
    <w:p>
      <w:pPr>
        <w:spacing w:after="0" w:line="105"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However, the Dodd-Frank Wall Street Reform and Consumer Protection Act (the “Dodd-Frank Act”), provides for the elimination of the SEC’s SIBHC program on July 21, 2011. Following this elimination, we will be required to be regulated on a comprehensive basis by another regulatory body, either in the U.S. or Europe, pursuant to relevant rules in Europe. The Dodd-Frank Act allows certain securities holding companies seeking consolidated supervision to elect to be regulated by the Board of Governors of the Federal Reserve. The Dodd-Frank Act could have other effects on us, which we are currently in the process of examining, including the impact of the elimination of the SIBHC program and the effects of various new regulations mandated by the Dodd-Frank Act.</w:t>
      </w:r>
    </w:p>
    <w:p>
      <w:pPr>
        <w:spacing w:after="0" w:line="108"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Over the last several years, global financial markets experienced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Executive Officers of the Registrant</w:t>
      </w:r>
    </w:p>
    <w:p>
      <w:pPr>
        <w:spacing w:after="0" w:line="83" w:lineRule="exact"/>
        <w:rPr>
          <w:sz w:val="20"/>
          <w:szCs w:val="20"/>
          <w:color w:val="auto"/>
        </w:rPr>
      </w:pPr>
    </w:p>
    <w:p>
      <w:pPr>
        <w:ind w:right="200" w:firstLine="457"/>
        <w:spacing w:after="0" w:line="280" w:lineRule="auto"/>
        <w:rPr>
          <w:sz w:val="20"/>
          <w:szCs w:val="20"/>
          <w:color w:val="auto"/>
        </w:rPr>
      </w:pPr>
      <w:r>
        <w:rPr>
          <w:rFonts w:ascii="Arial" w:cs="Arial" w:eastAsia="Arial" w:hAnsi="Arial"/>
          <w:sz w:val="17"/>
          <w:szCs w:val="17"/>
          <w:color w:val="auto"/>
        </w:rPr>
        <w:t>Set forth below are the name, age, present title, principal occupation and certain biographical information for each of our executive officers as of February 22, 2011, all of whom have been appointed by, and serve at the pleasure of, our board of directors.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448" w:right="2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Kenneth M. Jacobs, 52</w:t>
      </w:r>
    </w:p>
    <w:p>
      <w:pPr>
        <w:spacing w:after="0" w:line="83"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Mr. Jacobs has served as Chairman and Chief Executive Officer of Lazard Ltd and Lazard Group LLC since November 2009. Mr. Jacobs served as a Managing Director of Lazard since 1991 and had been a deputy chairman of Lazard from January 2002 until November 2009. He had also served as Chief Executive Officer of Lazard North America beginning in 2002. Mr. Jacobs initially joined Lazard in 1988. Mr. Jacobs is a member of the Board of Trustees of the University of Chicago and the Brookings Institution.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Michael J. Castellano, 64</w:t>
      </w:r>
    </w:p>
    <w:p>
      <w:pPr>
        <w:spacing w:after="0" w:line="83"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Mr. Castellano has served as Chief Financial Officer of Lazard Ltd since May 2005. Mr. Castellano has served as a Managing Director and Chief Financial Officer of Lazard Group since August 2001. Prior to joining Lazard, Mr. Castellano held various senior management positions at Merrill Lynch &amp; Co. from August 1991 to August 2001, including Senior Vice President—Chief Control Officer for Merrill Lynch’s capital markets businesses, Chairman of Merrill Lynch International Bank and Senior Vice President—Corporate Controller. Prior to joining Merrill Lynch &amp; Co., Mr. Castellano was a partner with Deloitte &amp; Touche where he served a number of investment banking clients over the course of his 24 years with the firm.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Ashish Bhutani, 50</w:t>
      </w:r>
    </w:p>
    <w:p>
      <w:pPr>
        <w:spacing w:after="0" w:line="83" w:lineRule="exact"/>
        <w:rPr>
          <w:sz w:val="20"/>
          <w:szCs w:val="20"/>
          <w:color w:val="auto"/>
        </w:rPr>
      </w:pPr>
    </w:p>
    <w:p>
      <w:pPr>
        <w:ind w:right="100" w:firstLine="457"/>
        <w:spacing w:after="0" w:line="300" w:lineRule="auto"/>
        <w:rPr>
          <w:sz w:val="20"/>
          <w:szCs w:val="20"/>
          <w:color w:val="auto"/>
        </w:rPr>
      </w:pPr>
      <w:r>
        <w:rPr>
          <w:rFonts w:ascii="Arial" w:cs="Arial" w:eastAsia="Arial" w:hAnsi="Arial"/>
          <w:sz w:val="15"/>
          <w:szCs w:val="15"/>
          <w:color w:val="auto"/>
        </w:rPr>
        <w:t>Mr. Bhutani is a Vice Chairman and Managing Director of Lazard and has been the Chief Executive Officer of LAM since March 2004. Mr. Bhutani has served as a director of Lazard Ltd and Lazard Group since March 2010.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the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Scott D. Hoffman, 48</w:t>
      </w:r>
    </w:p>
    <w:p>
      <w:pPr>
        <w:spacing w:after="0" w:line="83"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Mr. Hoffman has served as General Counsel of Lazard Ltd since May 2005. Mr. Hoffman has served as a Managing Director of Lazard Group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Alexander F. Stern, 44</w:t>
      </w:r>
    </w:p>
    <w:p>
      <w:pPr>
        <w:spacing w:after="0" w:line="83"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Mr. Stern has served as Chief Operating Officer of Lazard Ltd and Lazard Group LLC since November 2008. He has served as a Managing Director since January 2002 and as the Firm’s Global Head of Strategy since February 2006. Mr. Stern previously served as a Vice President in Lazard’s Financial Advisory business from January 1998 to December 2000 and as a Director from January 2001 to December 2001. Mr. Stern joined Lazard in 1994 and previously held various positions with Patricof &amp; Co. Ventures and IBM.</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161" w:lineRule="exact"/>
        <w:rPr>
          <w:sz w:val="20"/>
          <w:szCs w:val="20"/>
          <w:color w:val="auto"/>
        </w:rPr>
      </w:pPr>
    </w:p>
    <w:p>
      <w:pPr>
        <w:ind w:right="200" w:firstLine="457"/>
        <w:spacing w:after="0" w:line="280" w:lineRule="auto"/>
        <w:rPr>
          <w:sz w:val="20"/>
          <w:szCs w:val="20"/>
          <w:color w:val="auto"/>
        </w:rPr>
      </w:pPr>
      <w:r>
        <w:rPr>
          <w:rFonts w:ascii="Arial" w:cs="Arial" w:eastAsia="Arial" w:hAnsi="Arial"/>
          <w:sz w:val="17"/>
          <w:szCs w:val="17"/>
          <w:color w:val="auto"/>
        </w:rPr>
        <w:t>Lazard Ltd files current, annual and quarterly reports, proxy statements and other information required by the Exchange Act, with the SEC. You may read and copy any document the company files at the SEC’s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448" w:right="2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380"/>
        <w:spacing w:after="0" w:line="320" w:lineRule="auto"/>
        <w:rPr>
          <w:sz w:val="20"/>
          <w:szCs w:val="20"/>
          <w:color w:val="auto"/>
        </w:rPr>
      </w:pPr>
      <w:r>
        <w:rPr>
          <w:rFonts w:ascii="Arial" w:cs="Arial" w:eastAsia="Arial" w:hAnsi="Arial"/>
          <w:sz w:val="15"/>
          <w:szCs w:val="15"/>
          <w:color w:val="auto"/>
        </w:rPr>
        <w:t xml:space="preserve">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5"/>
          <w:szCs w:val="15"/>
          <w:i w:val="1"/>
          <w:iCs w:val="1"/>
          <w:color w:val="auto"/>
        </w:rPr>
        <w:t>http://www.sec.gov.</w:t>
      </w:r>
      <w:r>
        <w:rPr>
          <w:rFonts w:ascii="Arial" w:cs="Arial" w:eastAsia="Arial" w:hAnsi="Arial"/>
          <w:sz w:val="15"/>
          <w:szCs w:val="15"/>
          <w:color w:val="auto"/>
        </w:rPr>
        <w:t xml:space="preserve"> Copies of these reports, proxy statements and other information can also be inspected at the offices of the New York Stock Exchange, Inc., 20 Broad Street, New York, New York 10005, U.S.A.</w:t>
      </w:r>
    </w:p>
    <w:p>
      <w:pPr>
        <w:spacing w:after="0" w:line="80" w:lineRule="exact"/>
        <w:rPr>
          <w:sz w:val="20"/>
          <w:szCs w:val="20"/>
          <w:color w:val="auto"/>
        </w:rPr>
      </w:pPr>
    </w:p>
    <w:p>
      <w:pPr>
        <w:ind w:right="140" w:firstLine="457"/>
        <w:spacing w:after="0" w:line="259" w:lineRule="auto"/>
        <w:rPr>
          <w:sz w:val="20"/>
          <w:szCs w:val="20"/>
          <w:color w:val="auto"/>
        </w:rPr>
      </w:pPr>
      <w:r>
        <w:rPr>
          <w:rFonts w:ascii="Arial" w:cs="Arial" w:eastAsia="Arial" w:hAnsi="Arial"/>
          <w:sz w:val="17"/>
          <w:szCs w:val="17"/>
          <w:color w:val="auto"/>
        </w:rPr>
        <w:t xml:space="preserve">Our public internet site is </w:t>
      </w:r>
      <w:r>
        <w:rPr>
          <w:rFonts w:ascii="Arial" w:cs="Arial" w:eastAsia="Arial" w:hAnsi="Arial"/>
          <w:sz w:val="17"/>
          <w:szCs w:val="17"/>
          <w:i w:val="1"/>
          <w:iCs w:val="1"/>
          <w:color w:val="auto"/>
        </w:rPr>
        <w:t>http://www.lazard.com.</w:t>
      </w:r>
      <w:r>
        <w:rPr>
          <w:rFonts w:ascii="Arial" w:cs="Arial" w:eastAsia="Arial" w:hAnsi="Arial"/>
          <w:sz w:val="17"/>
          <w:szCs w:val="17"/>
          <w:color w:val="auto"/>
        </w:rPr>
        <w:t xml:space="preserve"> and the investor relations SEC filings section of our public internet site is located at </w:t>
      </w:r>
      <w:r>
        <w:rPr>
          <w:rFonts w:ascii="Arial" w:cs="Arial" w:eastAsia="Arial" w:hAnsi="Arial"/>
          <w:sz w:val="17"/>
          <w:szCs w:val="17"/>
          <w:i w:val="1"/>
          <w:iCs w:val="1"/>
          <w:color w:val="auto"/>
        </w:rPr>
        <w:t xml:space="preserve">http://www.lazard.com/InvestorRelations/SEC-Filings.aspx. </w:t>
      </w:r>
      <w:r>
        <w:rPr>
          <w:rFonts w:ascii="Arial" w:cs="Arial" w:eastAsia="Arial" w:hAnsi="Arial"/>
          <w:sz w:val="17"/>
          <w:szCs w:val="17"/>
          <w:color w:val="auto"/>
        </w:rPr>
        <w:t>We will make available free of charge, on or through the investor relations section of our internet site, our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and available in print upon request of any shareholder to the Investor Relations Department, are charters for the Company’s Audit Committee, Compensation Committee and Nominating &amp; Governance Committee. Copies of these charters and our Corporate Governance Guidelines and Code of Business Conduct and Ethics governing our directors, officers and employees are also posted on our website in the “Corporate Governance” section.</w:t>
      </w:r>
    </w:p>
    <w:p>
      <w:pPr>
        <w:spacing w:after="0" w:line="122"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8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You should carefully consider the following risks and all of the other information set forth in this Form 10-K, including our consolidated financial statements and related notes. The risk factors set forth below primarily relate to the business of Lazard Group. These risks also affect Lazard Ltd because Lazard Ltd has no material operating assets as of December 31, 2010 other than indirect ownership of approximately 94.0% of the common membership interests in Lazard Group and its controlling interest in Lazard Group. The following risks comprise material risks of which we are aware. If any of the events or developments described below actually occurred, our business, financial condition or results of operations would likely suffer.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Relating to the Financial Services Industry and Financial Markets</w:t>
      </w:r>
    </w:p>
    <w:p>
      <w:pPr>
        <w:spacing w:after="0" w:line="79" w:lineRule="exact"/>
        <w:rPr>
          <w:sz w:val="20"/>
          <w:szCs w:val="20"/>
          <w:color w:val="auto"/>
        </w:rPr>
      </w:pPr>
    </w:p>
    <w:p>
      <w:pPr>
        <w:ind w:right="320" w:firstLine="457"/>
        <w:spacing w:after="0" w:line="338" w:lineRule="auto"/>
        <w:rPr>
          <w:sz w:val="20"/>
          <w:szCs w:val="20"/>
          <w:color w:val="auto"/>
        </w:rPr>
      </w:pPr>
      <w:r>
        <w:rPr>
          <w:rFonts w:ascii="Arial" w:cs="Arial" w:eastAsia="Arial" w:hAnsi="Arial"/>
          <w:sz w:val="15"/>
          <w:szCs w:val="15"/>
          <w:b w:val="1"/>
          <w:bCs w:val="1"/>
          <w:color w:val="auto"/>
        </w:rPr>
        <w:t>In 2007 through 2009, the U.S. and global capital markets and the economy generally experienced significant deterioration and volatility, which has had negative repercussions on the global economy, and any return to such deterioration and volatility could present challenges for our business.</w:t>
      </w:r>
    </w:p>
    <w:p>
      <w:pPr>
        <w:spacing w:after="0" w:line="1"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Commencing in 2007 and continuing through 2009, certain adverse financial developments have impacted the U.S. and global capital markets. These developments included a general slowing of economic growth both in the U.S. and globally, substantial volatility in equity securities markets, and volatility and tightening of liquidity in credit markets. In addition, concerns over increasing unemployment levels, declining business and consumer confidence, volatile energy costs, geopolitical issues and a declining real estate market in the U.S. and elsewhere have contributed to increased volatility and diminished expectations for the economy and the markets going forward. Although the level of volatility in the equity securities markets and credit markets has declined, many of these concerns remain present. For example, investor concerns about the financial health of certain European countries caused market disruptions in 2010. If the 2007-2009 levels of market disruption and volatility return, or if current conditions materially worsen, our business may be adversely affected, which may have a material impact on our business and results of operations.</w:t>
      </w:r>
    </w:p>
    <w:p>
      <w:pPr>
        <w:spacing w:after="0" w:line="122" w:lineRule="exact"/>
        <w:rPr>
          <w:sz w:val="20"/>
          <w:szCs w:val="20"/>
          <w:color w:val="auto"/>
        </w:rPr>
      </w:pPr>
    </w:p>
    <w:p>
      <w:pPr>
        <w:ind w:right="120" w:firstLine="457"/>
        <w:spacing w:after="0" w:line="285" w:lineRule="auto"/>
        <w:rPr>
          <w:sz w:val="20"/>
          <w:szCs w:val="20"/>
          <w:color w:val="auto"/>
        </w:rPr>
      </w:pPr>
      <w:r>
        <w:rPr>
          <w:rFonts w:ascii="Arial" w:cs="Arial" w:eastAsia="Arial" w:hAnsi="Arial"/>
          <w:sz w:val="17"/>
          <w:szCs w:val="17"/>
          <w:b w:val="1"/>
          <w:bCs w:val="1"/>
          <w:color w:val="auto"/>
        </w:rPr>
        <w:t>The full extent of the effects of governmental economic and regulatory involvement in the wake of disruption and volatility in global financial markets is uncertain.</w:t>
      </w:r>
    </w:p>
    <w:p>
      <w:pPr>
        <w:spacing w:after="0" w:line="23" w:lineRule="exact"/>
        <w:rPr>
          <w:sz w:val="20"/>
          <w:szCs w:val="20"/>
          <w:color w:val="auto"/>
        </w:rPr>
      </w:pPr>
    </w:p>
    <w:p>
      <w:pPr>
        <w:jc w:val="both"/>
        <w:ind w:right="260" w:firstLine="457"/>
        <w:spacing w:after="0" w:line="268" w:lineRule="auto"/>
        <w:rPr>
          <w:sz w:val="20"/>
          <w:szCs w:val="20"/>
          <w:color w:val="auto"/>
        </w:rPr>
      </w:pPr>
      <w:r>
        <w:rPr>
          <w:rFonts w:ascii="Arial" w:cs="Arial" w:eastAsia="Arial" w:hAnsi="Arial"/>
          <w:sz w:val="17"/>
          <w:szCs w:val="17"/>
          <w:color w:val="auto"/>
        </w:rPr>
        <w:t>As a result of market volatility and disruption in recent years, the U.S. and other governments have taken unprecedented steps to try to stabilize the financial system, including investing in financial institutions and taking certain regulatory actions. The full extent of the effects of these actions and legislative and regulatory initiatives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8"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(including the Dodd-Frank Act) effected in connection with, and as a result of, such extraordinary disruption and volatility is uncertain, both as to the financial capital markets and participants in general, and as to us in particular.</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The level of soundness of our clients and other financial institutions could adversely affect us.</w:t>
      </w:r>
    </w:p>
    <w:p>
      <w:pPr>
        <w:spacing w:after="0" w:line="83"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We have exposure to many different industries, products and counterparties, and we routinely execute transactions with counterparties in the financial services industry, including brokers and dealers, commercial banks, investment banks, mutual and hedge funds, and other institutional clients. Many of these transactions expose us to credit risk in the event of default of our counterparty or client. In addition, our credit risk may be exacerbated when the collateral held by us cannot be fully realized or is liquidated at prices not sufficient to recover the full amount of the loan or derivative exposure due us.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share price may decline due to the large number of our common shares eligible for future sale and for exchange.</w:t>
      </w:r>
    </w:p>
    <w:p>
      <w:pPr>
        <w:spacing w:after="0" w:line="83"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As of December 31, 2010, our authorized and unissued shares of common stock include (i) approximately 7.7 million shares of our common stock underlying the outstanding LAZ-MD Holding exchangeable membership interests, (ii) approximately 22.1 million and approximately 122 thousand shares of our common stock underlying the restricted stock units (“RSUs”) and deferred stock units (“DSUs”), respectively, that have been granted pursuant to Lazard Ltd’s 2005 Equity Incentive Plan (the “2005 plan”) and 2008 Incentive Compensation Plan (the “2008 plan”), (iii) approximately 2.6 million shares of our common stock issuable or otherwise deliverable upon conversion of our outstanding $150 million subordinated convertible note and (iv) approximately 2.3 million shares of our common stock that are issuable in connection with the LAM Merger (the “LAM Merger”). In addition, the following shares are issuable in connection with the acquisitions of CWC, GAHL and Edgewater: (A) approximately 1.3 million shares of our common stock that are issuable on a non-contingent basis, (B) shares of our common stock that are issuable upon the noncontingent conversion of approximately 5 thousand shares of our Series A preferred stock, with the number of shares of our common stock dependent, in part, upon future prices of our common stock, (C) approximately 17 thousand shares of our Series A preferred stock that are contingently convertible into shares of our common stock, with the number of such shares of our common stock dependent upon the future performance of GAHL and CWC and (D) up to approximately 1.1 million shares of our common stock issuable in connection with the Edgewater acquisition, which shares will be issued and paid only if certain performance thresholds for the next two Edgewater funds are met.</w:t>
      </w:r>
    </w:p>
    <w:p>
      <w:pPr>
        <w:spacing w:after="0" w:line="110"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We cannot predict whether, when and how many shares of our common stock will be sold into the market and the effect, if any, that the possibility of market sales of shares of our common stock, the actual sale of such shares or the availability of such shares will have on the market price of our common stock or our ability to raise capital through the issuance of equity securities from time to time.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Other Business Risks</w:t>
      </w:r>
    </w:p>
    <w:p>
      <w:pPr>
        <w:spacing w:after="0" w:line="79" w:lineRule="exact"/>
        <w:rPr>
          <w:sz w:val="20"/>
          <w:szCs w:val="20"/>
          <w:color w:val="auto"/>
        </w:rPr>
      </w:pPr>
    </w:p>
    <w:p>
      <w:pPr>
        <w:jc w:val="both"/>
        <w:ind w:right="460" w:firstLine="457"/>
        <w:spacing w:after="0" w:line="355"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Our people are our most important resource. We must retain the services of our managing directors and other key professional employees, and strategically</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recruit and hire new talented employees, to obtain and successfully execute the advisory and asset management engagements that generate substantially all our revenue.</w:t>
      </w:r>
    </w:p>
    <w:p>
      <w:pPr>
        <w:spacing w:after="0" w:line="174"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Lazard Group has experienced several significant events in recent years. In general, our industry continues to experience change and exerts competitive pressures for retaining top talent, which makes it more difficult for us to retain professionals. If any of our managing directors and other key professional employees were to join an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8"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existing competitor, form a competing company or otherwise leave us, some of our clients could choose to use the services of that competitor or some other competitor instead of our services. The employment arrangements, non-competition agreements and retention agreements we have or will enter into with our managing directors and other key professional employees may not prevent our managing directors and other key professional employees from resigning from practice or competing against us. In addition, these arrangements and agreements have a limited duration and will expire after a certain period of time. We continue to be subject to intense competition in the financial services industry regarding the recruitment and retention of key professionals, and have experienced departures from and added to our professional ranks as a result. Changes to our employee compensation arrangements, such as changes to the composition between cash and deferred compensation, may result in increased compensation and benefits expense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91" w:lineRule="exact"/>
        <w:rPr>
          <w:sz w:val="20"/>
          <w:szCs w:val="20"/>
          <w:color w:val="auto"/>
        </w:rPr>
      </w:pPr>
    </w:p>
    <w:p>
      <w:pPr>
        <w:ind w:right="260" w:firstLine="457"/>
        <w:spacing w:after="0" w:line="270" w:lineRule="auto"/>
        <w:rPr>
          <w:sz w:val="20"/>
          <w:szCs w:val="20"/>
          <w:color w:val="auto"/>
        </w:rPr>
      </w:pPr>
      <w:r>
        <w:rPr>
          <w:rFonts w:ascii="Arial" w:cs="Arial" w:eastAsia="Arial" w:hAnsi="Arial"/>
          <w:sz w:val="17"/>
          <w:szCs w:val="17"/>
          <w:b w:val="1"/>
          <w:bCs w:val="1"/>
          <w:color w:val="auto"/>
        </w:rPr>
        <w:t>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14" w:lineRule="exact"/>
        <w:rPr>
          <w:sz w:val="20"/>
          <w:szCs w:val="20"/>
          <w:color w:val="auto"/>
        </w:rPr>
      </w:pPr>
    </w:p>
    <w:p>
      <w:pPr>
        <w:ind w:right="140" w:firstLine="457"/>
        <w:spacing w:after="0" w:line="268" w:lineRule="auto"/>
        <w:rPr>
          <w:sz w:val="20"/>
          <w:szCs w:val="20"/>
          <w:color w:val="auto"/>
        </w:rPr>
      </w:pPr>
      <w:r>
        <w:rPr>
          <w:rFonts w:ascii="Arial" w:cs="Arial" w:eastAsia="Arial" w:hAnsi="Arial"/>
          <w:sz w:val="17"/>
          <w:szCs w:val="17"/>
          <w:color w:val="auto"/>
        </w:rPr>
        <w:t>As a financial services firm, our businesses are materially affected by conditions in the global financial markets and economic conditions throughout the world. The financial environment in the U.S. and globally has been volatile during recent years. Unfavorable economic and market conditions can adversely affect our financial performance in both the Financial Advisory and Asset Management businesses.</w:t>
      </w:r>
    </w:p>
    <w:p>
      <w:pPr>
        <w:spacing w:after="0" w:line="115" w:lineRule="exact"/>
        <w:rPr>
          <w:sz w:val="20"/>
          <w:szCs w:val="20"/>
          <w:color w:val="auto"/>
        </w:rPr>
      </w:pPr>
    </w:p>
    <w:p>
      <w:pPr>
        <w:ind w:right="140" w:firstLine="457"/>
        <w:spacing w:after="0" w:line="260" w:lineRule="auto"/>
        <w:rPr>
          <w:sz w:val="20"/>
          <w:szCs w:val="20"/>
          <w:color w:val="auto"/>
        </w:rPr>
      </w:pPr>
      <w:r>
        <w:rPr>
          <w:rFonts w:ascii="Arial" w:cs="Arial" w:eastAsia="Arial" w:hAnsi="Arial"/>
          <w:sz w:val="17"/>
          <w:szCs w:val="17"/>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scale back other costs within a timeframe sufficient to offset any decreases in revenue relating to changes in market and economic conditions. The future market and economic climate may deteriorate because of many factors, including possible increases in interest rates or inflation, terrorism or political uncertainty.</w:t>
      </w:r>
    </w:p>
    <w:p>
      <w:pPr>
        <w:spacing w:after="0" w:line="123"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slowdown, we typically have seen that our Restructuring practice has been more active and our Mergers and Acquisitions practice has been less active. As a result, our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w:t>
      </w:r>
    </w:p>
    <w:p>
      <w:pPr>
        <w:spacing w:after="0" w:line="112"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Our Asset Management business also would be expected to generate lower revenue in a market or general economic downturn. Under our Asset Management business’ arrangements, investment advisory fees we receive typically are based on the market value of AUM. Accordingly, a decline in the prices of securities, such as that which occurred on a global basis in 2008, or in specific geographic markets or sectors that constitute a significant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8"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portion of our AUM (i.e., our emerging markets strategies), would be expected to cause our revenue and income to decline by:</w:t>
      </w:r>
    </w:p>
    <w:p>
      <w:pPr>
        <w:spacing w:after="0" w:line="79" w:lineRule="exact"/>
        <w:rPr>
          <w:sz w:val="20"/>
          <w:szCs w:val="20"/>
          <w:color w:val="auto"/>
        </w:rPr>
      </w:pPr>
    </w:p>
    <w:p>
      <w:pPr>
        <w:ind w:left="780" w:hanging="319"/>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causing the value of our AUM to decrease, which would result in lower investment advisory fees,</w:t>
      </w:r>
    </w:p>
    <w:p>
      <w:pPr>
        <w:spacing w:after="0" w:line="104" w:lineRule="exact"/>
        <w:rPr>
          <w:rFonts w:ascii="Arial" w:cs="Arial" w:eastAsia="Arial" w:hAnsi="Arial"/>
          <w:sz w:val="17"/>
          <w:szCs w:val="17"/>
          <w:color w:val="auto"/>
        </w:rPr>
      </w:pPr>
    </w:p>
    <w:p>
      <w:pPr>
        <w:ind w:left="780" w:right="320" w:hanging="319"/>
        <w:spacing w:after="0" w:line="280"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causing some of our clients to withdraw funds from our Asset Management business due to the uncertainty or volatility in the market, which would also result in lower investment advisory fees,</w:t>
      </w:r>
    </w:p>
    <w:p>
      <w:pPr>
        <w:spacing w:after="0" w:line="26" w:lineRule="exact"/>
        <w:rPr>
          <w:rFonts w:ascii="Arial" w:cs="Arial" w:eastAsia="Arial" w:hAnsi="Arial"/>
          <w:sz w:val="17"/>
          <w:szCs w:val="17"/>
          <w:color w:val="auto"/>
        </w:rPr>
      </w:pPr>
    </w:p>
    <w:p>
      <w:pPr>
        <w:ind w:left="780" w:right="40" w:hanging="319"/>
        <w:spacing w:after="0" w:line="280"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causing some of our clients or prospective clients to hesitate in allocating assets to our Asset Management business due to the uncertainty or volatility in the market, which would also result in lower investment advisory fees,</w:t>
      </w:r>
    </w:p>
    <w:p>
      <w:pPr>
        <w:spacing w:after="0" w:line="26" w:lineRule="exact"/>
        <w:rPr>
          <w:rFonts w:ascii="Arial" w:cs="Arial" w:eastAsia="Arial" w:hAnsi="Arial"/>
          <w:sz w:val="17"/>
          <w:szCs w:val="17"/>
          <w:color w:val="auto"/>
        </w:rPr>
      </w:pPr>
    </w:p>
    <w:p>
      <w:pPr>
        <w:ind w:left="780" w:right="520" w:hanging="319"/>
        <w:spacing w:after="0" w:line="280"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causing negative absolute performance returns for some accounts which have performance-based incentive fees, which would result in a reduction of revenue from such fees, or</w:t>
      </w:r>
    </w:p>
    <w:p>
      <w:pPr>
        <w:spacing w:after="0" w:line="26" w:lineRule="exact"/>
        <w:rPr>
          <w:rFonts w:ascii="Arial" w:cs="Arial" w:eastAsia="Arial" w:hAnsi="Arial"/>
          <w:sz w:val="17"/>
          <w:szCs w:val="17"/>
          <w:color w:val="auto"/>
        </w:rPr>
      </w:pPr>
    </w:p>
    <w:p>
      <w:pPr>
        <w:ind w:left="780" w:right="20" w:hanging="319"/>
        <w:spacing w:after="0" w:line="280"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causing some of our clients to withdraw funds from our Asset Management business in favor of investments they perceive as offering greater opportunity or lower risk, which also would result in lower investment advisory fees.</w:t>
      </w:r>
    </w:p>
    <w:p>
      <w:pPr>
        <w:spacing w:after="0" w:line="105" w:lineRule="exact"/>
        <w:rPr>
          <w:sz w:val="20"/>
          <w:szCs w:val="20"/>
          <w:color w:val="auto"/>
        </w:rPr>
      </w:pPr>
    </w:p>
    <w:p>
      <w:pPr>
        <w:ind w:right="200" w:firstLine="457"/>
        <w:spacing w:after="0" w:line="268" w:lineRule="auto"/>
        <w:rPr>
          <w:sz w:val="20"/>
          <w:szCs w:val="20"/>
          <w:color w:val="auto"/>
        </w:rPr>
      </w:pPr>
      <w:r>
        <w:rPr>
          <w:rFonts w:ascii="Arial" w:cs="Arial" w:eastAsia="Arial" w:hAnsi="Arial"/>
          <w:sz w:val="17"/>
          <w:szCs w:val="17"/>
          <w:color w:val="auto"/>
        </w:rPr>
        <w:t>If our Asset Management revenue declines without a commensurate reduction in our expenses, our net income would be reduced. In addition, in the event of a market downturn, our alternative investment and private equity practice also may be impacted by reduced exit opportunities in which to realize the value of its investments.</w:t>
      </w:r>
    </w:p>
    <w:p>
      <w:pPr>
        <w:spacing w:after="0" w:line="111" w:lineRule="exact"/>
        <w:rPr>
          <w:sz w:val="20"/>
          <w:szCs w:val="20"/>
          <w:color w:val="auto"/>
        </w:rPr>
      </w:pPr>
    </w:p>
    <w:p>
      <w:pPr>
        <w:jc w:val="both"/>
        <w:ind w:right="280" w:firstLine="457"/>
        <w:spacing w:after="0" w:line="355" w:lineRule="auto"/>
        <w:rPr>
          <w:sz w:val="20"/>
          <w:szCs w:val="20"/>
          <w:color w:val="auto"/>
        </w:rPr>
      </w:pPr>
      <w:r>
        <w:rPr>
          <w:rFonts w:ascii="Arial" w:cs="Arial" w:eastAsia="Arial" w:hAnsi="Arial"/>
          <w:sz w:val="15"/>
          <w:szCs w:val="15"/>
          <w:b w:val="1"/>
          <w:bCs w:val="1"/>
          <w:color w:val="auto"/>
        </w:rPr>
        <w:t>A majority of our revenue is derived from Financial Advisory fees, which are not long-term contracted sources of revenue and are subject to intense competition, and declines in our Financial Advisory engagements could have a material adverse effect on our financial condition and results of operations.</w:t>
      </w:r>
    </w:p>
    <w:p>
      <w:pPr>
        <w:spacing w:after="0" w:line="55"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We historically have earned a substantial portion of our revenue from advisory fees paid to us by our Financial Advisory clients, which fees usually are payable upon the successful completion of a particular transaction or restructuring. For example, for the year ended December 31, 2010, Financial Advisory services accounted for approximately 59%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21"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as a result of the sale or merger of a client, a change in a client’s senior management, competition from other financial advisors and financial institutions, and other causes. As a result, our engagements with clients are constantly changing and our Financial Advisory fees could decline quickly due to the factors discussed above.</w:t>
      </w:r>
    </w:p>
    <w:p>
      <w:pPr>
        <w:spacing w:after="0" w:line="103" w:lineRule="exact"/>
        <w:rPr>
          <w:sz w:val="20"/>
          <w:szCs w:val="20"/>
          <w:color w:val="auto"/>
        </w:rPr>
      </w:pPr>
    </w:p>
    <w:p>
      <w:pPr>
        <w:ind w:right="520" w:firstLine="457"/>
        <w:spacing w:after="0" w:line="285" w:lineRule="auto"/>
        <w:rPr>
          <w:sz w:val="20"/>
          <w:szCs w:val="20"/>
          <w:color w:val="auto"/>
        </w:rPr>
      </w:pPr>
      <w:r>
        <w:rPr>
          <w:rFonts w:ascii="Arial" w:cs="Arial" w:eastAsia="Arial" w:hAnsi="Arial"/>
          <w:sz w:val="17"/>
          <w:szCs w:val="17"/>
          <w:b w:val="1"/>
          <w:bCs w:val="1"/>
          <w:color w:val="auto"/>
        </w:rPr>
        <w:t>There will not be a consistent pattern in our financial results from period to period, which may make it difficult for us to achieve steady earnings growth on a quarterly basis.</w:t>
      </w:r>
    </w:p>
    <w:p>
      <w:pPr>
        <w:spacing w:after="0" w:line="10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We experience significant fluctuations in quarterly revenue and profits. These fluctuations generally can be attributed to the fact that we earn a significant portion of our Financial Advisory revenue upon the successful completion of a merger or acquisition transaction or a restructuring, the timing of which is uncertain and is not subject to our control. In addition, our Asset Management revenue is particularly sensitive to fluctuations in our AUM. Asset Management fees are often based on AUM as of the end of a quarter or month. As a result, a reduction in assets at the end of a quarter or month (as a result of market depreciation, withdrawals or otherwise) will result in a decrease in management fees. Similarly, timing of flows, contributions and withdrawals are often out of our control and may be inconsistent from quarter to quarter. As a result of quarterly fluctuations, it may be difficult for us to achieve steady earnings growth on a quarterly basis.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48"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In many cases, we are paid for advisory engagements only upon the successful consummation of the underlying merger or acquisition transaction or restructuring. As a result, our Financial Advisory business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of directors or stockholder approval,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materially adversely affect our business, financial condition or results of operations. For more information, see “Management’s Discussion and Analysis of Financial Condition and Results of Operations.”</w:t>
      </w:r>
    </w:p>
    <w:p>
      <w:pPr>
        <w:spacing w:after="0" w:line="93"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b w:val="1"/>
          <w:bCs w:val="1"/>
          <w:color w:val="auto"/>
        </w:rPr>
        <w:t>If the number of debt defaults, bankruptcies or other factors affecting demand for our Restructuring services declines, or we lose business to certain new entrants to the restructuring advisory practice who are no longer precluded from offering such services due to changes to the U.S. Bankruptcy Code, our Restructuring practice’s revenue could suffer.</w:t>
      </w:r>
    </w:p>
    <w:p>
      <w:pPr>
        <w:spacing w:after="0" w:line="114"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deregulation or privatization of particular industries and those that protect creditors.</w:t>
      </w:r>
    </w:p>
    <w:p>
      <w:pPr>
        <w:spacing w:after="0" w:line="119"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color w:val="auto"/>
        </w:rPr>
        <w:t>Section 327 of the U.S. Bankruptcy Code requires that “disinterested persons” be employed in a restructuring. The definition of “disinterested persons” has been modified. As previously in effect, certain of our competitors were disqualified from being employed in restructurings as a result of their status as an underwriter of securities. This basis for disqualification, however, no longer applies. Historically, we were not often disqualified from obtaining a role in a restructuring because we have not been a significant underwriter of securities. The change of the “disinterested persons” definition allows for more financial services firms to compete for restructuring engagements and make recruiting and retaining of professionals more difficult. If our competitors succeed in being retained in new restructuring engagements or in hiring our restructuring professionals, our Restructuring practice, and thereby our results of operations, could be materially adversely affected.</w:t>
      </w:r>
    </w:p>
    <w:p>
      <w:pPr>
        <w:spacing w:after="0" w:line="90" w:lineRule="exact"/>
        <w:rPr>
          <w:sz w:val="20"/>
          <w:szCs w:val="20"/>
          <w:color w:val="auto"/>
        </w:rPr>
      </w:pPr>
    </w:p>
    <w:p>
      <w:pPr>
        <w:ind w:right="480" w:firstLine="457"/>
        <w:spacing w:after="0" w:line="285" w:lineRule="auto"/>
        <w:rPr>
          <w:sz w:val="20"/>
          <w:szCs w:val="20"/>
          <w:color w:val="auto"/>
        </w:rPr>
      </w:pPr>
      <w:r>
        <w:rPr>
          <w:rFonts w:ascii="Arial" w:cs="Arial" w:eastAsia="Arial" w:hAnsi="Arial"/>
          <w:sz w:val="17"/>
          <w:szCs w:val="17"/>
          <w:b w:val="1"/>
          <w:bCs w:val="1"/>
          <w:color w:val="auto"/>
        </w:rPr>
        <w:t>We could lose clients and suffer a decline in our Asset Management revenue and earnings if the investments we choose in our Asset Management business perform poorly or if we lose key employees, regardless of overall trends in the prices of securities.</w:t>
      </w:r>
    </w:p>
    <w:p>
      <w:pPr>
        <w:spacing w:after="0" w:line="101" w:lineRule="exact"/>
        <w:rPr>
          <w:sz w:val="20"/>
          <w:szCs w:val="20"/>
          <w:color w:val="auto"/>
        </w:rPr>
      </w:pPr>
    </w:p>
    <w:p>
      <w:pPr>
        <w:ind w:right="180" w:firstLine="457"/>
        <w:spacing w:after="0" w:line="280" w:lineRule="auto"/>
        <w:rPr>
          <w:sz w:val="20"/>
          <w:szCs w:val="20"/>
          <w:color w:val="auto"/>
        </w:rPr>
      </w:pPr>
      <w:r>
        <w:rPr>
          <w:rFonts w:ascii="Arial" w:cs="Arial" w:eastAsia="Arial" w:hAnsi="Arial"/>
          <w:sz w:val="17"/>
          <w:szCs w:val="17"/>
          <w:color w:val="auto"/>
        </w:rPr>
        <w:t>Investment performance affects our AUM relating to existing clients and is one of the most important factors in retaining clients and competing for new Asset Management business. Poor investment performance could impair our revenue and growth because:</w:t>
      </w:r>
    </w:p>
    <w:p>
      <w:pPr>
        <w:spacing w:after="0" w:line="27" w:lineRule="exact"/>
        <w:rPr>
          <w:sz w:val="20"/>
          <w:szCs w:val="20"/>
          <w:color w:val="auto"/>
        </w:rPr>
      </w:pPr>
    </w:p>
    <w:p>
      <w:pPr>
        <w:ind w:left="780" w:right="20" w:hanging="319"/>
        <w:spacing w:after="0" w:line="280"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existing clients might withdraw funds from our Asset Management business in favor of better performing products, which would result in lower investment advisory fees,</w:t>
      </w:r>
    </w:p>
    <w:p>
      <w:pPr>
        <w:spacing w:after="0" w:line="26" w:lineRule="exact"/>
        <w:rPr>
          <w:rFonts w:ascii="Arial" w:cs="Arial" w:eastAsia="Arial" w:hAnsi="Arial"/>
          <w:sz w:val="17"/>
          <w:szCs w:val="17"/>
          <w:color w:val="auto"/>
        </w:rPr>
      </w:pPr>
    </w:p>
    <w:p>
      <w:pPr>
        <w:ind w:left="780" w:right="300" w:hanging="319"/>
        <w:spacing w:after="0" w:line="280"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incentive fees, which provide us with a set percentage of returns on some alternative investment and private equity funds and other accounts, would decline,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80"/>
          </w:cols>
          <w:pgMar w:left="240" w:top="448" w:right="27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80" w:right="240" w:hanging="319"/>
        <w:spacing w:after="0" w:line="280" w:lineRule="auto"/>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third-party financial intermediaries, advisors or consultants may rate our products poorly, which may result in client withdrawals and reduced asset flows from these third parties or their clients, or</w:t>
      </w:r>
    </w:p>
    <w:p>
      <w:pPr>
        <w:spacing w:after="0" w:line="26" w:lineRule="exact"/>
        <w:rPr>
          <w:rFonts w:ascii="Arial" w:cs="Arial" w:eastAsia="Arial" w:hAnsi="Arial"/>
          <w:sz w:val="17"/>
          <w:szCs w:val="17"/>
          <w:color w:val="auto"/>
        </w:rPr>
      </w:pPr>
    </w:p>
    <w:p>
      <w:pPr>
        <w:ind w:left="780" w:hanging="319"/>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firms with which we have strategic alliances may terminate such relationships with us, and future strategic alliances may be unavailable.</w:t>
      </w:r>
    </w:p>
    <w:p>
      <w:pPr>
        <w:spacing w:after="0" w:line="183" w:lineRule="exact"/>
        <w:rPr>
          <w:sz w:val="20"/>
          <w:szCs w:val="20"/>
          <w:color w:val="auto"/>
        </w:rPr>
      </w:pPr>
    </w:p>
    <w:p>
      <w:pPr>
        <w:ind w:right="180" w:firstLine="457"/>
        <w:spacing w:after="0" w:line="268" w:lineRule="auto"/>
        <w:rPr>
          <w:sz w:val="20"/>
          <w:szCs w:val="20"/>
          <w:color w:val="auto"/>
        </w:rPr>
      </w:pPr>
      <w:r>
        <w:rPr>
          <w:rFonts w:ascii="Arial" w:cs="Arial" w:eastAsia="Arial" w:hAnsi="Arial"/>
          <w:sz w:val="17"/>
          <w:szCs w:val="17"/>
          <w:color w:val="auto"/>
        </w:rPr>
        <w:t>If key employees were to leave our Asset Management business, whether to join a competitor or otherwise, we may suffer a decline in revenue or earnings and suffer an adverse effect on our financial position. Loss of key employees may occur due to perceived opportunity for promotion, increased compensation, work environment or other individual reasons, some of which may be beyond our control.</w:t>
      </w:r>
    </w:p>
    <w:p>
      <w:pPr>
        <w:spacing w:after="0" w:line="111"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b w:val="1"/>
          <w:bCs w:val="1"/>
          <w:color w:val="auto"/>
        </w:rPr>
        <w:t>Our investment style in our Asset Management business may underperform other investment approaches, which may result in significant client or asset departures, or a reduction in AUM.</w:t>
      </w:r>
    </w:p>
    <w:p>
      <w:pPr>
        <w:spacing w:after="0" w:line="101"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Even when securities prices are rising generally, performance can be affected by investment style. Many of the equity investment strategies in our Asset Management business share a common investment orientation towards fundamental security selection. We believe this style tends to outperform the market in some market environments and underperform it in others. In particular, a prolonged growth environment may cause certain investment strategies to go out of favor with some clients, advisers, consultants or third-party intermediaries. In combination with poor performance relative to peers, changes in personnel, extensive periods in particular market environments or other difficulties, this may result in significant client or asset departures or a reduction in AUM.</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Because our clients can remove the assets we manage on short notice, we may experience unexpected declines in revenue and profitability.</w:t>
      </w:r>
    </w:p>
    <w:p>
      <w:pPr>
        <w:spacing w:after="0" w:line="172"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21" w:lineRule="exact"/>
        <w:rPr>
          <w:sz w:val="20"/>
          <w:szCs w:val="20"/>
          <w:color w:val="auto"/>
        </w:rPr>
      </w:pPr>
    </w:p>
    <w:p>
      <w:pPr>
        <w:ind w:right="60" w:firstLine="457"/>
        <w:spacing w:after="0" w:line="282"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103" w:lineRule="exact"/>
        <w:rPr>
          <w:sz w:val="20"/>
          <w:szCs w:val="20"/>
          <w:color w:val="auto"/>
        </w:rPr>
      </w:pPr>
    </w:p>
    <w:p>
      <w:pPr>
        <w:ind w:right="120" w:firstLine="457"/>
        <w:spacing w:after="0" w:line="355" w:lineRule="auto"/>
        <w:rPr>
          <w:sz w:val="20"/>
          <w:szCs w:val="20"/>
          <w:color w:val="auto"/>
        </w:rPr>
      </w:pPr>
      <w:r>
        <w:rPr>
          <w:rFonts w:ascii="Arial" w:cs="Arial" w:eastAsia="Arial" w:hAnsi="Arial"/>
          <w:sz w:val="15"/>
          <w:szCs w:val="15"/>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55" w:lineRule="exact"/>
        <w:rPr>
          <w:sz w:val="20"/>
          <w:szCs w:val="20"/>
          <w:color w:val="auto"/>
        </w:rPr>
      </w:pPr>
    </w:p>
    <w:p>
      <w:pPr>
        <w:ind w:right="20" w:firstLine="457"/>
        <w:spacing w:after="0" w:line="305" w:lineRule="auto"/>
        <w:rPr>
          <w:sz w:val="20"/>
          <w:szCs w:val="20"/>
          <w:color w:val="auto"/>
        </w:rPr>
      </w:pPr>
      <w:r>
        <w:rPr>
          <w:rFonts w:ascii="Arial" w:cs="Arial" w:eastAsia="Arial" w:hAnsi="Arial"/>
          <w:sz w:val="15"/>
          <w:szCs w:val="15"/>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8"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right="380" w:firstLine="457"/>
        <w:spacing w:after="0" w:line="318" w:lineRule="auto"/>
        <w:rPr>
          <w:sz w:val="20"/>
          <w:szCs w:val="20"/>
          <w:color w:val="auto"/>
        </w:rPr>
      </w:pPr>
      <w:r>
        <w:rPr>
          <w:rFonts w:ascii="Arial" w:cs="Arial" w:eastAsia="Arial" w:hAnsi="Arial"/>
          <w:sz w:val="16"/>
          <w:szCs w:val="16"/>
          <w:b w:val="1"/>
          <w:bCs w:val="1"/>
          <w:color w:val="auto"/>
        </w:rPr>
        <w:t>Our historical investment activities involve increased levels of investments in relatively high-risk, illiquid assets, and we may lose some or all of the principal amount that we invest in these activities or fail to realize any profits from these activities for a considerable period of time.</w:t>
      </w:r>
    </w:p>
    <w:p>
      <w:pPr>
        <w:spacing w:after="0" w:line="7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intend to expand our participation in alternative investment activities through investments in new and successor funds, and we may exercise our option under the business alliance agreement between Lazard Group and LFCM Holdings to acquire the alternative investment business and related principal investments from LFCM Holdings in North America (see Note 21 of Notes to Consolidated Financial Statements for a description of the CP II MgmtCo Spin-Off, the exercise of the option to acquire the European fund management activities of Lazard Alternative Investments Holdings LLC and related transactions). In addition, during July 2009, the Company established a private equity business with Edgewater.</w:t>
      </w:r>
    </w:p>
    <w:p>
      <w:pPr>
        <w:spacing w:after="0" w:line="121" w:lineRule="exact"/>
        <w:rPr>
          <w:sz w:val="20"/>
          <w:szCs w:val="20"/>
          <w:color w:val="auto"/>
        </w:rPr>
      </w:pPr>
    </w:p>
    <w:p>
      <w:pPr>
        <w:ind w:right="140" w:firstLine="457"/>
        <w:spacing w:after="0" w:line="282" w:lineRule="auto"/>
        <w:rPr>
          <w:sz w:val="20"/>
          <w:szCs w:val="20"/>
          <w:color w:val="auto"/>
        </w:rPr>
      </w:pPr>
      <w:r>
        <w:rPr>
          <w:rFonts w:ascii="Arial" w:cs="Arial" w:eastAsia="Arial" w:hAnsi="Arial"/>
          <w:sz w:val="16"/>
          <w:szCs w:val="16"/>
          <w:color w:val="auto"/>
        </w:rPr>
        <w:t>The revenue from this business is derived primarily from management fees calculated as a percentage of AUM and incentive fees, which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 In addition, the payments we are entitled to receive from LFCM Holdings under the terms of the business alliance agreement in respect of our continued involvement with LFCM Holdings are based on the carried interests received in connection with LFCM Holdings-managed funds.</w:t>
      </w:r>
    </w:p>
    <w:p>
      <w:pPr>
        <w:spacing w:after="0" w:line="107"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In addition, we have made, and in the future may make, principal investments in public or private companies or in alternative investments (including private equity funds and special purpose acquisition companies) established by us or by LFCM Holdings and continue to hold principal investments directly or through several funds managed by LFCM Holdings.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our allocable share of any such gains or losses will affect our revenue,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results of operations may be affected by market fluctuations related to positions held in our investment portfolios.</w:t>
      </w:r>
    </w:p>
    <w:p>
      <w:pPr>
        <w:spacing w:after="0" w:line="161" w:lineRule="exact"/>
        <w:rPr>
          <w:sz w:val="20"/>
          <w:szCs w:val="20"/>
          <w:color w:val="auto"/>
        </w:rPr>
      </w:pPr>
    </w:p>
    <w:p>
      <w:pPr>
        <w:ind w:right="140" w:firstLine="457"/>
        <w:spacing w:after="0" w:line="310" w:lineRule="auto"/>
        <w:rPr>
          <w:sz w:val="20"/>
          <w:szCs w:val="20"/>
          <w:color w:val="auto"/>
        </w:rPr>
      </w:pPr>
      <w:r>
        <w:rPr>
          <w:rFonts w:ascii="Arial" w:cs="Arial" w:eastAsia="Arial" w:hAnsi="Arial"/>
          <w:sz w:val="15"/>
          <w:szCs w:val="15"/>
          <w:color w:val="auto"/>
        </w:rPr>
        <w:t>We invest capital in various types of debt securities and in equities in order to seed LAM equity and alternative investment funds, and for general corporate purposes. Such investments are subject to market fluctuations due to changes in the market prices of securities, interest rates or other market factors, such as liquidity. These investments are adjusted for accounting purposes to fair value at the end of each quarter regardless of our intended holding period, with such gains or losses reflected in revenue, and therefore may increase the volatility of our earnings, even though such gains or losses may not be realized.</w:t>
      </w:r>
    </w:p>
    <w:p>
      <w:pPr>
        <w:spacing w:after="0" w:line="84" w:lineRule="exact"/>
        <w:rPr>
          <w:sz w:val="20"/>
          <w:szCs w:val="20"/>
          <w:color w:val="auto"/>
        </w:rPr>
      </w:pPr>
    </w:p>
    <w:p>
      <w:pPr>
        <w:ind w:right="20" w:firstLine="457"/>
        <w:spacing w:after="0" w:line="285" w:lineRule="auto"/>
        <w:rPr>
          <w:sz w:val="20"/>
          <w:szCs w:val="20"/>
          <w:color w:val="auto"/>
        </w:rPr>
      </w:pPr>
      <w:r>
        <w:rPr>
          <w:rFonts w:ascii="Arial" w:cs="Arial" w:eastAsia="Arial" w:hAnsi="Arial"/>
          <w:sz w:val="17"/>
          <w:szCs w:val="17"/>
          <w:b w:val="1"/>
          <w:bCs w:val="1"/>
          <w:color w:val="auto"/>
        </w:rPr>
        <w:t>We face strong competition from financial services firms, many of whom have the ability to offer clients a wider range of products and services than we can offer, which could lead to pricing pressures that could materially adversely affect our revenue and profitability.</w:t>
      </w:r>
    </w:p>
    <w:p>
      <w:pPr>
        <w:spacing w:after="0" w:line="101" w:lineRule="exact"/>
        <w:rPr>
          <w:sz w:val="20"/>
          <w:szCs w:val="20"/>
          <w:color w:val="auto"/>
        </w:rPr>
      </w:pPr>
    </w:p>
    <w:p>
      <w:pPr>
        <w:ind w:right="140" w:firstLine="457"/>
        <w:spacing w:after="0" w:line="349" w:lineRule="auto"/>
        <w:rPr>
          <w:sz w:val="20"/>
          <w:szCs w:val="20"/>
          <w:color w:val="auto"/>
        </w:rPr>
      </w:pPr>
      <w:r>
        <w:rPr>
          <w:rFonts w:ascii="Arial" w:cs="Arial" w:eastAsia="Arial" w:hAnsi="Arial"/>
          <w:sz w:val="15"/>
          <w:szCs w:val="15"/>
          <w:color w:val="auto"/>
        </w:rPr>
        <w:t>The financial services industry is intensely competitive, and we expect it to remain so. We compete on the basis of a number of factors, including the quality of our employees, transaction execution, our products and services, innovation, reputation and price. We have experienced intense fee competition in some of our</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448" w:right="2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color w:val="auto"/>
        </w:rPr>
        <w:t>businesses in recent years, and we believe that we may experience pricing pressures in these and other areas in the future as some of our competitors seek to obtain increased market share by reducing fees.</w:t>
      </w:r>
    </w:p>
    <w:p>
      <w:pPr>
        <w:spacing w:after="0" w:line="105"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We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Many of these firms have the ability to offer a wide range of products, from loans, deposit-taking and insurance to brokerage, asset management and investment banking services, which may enhance their competitive position. They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05" w:lineRule="exact"/>
        <w:rPr>
          <w:sz w:val="20"/>
          <w:szCs w:val="20"/>
          <w:color w:val="auto"/>
        </w:rPr>
      </w:pPr>
    </w:p>
    <w:p>
      <w:pPr>
        <w:ind w:right="100" w:firstLine="457"/>
        <w:spacing w:after="0" w:line="285" w:lineRule="auto"/>
        <w:rPr>
          <w:sz w:val="20"/>
          <w:szCs w:val="20"/>
          <w:color w:val="auto"/>
        </w:rPr>
      </w:pPr>
      <w:r>
        <w:rPr>
          <w:rFonts w:ascii="Arial" w:cs="Arial" w:eastAsia="Arial" w:hAnsi="Arial"/>
          <w:sz w:val="17"/>
          <w:szCs w:val="17"/>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101"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As of December 31, 2010, Lazard Group and its subsidiaries had approximately $1.25 billion in debt (including capital lease obligations) outstanding, of which $529 million and $548 million relate to Lazard Group senior notes that mature in 2015 and 2017, respectively. This debt has certain mandated payment obligations, which may constrain our ability to operate our business.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 See “Management’s Discussion and Analysis of Financial Condition and Results of Operations.”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We may pursue acquisitions, joint ventures or cooperation agreements that could present unforeseen integration obstacles or costs.</w:t>
      </w:r>
    </w:p>
    <w:p>
      <w:pPr>
        <w:spacing w:after="0" w:line="161"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routinely assess our strategic position and may in the future seek acquisitions or other transactions to further enhance our competitive position. We have in the past pursued joint ventures and other transactions aimed at expanding the geography and scope of our operations. During 2007, we acquired all of the outstanding ownership interests of GAHL and CWC, we entered into a joint cooperation agreement with Raiffeisen and we entered into a shareholders agreement to acquire a 50% interest in MBA. During 2009, we established a private equity business with Edgewater. We expect to continue to explore acquisitions and partnership or strategic alliance opportunities that we believe to be attractive.</w:t>
      </w:r>
    </w:p>
    <w:p>
      <w:pPr>
        <w:spacing w:after="0" w:line="121"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Acquisitions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 Our clients may react unfavorably to our acquisition and joint venture strategy, we may not realize any anticipated benefits from acquisitions, we may be exposed to additional liabilities of any acquired business or joint venture, and we may not be able to renew on similar terms (or at all) previously successful joint ventures or similar arrangements, any of which could materially adversely affect our revenue and results of operations.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40"/>
          </w:cols>
          <w:pgMar w:left="240" w:top="448" w:right="31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right="920" w:firstLine="457"/>
        <w:spacing w:after="0" w:line="285" w:lineRule="auto"/>
        <w:rPr>
          <w:sz w:val="20"/>
          <w:szCs w:val="20"/>
          <w:color w:val="auto"/>
        </w:rPr>
      </w:pPr>
      <w:r>
        <w:rPr>
          <w:rFonts w:ascii="Arial" w:cs="Arial" w:eastAsia="Arial" w:hAnsi="Arial"/>
          <w:sz w:val="17"/>
          <w:szCs w:val="17"/>
          <w:b w:val="1"/>
          <w:bCs w:val="1"/>
          <w:color w:val="auto"/>
        </w:rPr>
        <w:t>Employee misconduct could harm us by impairing our ability to attract and retain clients and subjecting us to significant legal liability and reputational harm, and this type of misconduct is difficult to detect and deter.</w:t>
      </w:r>
    </w:p>
    <w:p>
      <w:pPr>
        <w:spacing w:after="0" w:line="101" w:lineRule="exact"/>
        <w:rPr>
          <w:sz w:val="20"/>
          <w:szCs w:val="20"/>
          <w:color w:val="auto"/>
        </w:rPr>
      </w:pPr>
    </w:p>
    <w:p>
      <w:pPr>
        <w:ind w:right="60" w:firstLine="457"/>
        <w:spacing w:after="0" w:line="277"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regulatory sanctions and serious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impair our ability to attract and retain Financial Advisory clients and may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deter employee misconduct, and the precautions we take to detect and prevent this activity may not be effective in all cases.</w:t>
      </w:r>
    </w:p>
    <w:p>
      <w:pPr>
        <w:spacing w:after="0" w:line="108" w:lineRule="exact"/>
        <w:rPr>
          <w:sz w:val="20"/>
          <w:szCs w:val="20"/>
          <w:color w:val="auto"/>
        </w:rPr>
      </w:pPr>
    </w:p>
    <w:p>
      <w:pPr>
        <w:ind w:right="520" w:firstLine="457"/>
        <w:spacing w:after="0" w:line="285" w:lineRule="auto"/>
        <w:rPr>
          <w:sz w:val="20"/>
          <w:szCs w:val="20"/>
          <w:color w:val="auto"/>
        </w:rPr>
      </w:pPr>
      <w:r>
        <w:rPr>
          <w:rFonts w:ascii="Arial" w:cs="Arial" w:eastAsia="Arial" w:hAnsi="Arial"/>
          <w:sz w:val="17"/>
          <w:szCs w:val="17"/>
          <w:b w:val="1"/>
          <w:bCs w:val="1"/>
          <w:color w:val="auto"/>
        </w:rPr>
        <w:t>The financial services industry faces substantial litigation and regulatory risks, and we may face damage to our professional reputation and legal liability if our services are not regarded as satisfactory or for other reasons.</w:t>
      </w:r>
    </w:p>
    <w:p>
      <w:pPr>
        <w:spacing w:after="0" w:line="101" w:lineRule="exact"/>
        <w:rPr>
          <w:sz w:val="20"/>
          <w:szCs w:val="20"/>
          <w:color w:val="auto"/>
        </w:rPr>
      </w:pPr>
    </w:p>
    <w:p>
      <w:pPr>
        <w:ind w:right="260" w:firstLine="457"/>
        <w:spacing w:after="0" w:line="285"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M&amp;A or restructuring transactions involves complex analysis and the exercise of professional judgment, including, if appropriate, rendering “fairness opinions” in connection with mergers and other transactions.</w:t>
      </w:r>
    </w:p>
    <w:p>
      <w:pPr>
        <w:spacing w:after="0" w:line="105"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Our Financial Advisory activities may subject us to the risk of significant legal actions by our clients and third parties, including our clients’ stockholders, under securities or other laws for allegations relating to materially false or misleading statements made in connection with securities and other transactions and potential liability for the fairness opinions and other advice provided to participants in corporate transactions. In our Asset Management business, we make investment decisions on behalf of our clients which could result in substantial losses. This also may subject us to the risk of legal actions alleging negligence, misconduct, breach of fiduciary duty or breach of contract. These risks often may be difficult to assess or quantify and their existence and magnitude often remain unknown for substantial periods of time. Our engagements typically include broad indemnities from our clients and provisions designed to limit our exposure to legal claims relating to our services, but these provisions may not protect us or may not be adhered to in all cases. We also are subject to claims arising from disputes with employees for alleged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Other operational risks may disrupt our businesses, result in regulatory action against us or limit our growth.</w:t>
      </w:r>
    </w:p>
    <w:p>
      <w:pPr>
        <w:spacing w:after="0" w:line="161" w:lineRule="exact"/>
        <w:rPr>
          <w:sz w:val="20"/>
          <w:szCs w:val="20"/>
          <w:color w:val="auto"/>
        </w:rPr>
      </w:pPr>
    </w:p>
    <w:p>
      <w:pPr>
        <w:ind w:right="260" w:firstLine="457"/>
        <w:spacing w:after="0" w:line="349" w:lineRule="auto"/>
        <w:rPr>
          <w:sz w:val="20"/>
          <w:szCs w:val="20"/>
          <w:color w:val="auto"/>
        </w:rPr>
      </w:pPr>
      <w:r>
        <w:rPr>
          <w:rFonts w:ascii="Arial" w:cs="Arial" w:eastAsia="Arial" w:hAnsi="Arial"/>
          <w:sz w:val="15"/>
          <w:szCs w:val="15"/>
          <w:color w:val="auto"/>
        </w:rPr>
        <w:t>Our business is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operating</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48"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results. Although back-up systems are in place, our back-up procedures and capabilities in the event of a failure or interruption may not be adequate.</w:t>
      </w:r>
    </w:p>
    <w:p>
      <w:pPr>
        <w:spacing w:after="0" w:line="157" w:lineRule="exact"/>
        <w:rPr>
          <w:sz w:val="20"/>
          <w:szCs w:val="20"/>
          <w:color w:val="auto"/>
        </w:rPr>
      </w:pPr>
    </w:p>
    <w:p>
      <w:pPr>
        <w:ind w:right="140" w:firstLine="457"/>
        <w:spacing w:after="0" w:line="305" w:lineRule="auto"/>
        <w:rPr>
          <w:sz w:val="20"/>
          <w:szCs w:val="20"/>
          <w:color w:val="auto"/>
        </w:rPr>
      </w:pPr>
      <w:r>
        <w:rPr>
          <w:rFonts w:ascii="Arial" w:cs="Arial" w:eastAsia="Arial" w:hAnsi="Arial"/>
          <w:sz w:val="15"/>
          <w:szCs w:val="15"/>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w:t>
      </w:r>
    </w:p>
    <w:p>
      <w:pPr>
        <w:spacing w:after="0" w:line="88" w:lineRule="exact"/>
        <w:rPr>
          <w:sz w:val="20"/>
          <w:szCs w:val="20"/>
          <w:color w:val="auto"/>
        </w:rPr>
      </w:pPr>
    </w:p>
    <w:p>
      <w:pPr>
        <w:ind w:right="220" w:firstLine="457"/>
        <w:spacing w:after="0" w:line="285" w:lineRule="auto"/>
        <w:rPr>
          <w:sz w:val="20"/>
          <w:szCs w:val="20"/>
          <w:color w:val="auto"/>
        </w:rPr>
      </w:pPr>
      <w:r>
        <w:rPr>
          <w:rFonts w:ascii="Arial" w:cs="Arial" w:eastAsia="Arial" w:hAnsi="Arial"/>
          <w:sz w:val="17"/>
          <w:szCs w:val="17"/>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01"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94"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07" w:lineRule="exact"/>
        <w:rPr>
          <w:sz w:val="20"/>
          <w:szCs w:val="20"/>
          <w:color w:val="auto"/>
        </w:rPr>
      </w:pPr>
    </w:p>
    <w:p>
      <w:pPr>
        <w:ind w:right="20" w:firstLine="457"/>
        <w:spacing w:after="0" w:line="305" w:lineRule="auto"/>
        <w:rPr>
          <w:sz w:val="20"/>
          <w:szCs w:val="20"/>
          <w:color w:val="auto"/>
        </w:rPr>
      </w:pPr>
      <w:r>
        <w:rPr>
          <w:rFonts w:ascii="Arial" w:cs="Arial" w:eastAsia="Arial" w:hAnsi="Arial"/>
          <w:sz w:val="15"/>
          <w:szCs w:val="15"/>
          <w:color w:val="auto"/>
        </w:rPr>
        <w:t>From 2007 through 2009, the U.S. and global financial markets experienced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While we currently are in the process of examining the potential impact of the Dodd-Frank Act and related regulations, we are not able to predict the ultimate effect on us.</w:t>
      </w:r>
    </w:p>
    <w:p>
      <w:pPr>
        <w:spacing w:after="0" w:line="92" w:lineRule="exact"/>
        <w:rPr>
          <w:sz w:val="20"/>
          <w:szCs w:val="20"/>
          <w:color w:val="auto"/>
        </w:rPr>
      </w:pPr>
    </w:p>
    <w:p>
      <w:pPr>
        <w:ind w:right="260" w:firstLine="457"/>
        <w:spacing w:after="0" w:line="280" w:lineRule="auto"/>
        <w:rPr>
          <w:sz w:val="20"/>
          <w:szCs w:val="20"/>
          <w:color w:val="auto"/>
        </w:rPr>
      </w:pPr>
      <w:r>
        <w:rPr>
          <w:rFonts w:ascii="Arial" w:cs="Arial" w:eastAsia="Arial" w:hAnsi="Arial"/>
          <w:sz w:val="17"/>
          <w:szCs w:val="17"/>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105"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448" w:right="25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Financial services firms are subject to numerous conflicts of interest or perceived conflicts. We have adopted various policies, controls and procedures to address or limit actual or perceived conflicts and regularly seek to review and update our policies, controls and procedures. However, these policies and procedures may result in increased costs, additional operational personnel and increased regulatory risk. Failure to adhere to these policies and procedures may result in regulatory sanctions or client litigation.</w:t>
      </w:r>
    </w:p>
    <w:p>
      <w:pPr>
        <w:spacing w:after="0" w:line="119"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is periodically reexamined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2010, our Asset Management business obtained research and other services through third-party soft dollar arrangements, the total cost of which we estimate to be approximately $18 million. If the use of soft dollars is limited, we may have to bear some of these costs. In addition, new regulations regarding the management of hedge funds and the use of certain investment products may impact our Asset Management business and result in increased costs. For example, many regulators around the world adopted restrictions or prohibitions on the short selling of certain securities and requirements to report short positions and other transactions. In addition, legislators around the world are exploring regulatory changes and additional oversight of the financial industry generally. The impact of these proposed changes on the Company are uncertain. These regulatory changes and other proposed or potential changes may result in a reduction of revenue associated with our Asset Management business.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“Business—Regulation” for a further discussion of the regulatory environment in which we conduct our businesses.</w:t>
      </w:r>
    </w:p>
    <w:p>
      <w:pPr>
        <w:spacing w:after="0" w:line="153" w:lineRule="exact"/>
        <w:rPr>
          <w:sz w:val="20"/>
          <w:szCs w:val="20"/>
          <w:color w:val="auto"/>
        </w:rPr>
      </w:pPr>
    </w:p>
    <w:p>
      <w:pPr>
        <w:ind w:right="140" w:firstLine="457"/>
        <w:spacing w:after="0" w:line="285" w:lineRule="auto"/>
        <w:rPr>
          <w:sz w:val="20"/>
          <w:szCs w:val="20"/>
          <w:color w:val="auto"/>
        </w:rPr>
      </w:pPr>
      <w:r>
        <w:rPr>
          <w:rFonts w:ascii="Arial" w:cs="Arial" w:eastAsia="Arial" w:hAnsi="Arial"/>
          <w:sz w:val="17"/>
          <w:szCs w:val="17"/>
          <w:b w:val="1"/>
          <w:bCs w:val="1"/>
          <w:color w:val="auto"/>
        </w:rPr>
        <w:t>Fluctuations in foreign currency exchange rates could reduce our stockholders’ equity and net income or negatively impact the portfolios of our Asset Management clients and may affect the levels of our AUM.</w:t>
      </w:r>
    </w:p>
    <w:p>
      <w:pPr>
        <w:spacing w:after="0" w:line="101"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We are exposed to fluctuations in foreign currencies. Our financial statements are denominated in U.S. dollars and, for the year ended December 31, 2010, we received approximately 39% of our consolidated net revenue in other currencies, predominantly in euros and British pounds. In addition, we pay a significant amount of our expenses in such other currencies. The exchange rates of these currencies versus the U.S. dollar affects the carrying value of our assets and liabilities as well as our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07"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Foreign currency fluctuations also can impact the portfolios of our Asset Management clients. Client portfolios are invested in securities across the globe, although most portfolios are in a single base currency. Foreign currency fluctuations can adversely impact investment performance for a client’s portfolio. In addition, foreign currency fluctuations may affect the levels of our AUM. As our AUM include significant assets that are denominated in currencies other than U.S. dollars, an increase in the value of the U.S. dollar relative to non-U.S. currencies may result in a decrease in the dollar value of our AUM, which, in turn, would result in lower U.S. dollar-denominated revenue in our Asset Management business. While this risk may be limited by foreign currency hedging, some risks cannot be hedged and our hedging activity may not be successful. Poor performance may result in decreased AUM, including as a result of withdrawal of client assets or a decrease in new assets being raised in the relevant product.</w:t>
      </w:r>
    </w:p>
    <w:p>
      <w:pPr>
        <w:spacing w:after="0" w:line="123" w:lineRule="exact"/>
        <w:rPr>
          <w:sz w:val="20"/>
          <w:szCs w:val="20"/>
          <w:color w:val="auto"/>
        </w:rPr>
      </w:pPr>
    </w:p>
    <w:p>
      <w:pPr>
        <w:ind w:right="260" w:firstLine="457"/>
        <w:spacing w:after="0" w:line="280" w:lineRule="auto"/>
        <w:rPr>
          <w:sz w:val="20"/>
          <w:szCs w:val="20"/>
          <w:color w:val="auto"/>
        </w:rPr>
      </w:pPr>
      <w:r>
        <w:rPr>
          <w:rFonts w:ascii="Arial" w:cs="Arial" w:eastAsia="Arial" w:hAnsi="Arial"/>
          <w:sz w:val="17"/>
          <w:szCs w:val="17"/>
          <w:color w:val="auto"/>
        </w:rPr>
        <w:t>See Note 15 of Notes to Consolidated Financial Statements for additional information regarding the impact on stockholders’ equity from currency translation adjustments.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448" w:right="2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right="80" w:firstLine="457"/>
        <w:spacing w:after="0" w:line="285" w:lineRule="auto"/>
        <w:rPr>
          <w:sz w:val="20"/>
          <w:szCs w:val="20"/>
          <w:color w:val="auto"/>
        </w:rPr>
      </w:pPr>
      <w:r>
        <w:rPr>
          <w:rFonts w:ascii="Arial" w:cs="Arial" w:eastAsia="Arial" w:hAnsi="Arial"/>
          <w:sz w:val="17"/>
          <w:szCs w:val="17"/>
          <w:b w:val="1"/>
          <w:bCs w:val="1"/>
          <w:color w:val="auto"/>
        </w:rPr>
        <w:t>Our only material operating asset is our indirect interest in Lazard Group, and, accordingly, we are dependent upon distributions from Lazard Group to pay dividends and taxes and other expenses.</w:t>
      </w:r>
    </w:p>
    <w:p>
      <w:pPr>
        <w:spacing w:after="0" w:line="101"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Lazard Ltd is a holding company and, as of December 31, 2010, had no material operating assets other than the indirect ownership of approximately 94.0% of the common membership interests in Lazard Group and indirect control of both of the managing members of Lazard Group. Lazard Ltd controls Lazard Group through this managing member position. We have no independent means of generating significant revenue. Our wholly-owned subsidiaries incur income taxes on their proportionate share of any net taxable income of Lazard Group in their respective tax jurisdictions. We intend to continue to cause Lazard Group to make distributions to its members, including our wholly-owned subsidiaries, in an amount sufficient to cover all applicable taxes payable by us and dividends, if any, declared by us. To the extent that our subsidiaries need funds to pay taxes on their share of Lazard Group’s net taxable income, or if Lazard Ltd needs funds for any other purpose, and Lazard Group is restricted from making such distributions under applicable law or regulation, or is otherwise unable to provide such funds, it could materially adversely affect our business, financial condition or results of operations.</w:t>
      </w:r>
    </w:p>
    <w:p>
      <w:pPr>
        <w:spacing w:after="0" w:line="105" w:lineRule="exact"/>
        <w:rPr>
          <w:sz w:val="20"/>
          <w:szCs w:val="20"/>
          <w:color w:val="auto"/>
        </w:rPr>
      </w:pPr>
    </w:p>
    <w:p>
      <w:pPr>
        <w:ind w:right="680" w:firstLine="457"/>
        <w:spacing w:after="0" w:line="285" w:lineRule="auto"/>
        <w:rPr>
          <w:sz w:val="20"/>
          <w:szCs w:val="20"/>
          <w:color w:val="auto"/>
        </w:rPr>
      </w:pPr>
      <w:r>
        <w:rPr>
          <w:rFonts w:ascii="Arial" w:cs="Arial" w:eastAsia="Arial" w:hAnsi="Arial"/>
          <w:sz w:val="17"/>
          <w:szCs w:val="17"/>
          <w:b w:val="1"/>
          <w:bCs w:val="1"/>
          <w:color w:val="auto"/>
        </w:rPr>
        <w:t>Lazard Group is a holding company and therefore depends on its subsidiaries to make distributions to Lazard Group to enable it to service its obligations under its indebtedness.</w:t>
      </w:r>
    </w:p>
    <w:p>
      <w:pPr>
        <w:spacing w:after="0" w:line="101"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Lazard Group depends on its subsidiaries, which conduct the operations of the businesses, for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In addition, legal and contractual restrictions in agreements governing current and future indebtedness, as well as financial conditions, minimum regulatory net capital and similar requirements and operating requirements of Lazard Group’s subsidiaries, currently limit and may, in the future, limit Lazard Group’s ability to obtain cash from its subsidiaries.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indebtedness of Lazard Group’s subsidiaries and regulatory requirements with respect to our broker-dealer and other regulated subsidiaries may not permit such subsidiaries to provide Lazard Group with sufficient dividends, distributions or loans to fund its financial obligations, when due.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We may become subject to taxes in Bermuda after March 28, 2016, which may have a material adverse effect on our results of operations.</w:t>
      </w:r>
    </w:p>
    <w:p>
      <w:pPr>
        <w:spacing w:after="0" w:line="172" w:lineRule="exact"/>
        <w:rPr>
          <w:sz w:val="20"/>
          <w:szCs w:val="20"/>
          <w:color w:val="auto"/>
        </w:rPr>
      </w:pPr>
    </w:p>
    <w:p>
      <w:pPr>
        <w:ind w:right="60" w:firstLine="457"/>
        <w:spacing w:after="0" w:line="305" w:lineRule="auto"/>
        <w:rPr>
          <w:sz w:val="20"/>
          <w:szCs w:val="20"/>
          <w:color w:val="auto"/>
        </w:rPr>
      </w:pPr>
      <w:r>
        <w:rPr>
          <w:rFonts w:ascii="Arial" w:cs="Arial" w:eastAsia="Arial" w:hAnsi="Arial"/>
          <w:sz w:val="15"/>
          <w:szCs w:val="15"/>
          <w:color w:val="auto"/>
        </w:rPr>
        <w:t>The Bermuda Minister of Finance, under the Exempted Undertakings Tax Protection Act 1966 of Bermuda, as amended, has given us an assurance that if any legislation is enacted in Bermuda that would impose tax computed on profits or income, or computed on any capital asset, gain or appreciation, or any tax in the nature of estate duty or inheritance tax, then the imposition of any such tax will not be applicable to us or any of our operations, shares, debentures or other obligations until March 28, 2016, except insofar as such tax applies to persons ordinarily resident in Bermuda or to any taxes payable by us in respect of real property owned or leased by us in Bermuda. Given the limited duration of the Bermuda Minister of Finance’s assurance, we may be subject to Bermuda tax after March 28, 2016.</w:t>
      </w:r>
    </w:p>
    <w:p>
      <w:pPr>
        <w:spacing w:after="0" w:line="88" w:lineRule="exact"/>
        <w:rPr>
          <w:sz w:val="20"/>
          <w:szCs w:val="20"/>
          <w:color w:val="auto"/>
        </w:rPr>
      </w:pPr>
    </w:p>
    <w:p>
      <w:pPr>
        <w:ind w:right="80" w:firstLine="457"/>
        <w:spacing w:after="0" w:line="285" w:lineRule="auto"/>
        <w:rPr>
          <w:sz w:val="20"/>
          <w:szCs w:val="20"/>
          <w:color w:val="auto"/>
        </w:rPr>
      </w:pPr>
      <w:r>
        <w:rPr>
          <w:rFonts w:ascii="Arial" w:cs="Arial" w:eastAsia="Arial" w:hAnsi="Arial"/>
          <w:sz w:val="17"/>
          <w:szCs w:val="17"/>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101"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Our effective tax rate is based upon the application of currently applicable income tax laws, regulations and treaties, current judicial and administrative authorities interpreting those income tax laws, regulations and treaties, and upon our non-U.S. subsidiaries’ ability to qualify for benefits under those treaties, and that a portion of their income is not subject to U.S. tax as effectively connected income. Moreover, those income tax</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48" w:right="2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620"/>
        <w:spacing w:after="0" w:line="280" w:lineRule="auto"/>
        <w:rPr>
          <w:sz w:val="20"/>
          <w:szCs w:val="20"/>
          <w:color w:val="auto"/>
        </w:rPr>
      </w:pPr>
      <w:r>
        <w:rPr>
          <w:rFonts w:ascii="Arial" w:cs="Arial" w:eastAsia="Arial" w:hAnsi="Arial"/>
          <w:sz w:val="17"/>
          <w:szCs w:val="17"/>
          <w:color w:val="auto"/>
        </w:rPr>
        <w:t>laws, regulations and treaties, and the administrative and judicial authorities interpreting them, are subject to change at any time, and any such change may be retroactive.</w:t>
      </w:r>
    </w:p>
    <w:p>
      <w:pPr>
        <w:spacing w:after="0" w:line="10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Our effective tax rate is based upon our non-U.S. subsidiaries qualifying for treaty benefits. The eligibility of our non-U.S. subsidiaries for treaty benefits generally depends upon, among other things, at least 50% of the principal class of shares in such subsidiaries being “ultimately owned” by U.S. citizens and persons who are “qualified residents” for purposes of the treaty. It is possible that this requirement may not be met, and even if it is met, we may not be able to document that fact to the satisfaction of the U.S. Internal Revenue Service (“IRS”). If our non-U.S. subsidiaries are not treated as eligible for treaty benefits, such subsidiaries will be subject to additional U.S. taxes, including “branch profits tax” on their “effectively connected earnings and profits” (as determined for U.S. federal income tax purposes) at a rate of 30% rather than a treaty rate of 5%.</w:t>
      </w:r>
    </w:p>
    <w:p>
      <w:pPr>
        <w:spacing w:after="0" w:line="121" w:lineRule="exact"/>
        <w:rPr>
          <w:sz w:val="20"/>
          <w:szCs w:val="20"/>
          <w:color w:val="auto"/>
        </w:rPr>
      </w:pPr>
    </w:p>
    <w:p>
      <w:pPr>
        <w:ind w:right="280" w:firstLine="457"/>
        <w:spacing w:after="0" w:line="349" w:lineRule="auto"/>
        <w:rPr>
          <w:sz w:val="20"/>
          <w:szCs w:val="20"/>
          <w:color w:val="auto"/>
        </w:rPr>
      </w:pPr>
      <w:r>
        <w:rPr>
          <w:rFonts w:ascii="Arial" w:cs="Arial" w:eastAsia="Arial" w:hAnsi="Arial"/>
          <w:sz w:val="15"/>
          <w:szCs w:val="15"/>
          <w:color w:val="auto"/>
        </w:rPr>
        <w:t>The inability, for any reason, to achieve and maintain an overall income tax rate approximately equal to the rate used in preparing our consolidated financial statements could materially adversely affect our business and our results of operations and could materially adversely affect our financial statements.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Tax authorities may challenge our tax computations, classifications and our transfer pricing methods, and their application.</w:t>
      </w:r>
    </w:p>
    <w:p>
      <w:pPr>
        <w:spacing w:after="0" w:line="161" w:lineRule="exact"/>
        <w:rPr>
          <w:sz w:val="20"/>
          <w:szCs w:val="20"/>
          <w:color w:val="auto"/>
        </w:rPr>
      </w:pPr>
    </w:p>
    <w:p>
      <w:pPr>
        <w:jc w:val="both"/>
        <w:ind w:right="100" w:firstLine="457"/>
        <w:spacing w:after="0" w:line="268" w:lineRule="auto"/>
        <w:rPr>
          <w:sz w:val="20"/>
          <w:szCs w:val="20"/>
          <w:color w:val="auto"/>
        </w:rPr>
      </w:pPr>
      <w:r>
        <w:rPr>
          <w:rFonts w:ascii="Arial" w:cs="Arial" w:eastAsia="Arial" w:hAnsi="Arial"/>
          <w:sz w:val="17"/>
          <w:szCs w:val="17"/>
          <w:color w:val="auto"/>
        </w:rPr>
        <w:t>In the ordinary course of our business, we are subject to tax audits in various jurisdictions. Tax authorities may challenge our tax computations, classifications, our transfer pricing methods and their application, and other items. While we believe our tax computations, classifications and transfer pricing results are correct and properly reflected on our financial statements, the tax authorities may disagree.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Outcome of future U.S. tax legislation is unknown at the present time.</w:t>
      </w:r>
    </w:p>
    <w:p>
      <w:pPr>
        <w:spacing w:after="0" w:line="161"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color w:val="auto"/>
        </w:rPr>
        <w:t>On February 14, 2011, the Executive Branch presented its 2012 budget proposals to Congress. The budget proposals included several potential revenue generating proposals to (i) limit the deduction of certain related party interest and (ii) defer the deduction of interest attributable to foreign source income of foreign subsidiaries. Each of these proposals would be effective only for taxable years beginning after December 31, 2011. In addition, other members of Congress have proposed legislation that, if enacted, would reclassify certain types of publicly-traded entities as U.S. corporations for tax purposes if the management and control of such entities occurs primarily within the U.S.</w:t>
      </w:r>
    </w:p>
    <w:p>
      <w:pPr>
        <w:spacing w:after="0" w:line="121" w:lineRule="exact"/>
        <w:rPr>
          <w:sz w:val="20"/>
          <w:szCs w:val="20"/>
          <w:color w:val="auto"/>
        </w:rPr>
      </w:pPr>
    </w:p>
    <w:p>
      <w:pPr>
        <w:ind w:right="460" w:firstLine="457"/>
        <w:spacing w:after="0" w:line="280" w:lineRule="auto"/>
        <w:rPr>
          <w:sz w:val="20"/>
          <w:szCs w:val="20"/>
          <w:color w:val="auto"/>
        </w:rPr>
      </w:pPr>
      <w:r>
        <w:rPr>
          <w:rFonts w:ascii="Arial" w:cs="Arial" w:eastAsia="Arial" w:hAnsi="Arial"/>
          <w:sz w:val="17"/>
          <w:szCs w:val="17"/>
          <w:color w:val="auto"/>
        </w:rPr>
        <w:t>We are currently unable to predict the ultimate outcome of any of these proposals. If enacted in their current form, however, some of these proposals may increase Lazard’s effective tax rate during future periods.</w:t>
      </w:r>
    </w:p>
    <w:p>
      <w:pPr>
        <w:spacing w:after="0" w:line="101" w:lineRule="exact"/>
        <w:rPr>
          <w:sz w:val="20"/>
          <w:szCs w:val="20"/>
          <w:color w:val="auto"/>
        </w:rPr>
      </w:pPr>
    </w:p>
    <w:p>
      <w:pPr>
        <w:ind w:firstLine="457"/>
        <w:spacing w:after="0" w:line="355" w:lineRule="auto"/>
        <w:rPr>
          <w:sz w:val="20"/>
          <w:szCs w:val="20"/>
          <w:color w:val="auto"/>
        </w:rPr>
      </w:pPr>
      <w:r>
        <w:rPr>
          <w:rFonts w:ascii="Arial" w:cs="Arial" w:eastAsia="Arial" w:hAnsi="Arial"/>
          <w:sz w:val="15"/>
          <w:szCs w:val="15"/>
          <w:b w:val="1"/>
          <w:bCs w:val="1"/>
          <w:color w:val="auto"/>
        </w:rPr>
        <w:t>Our subsidiaries will be required to pay LFCM Holdings most of the benefit relating to any additional tax depreciation or amortization deductions our subsidiaries may claim as a result of the tax basis step-up our subsidiaries receive in connection with the equity public offering and related transactions.</w:t>
      </w:r>
    </w:p>
    <w:p>
      <w:pPr>
        <w:spacing w:after="0" w:line="55"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In connection with our various secondary offerings, LAZ-MD Holdings exchangeable interests were, in effect, partially exchanged for shares of our common stock. Additional exchanges are scheduled to take place in the future. The redemption and the exchanges may result in increases in the tax basis of the tangible and intangible assets of Lazard Group attributable to our subsidiaries’ interest in Lazard Group that otherwise would not have been available. These increases in tax basis may reduce the amount of tax that our subsidiaries would otherwise be required to pay in the future, although the IRS may challenge all or part of that tax basis increase, and a court could sustain such a challenge.</w:t>
      </w:r>
    </w:p>
    <w:p>
      <w:pPr>
        <w:spacing w:after="0" w:line="121" w:lineRule="exact"/>
        <w:rPr>
          <w:sz w:val="20"/>
          <w:szCs w:val="20"/>
          <w:color w:val="auto"/>
        </w:rPr>
      </w:pPr>
    </w:p>
    <w:p>
      <w:pPr>
        <w:jc w:val="both"/>
        <w:ind w:right="120" w:firstLine="457"/>
        <w:spacing w:after="0" w:line="292" w:lineRule="auto"/>
        <w:rPr>
          <w:sz w:val="20"/>
          <w:szCs w:val="20"/>
          <w:color w:val="auto"/>
        </w:rPr>
      </w:pPr>
      <w:r>
        <w:rPr>
          <w:rFonts w:ascii="Arial" w:cs="Arial" w:eastAsia="Arial" w:hAnsi="Arial"/>
          <w:sz w:val="16"/>
          <w:szCs w:val="16"/>
          <w:color w:val="auto"/>
        </w:rPr>
        <w:t>Our subsidiaries entered into a tax receivable agreement with LFCM Holdings that provides for the payment by our subsidiaries to LFCM Holdings of 85% of the amount of cash savings, if any, in U.S. federal, state and local income tax or franchise tax that we actually realize as a result of these increases in tax basis and of certain other tax benefits related to entering into the tax receivable agreement, including tax benefits attributable to</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40"/>
          </w:cols>
          <w:pgMar w:left="240" w:top="448" w:right="31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payments under the tax receivable agreement. We expect to benefit from the remaining 15% of cash savings realized. Our subsidiaries have the right to terminate the tax receivable agreement at any time for an amount based on an agreed value of certain payments remaining to be made under the tax receivable agreement at such time. While the actual amount and timing of any payments under this agreement will vary depending upon a number of factors, including the timing of exchanges, the extent to which such exchanges are taxable, the allocation of the step-up among the Lazard Group assets, and the amount and timing of our income, we expect that, as a result of the size of the increases in the tax basis of the tangible and intangible assets of Lazard Group attributable to our subsidiaries’ interest in Lazard Group, during the 24-year term of the tax receivable agreement, the payments that our subsidiaries may make to LFCM Holdings could be substantial. If the LAZ-MD Holdings exchangeable interests had been effectively exchanged in a taxable transaction for common stock at the close of business on December 31, 2010, the aggregate increase in tax basis attributable to our subsidiaries’ interest in Lazard Group would have been approximately $3.2 billion (based on the then closing price per share of our common stock on the NYSE of $39.49), including the increase in tax basis associated with the redemption and recapitalization. The potential future increase in tax basis will depend on the Lazard common stock price at the time of exchange. The cash savings that our subsidiaries would actually realize as a result of this increase in tax basis likely would be significantly less than this amount multiplied by our effective tax rate due to a number of factors, including sufficient taxable income to absorb the increase in tax basis, the allocation of the increase in tax basis to foreign or non-amortizable assets, the impact of the increase in the tax basis on our ability to use foreign tax credits and the rules relating to the amortization of intangible assets. Our ability to achieve benefits from any such increase, and the payments to be made under this agreement, will depend upon a number of factors, as discussed above, including the timing and amount of our future income.</w:t>
      </w:r>
    </w:p>
    <w:p>
      <w:pPr>
        <w:spacing w:after="0" w:line="99" w:lineRule="exact"/>
        <w:rPr>
          <w:sz w:val="20"/>
          <w:szCs w:val="20"/>
          <w:color w:val="auto"/>
        </w:rPr>
      </w:pPr>
    </w:p>
    <w:p>
      <w:pPr>
        <w:ind w:right="340" w:firstLine="457"/>
        <w:spacing w:after="0" w:line="280" w:lineRule="auto"/>
        <w:rPr>
          <w:sz w:val="20"/>
          <w:szCs w:val="20"/>
          <w:color w:val="auto"/>
        </w:rPr>
      </w:pPr>
      <w:r>
        <w:rPr>
          <w:rFonts w:ascii="Arial" w:cs="Arial" w:eastAsia="Arial" w:hAnsi="Arial"/>
          <w:sz w:val="17"/>
          <w:szCs w:val="17"/>
          <w:color w:val="auto"/>
        </w:rPr>
        <w:t>In addition, if the IRS successfully challenges the tax basis increase, under certain circumstances, our subsidiaries could make payments to LFCM Holdings under the tax receivable agreement in excess of our subsidiaries’ cash tax savings.</w:t>
      </w:r>
    </w:p>
    <w:p>
      <w:pPr>
        <w:spacing w:after="0" w:line="101" w:lineRule="exact"/>
        <w:rPr>
          <w:sz w:val="20"/>
          <w:szCs w:val="20"/>
          <w:color w:val="auto"/>
        </w:rPr>
      </w:pPr>
    </w:p>
    <w:p>
      <w:pPr>
        <w:ind w:right="280" w:firstLine="457"/>
        <w:spacing w:after="0" w:line="285" w:lineRule="auto"/>
        <w:rPr>
          <w:sz w:val="20"/>
          <w:szCs w:val="20"/>
          <w:color w:val="auto"/>
        </w:rPr>
      </w:pPr>
      <w:r>
        <w:rPr>
          <w:rFonts w:ascii="Arial" w:cs="Arial" w:eastAsia="Arial" w:hAnsi="Arial"/>
          <w:sz w:val="17"/>
          <w:szCs w:val="17"/>
          <w:b w:val="1"/>
          <w:bCs w:val="1"/>
          <w:color w:val="auto"/>
        </w:rPr>
        <w:t>Failure to maintain effective internal controls in accordance with Section 404 of the Sarbanes-Oxley Act could have a material adverse effect on our business.</w:t>
      </w:r>
    </w:p>
    <w:p>
      <w:pPr>
        <w:spacing w:after="0" w:line="101"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the Company’s internal control over financial reporting. We are in compliance with Section 404 of the Sarbanes-Oxley Act as of December 31, 2010.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have a material adverse effect on our business.</w:t>
      </w:r>
    </w:p>
    <w:p>
      <w:pPr>
        <w:spacing w:after="0" w:line="105" w:lineRule="exact"/>
        <w:rPr>
          <w:sz w:val="20"/>
          <w:szCs w:val="20"/>
          <w:color w:val="auto"/>
        </w:rPr>
      </w:pPr>
    </w:p>
    <w:p>
      <w:pPr>
        <w:ind w:right="180" w:firstLine="457"/>
        <w:spacing w:after="0" w:line="270" w:lineRule="auto"/>
        <w:rPr>
          <w:sz w:val="20"/>
          <w:szCs w:val="20"/>
          <w:color w:val="auto"/>
        </w:rPr>
      </w:pPr>
      <w:r>
        <w:rPr>
          <w:rFonts w:ascii="Arial" w:cs="Arial" w:eastAsia="Arial" w:hAnsi="Arial"/>
          <w:sz w:val="17"/>
          <w:szCs w:val="17"/>
          <w:b w:val="1"/>
          <w:bCs w:val="1"/>
          <w:color w:val="auto"/>
        </w:rPr>
        <w:t>LAZ-MD Holdings, Lazard Group, LFCM Holdings and Lazard Ltd entered into various arrangements, including the master separation agreement, which contain cross-indemnification obligations of LAZ-MD Holdings, Lazard Group, LFCM Holdings and Lazard Ltd, that any party may be unable to satisfy.</w:t>
      </w:r>
    </w:p>
    <w:p>
      <w:pPr>
        <w:spacing w:after="0" w:line="114"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The master separation agreement that Lazard Ltd entered into with Lazard Group, LAZ-MD Holdings and LFCM Holdings provides, among other things, that LFCM Holdings generally will indemnify Lazard Ltd, Lazard Group and LAZ-MD Holdings for losses that we incur arising out of, or relating to, the separated businesses and the businesses conducted by LFCM Holdings and losses that Lazard Ltd, Lazard Group or LAZ-MD Holdings incur arising out of, or relating to, LFCM Holdings’ breach of the master separation agreement. In addition, LAZ-MD Holdings generally will indemnify Lazard Ltd, Lazard Group and LFCM Holdings for losses that they incur arising out of, or relating to, LAZ-MD Holdings’ breach of the master separation agreement. Our ability to collect under the indemnities from LAZ-MD Holdings or LFCM Holdings depends on their financial position.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448" w:right="2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right="220"/>
        <w:spacing w:after="0" w:line="268" w:lineRule="auto"/>
        <w:rPr>
          <w:sz w:val="20"/>
          <w:szCs w:val="20"/>
          <w:color w:val="auto"/>
        </w:rPr>
      </w:pPr>
      <w:r>
        <w:rPr>
          <w:rFonts w:ascii="Arial" w:cs="Arial" w:eastAsia="Arial" w:hAnsi="Arial"/>
          <w:sz w:val="17"/>
          <w:szCs w:val="17"/>
          <w:color w:val="auto"/>
        </w:rPr>
        <w:t>For example, persons may seek to hold us responsible for liabilities assumed by LAZ-MD Holdings or LFCM Holdings. If these liabilities are significant and we are held liable for them, we may not be able to recover any or all of the amount of those losses from LAZ-MD Holdings or LFCM Holdings should either be financially unable to perform under their indemnification obligations.</w:t>
      </w:r>
    </w:p>
    <w:p>
      <w:pPr>
        <w:spacing w:after="0" w:line="115" w:lineRule="exact"/>
        <w:rPr>
          <w:sz w:val="20"/>
          <w:szCs w:val="20"/>
          <w:color w:val="auto"/>
        </w:rPr>
      </w:pPr>
    </w:p>
    <w:p>
      <w:pPr>
        <w:ind w:right="60" w:firstLine="457"/>
        <w:spacing w:after="0" w:line="295" w:lineRule="auto"/>
        <w:rPr>
          <w:sz w:val="20"/>
          <w:szCs w:val="20"/>
          <w:color w:val="auto"/>
        </w:rPr>
      </w:pPr>
      <w:r>
        <w:rPr>
          <w:rFonts w:ascii="Arial" w:cs="Arial" w:eastAsia="Arial" w:hAnsi="Arial"/>
          <w:sz w:val="15"/>
          <w:szCs w:val="15"/>
          <w:color w:val="auto"/>
        </w:rPr>
        <w:t>In addition, Lazard Group generally will indemnify LFCM Holdings and LAZ-MD Holdings for liabilities related to Lazard Group’s businesses and Lazard Group will indemnify LFCM Holdings and LAZ-MD Holdings for losses that they incur to the extent arising out of, or relating to, Lazard Group’s or Lazard Ltd’s breach of the master separation agreement. Several of the ancillary agreements that Lazard Group entered into together with the master separation agreement also provide for separate indemnification arrangements. For example, under the administrative services agreement, Lazard Group provides a range of services to LFCM Holdings, including information technology, general office and building services and financing and accounting services, and LFCM Holdings will generally indemnify Lazard Group for liabilities that Lazard Group incurs arising from the provision of these services absent Lazard Group’s intentional misconduct. Lazard Group may face claims for indemnification from LFCM Holdings and LAZ-MD Holdings under these provisions regarding matters for which Lazard Group has agreed to indemnify them. If these liabilities are significant, Lazard Group may be required to make substantial payments, which could materially adversely affect our results of operations. Also, in connection with the CP II MgmtCo Spin-Off (as defined in Note 21 of Notes to Consolidated Financial Statements), the subsidiary of LFCM Holdings that manages CP II MgmtCo has generally agreed to indemnify us against certain losses related to Corporate Partners Limited II that arise after the date of closing of the CP II MgmtCo Spin-Off. However, should persons seek to hold us responsible for liabilities assumed by CP II MgmtCo, we may not be able to recover any or all of the amount of our losses from CP II MgmtCo if CP II MgmtCo is financially unable to perform under its indemnification obligations.</w:t>
      </w:r>
    </w:p>
    <w:p>
      <w:pPr>
        <w:spacing w:after="0" w:line="101" w:lineRule="exact"/>
        <w:rPr>
          <w:sz w:val="20"/>
          <w:szCs w:val="20"/>
          <w:color w:val="auto"/>
        </w:rPr>
      </w:pPr>
    </w:p>
    <w:p>
      <w:pPr>
        <w:ind w:right="240" w:firstLine="457"/>
        <w:spacing w:after="0" w:line="285" w:lineRule="auto"/>
        <w:rPr>
          <w:sz w:val="20"/>
          <w:szCs w:val="20"/>
          <w:color w:val="auto"/>
        </w:rPr>
      </w:pPr>
      <w:r>
        <w:rPr>
          <w:rFonts w:ascii="Arial" w:cs="Arial" w:eastAsia="Arial" w:hAnsi="Arial"/>
          <w:sz w:val="17"/>
          <w:szCs w:val="17"/>
          <w:b w:val="1"/>
          <w:bCs w:val="1"/>
          <w:color w:val="auto"/>
        </w:rPr>
        <w:t>We may have potential business conflicts of interest with LAZ-MD Holdings and LFCM Holdings with respect to our past and ongoing relationships that could harm our business operations.</w:t>
      </w:r>
    </w:p>
    <w:p>
      <w:pPr>
        <w:spacing w:after="0" w:line="101"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Pursuant to the LAZ-MD Holdings amended and restated stockholders’ agreement, LAZ-MD Holdings will vote the single share of Lazard Ltd Class B common stock, which, as of December 31, 2010, represented approximately 6.0% of Lazard Ltd’s voting power, as directed by its individual members who are party to that agreement. These same persons generally own and control LFCM Holdings, which holds the separated businesses. In addition, several employees of Lazard provide services to LFCM Holdings. Conflicts of interest may arise between LFCM Holdings and us in a number of areas relating to our past and ongoing relationships, including:</w:t>
      </w:r>
    </w:p>
    <w:p>
      <w:pPr>
        <w:spacing w:after="0" w:line="42" w:lineRule="exact"/>
        <w:rPr>
          <w:sz w:val="20"/>
          <w:szCs w:val="20"/>
          <w:color w:val="auto"/>
        </w:rPr>
      </w:pPr>
    </w:p>
    <w:p>
      <w:pPr>
        <w:ind w:left="780" w:hanging="319"/>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labor, tax, employee benefits, indemnification and other matters arising from the separation,</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intellectual property matters,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business combinations involving us,</w:t>
      </w:r>
    </w:p>
    <w:p>
      <w:pPr>
        <w:spacing w:after="0" w:line="104" w:lineRule="exact"/>
        <w:rPr>
          <w:rFonts w:ascii="Arial" w:cs="Arial" w:eastAsia="Arial" w:hAnsi="Arial"/>
          <w:sz w:val="17"/>
          <w:szCs w:val="17"/>
          <w:color w:val="auto"/>
        </w:rPr>
      </w:pPr>
    </w:p>
    <w:p>
      <w:pPr>
        <w:ind w:left="780" w:right="100" w:hanging="319"/>
        <w:spacing w:after="0" w:line="268" w:lineRule="auto"/>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business operations or business opportunities of LFCM Holdings or us that would compete with the other party’s business opportunities, including investment banking by us and the management of alternative investment funds by LFCM Holdings, particularly as some of the managing directors provide services to LFCM Holdings,</w:t>
      </w:r>
    </w:p>
    <w:p>
      <w:pPr>
        <w:spacing w:after="0" w:line="36" w:lineRule="exact"/>
        <w:rPr>
          <w:rFonts w:ascii="Arial" w:cs="Arial" w:eastAsia="Arial" w:hAnsi="Arial"/>
          <w:sz w:val="17"/>
          <w:szCs w:val="17"/>
          <w:color w:val="auto"/>
        </w:rPr>
      </w:pPr>
    </w:p>
    <w:p>
      <w:pPr>
        <w:ind w:left="780" w:right="420" w:hanging="319"/>
        <w:spacing w:after="0" w:line="280" w:lineRule="auto"/>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terms of the master separation agreement and related ancillary agreements, including the operation of the alternative investment fund management business and Lazard Group’s option to purchase the business,</w:t>
      </w:r>
    </w:p>
    <w:p>
      <w:pPr>
        <w:spacing w:after="0" w:line="26" w:lineRule="exact"/>
        <w:rPr>
          <w:rFonts w:ascii="Arial" w:cs="Arial" w:eastAsia="Arial" w:hAnsi="Arial"/>
          <w:sz w:val="17"/>
          <w:szCs w:val="17"/>
          <w:color w:val="auto"/>
        </w:rPr>
      </w:pPr>
    </w:p>
    <w:p>
      <w:pPr>
        <w:ind w:left="780" w:hanging="319"/>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nature, quality and pricing of administrative services to be provided by us,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provision of services by certain of our managing directors to LFCM Holdings.</w:t>
      </w:r>
    </w:p>
    <w:p>
      <w:pPr>
        <w:spacing w:after="0" w:line="183" w:lineRule="exact"/>
        <w:rPr>
          <w:sz w:val="20"/>
          <w:szCs w:val="20"/>
          <w:color w:val="auto"/>
        </w:rPr>
      </w:pPr>
    </w:p>
    <w:p>
      <w:pPr>
        <w:ind w:firstLine="457"/>
        <w:spacing w:after="0" w:line="349" w:lineRule="auto"/>
        <w:rPr>
          <w:sz w:val="20"/>
          <w:szCs w:val="20"/>
          <w:color w:val="auto"/>
        </w:rPr>
      </w:pPr>
      <w:r>
        <w:rPr>
          <w:rFonts w:ascii="Arial" w:cs="Arial" w:eastAsia="Arial" w:hAnsi="Arial"/>
          <w:sz w:val="15"/>
          <w:szCs w:val="15"/>
          <w:color w:val="auto"/>
        </w:rPr>
        <w:t>In addition, the administrative services agreement commits us to provide a range of services to LFCM Holdings and LAZ-MD Holdings, which could require the expenditure of significant amounts of time by our management. Our agreements with LAZ-MD Holdings and LFCM Holdings may be amended upon agreement of</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448" w:right="2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color w:val="auto"/>
        </w:rPr>
        <w:t>the parties to those agreements. We may not be able to resolve any potential conflicts and, even if we do, the resolution may be less favorable to us than if we were dealing with an unaffiliated party.</w:t>
      </w:r>
    </w:p>
    <w:p>
      <w:pPr>
        <w:spacing w:after="0" w:line="101" w:lineRule="exact"/>
        <w:rPr>
          <w:sz w:val="20"/>
          <w:szCs w:val="20"/>
          <w:color w:val="auto"/>
        </w:rPr>
      </w:pPr>
    </w:p>
    <w:p>
      <w:pPr>
        <w:ind w:right="460" w:firstLine="457"/>
        <w:spacing w:after="0" w:line="285" w:lineRule="auto"/>
        <w:rPr>
          <w:sz w:val="20"/>
          <w:szCs w:val="20"/>
          <w:color w:val="auto"/>
        </w:rPr>
      </w:pPr>
      <w:r>
        <w:rPr>
          <w:rFonts w:ascii="Arial" w:cs="Arial" w:eastAsia="Arial" w:hAnsi="Arial"/>
          <w:sz w:val="17"/>
          <w:szCs w:val="17"/>
          <w:b w:val="1"/>
          <w:bCs w:val="1"/>
          <w:color w:val="auto"/>
        </w:rPr>
        <w:t>The use of the “Lazard” brand name by subsidiaries of LFCM Holdings may expose us to reputational harm that could affect our operations and adversely affect our financial position should these subsidiaries take actions that damage the brand name.</w:t>
      </w:r>
    </w:p>
    <w:p>
      <w:pPr>
        <w:spacing w:after="0" w:line="101"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The “Lazard” brand name has over 160 years of heritage, connoting, we believe, world-class professional advice, independence and global capabilities with deeply rooted, local know-how. LFCM Holdings operates as a separate legal entity, and Lazard Group licensed to subsidiaries of LFCM Holdings that operate the separated businesses the use of the “Lazard” brand name for certain specified purposes, including in connection with alternative investment fund management and capital markets activities. As these subsidiaries of LFCM Holdings historically have and will continue to use the “Lazard” brand name, and because we no longer control these entities, there is a risk of reputational harm to us if these subsidiaries have, or in the future were to, among other things, engage in poor business practices, experience adverse results or otherwise damage the reputational value of the “Lazard” brand name. These risks could expose us to liability and also may adversely affect our revenue and our business prospects.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61"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We have made statements under the captions “Business,” “Risk Factors,” and “Management’s Discussion and Analysis of Financial Condition and Results of Operations” and in other sections of this Form 10-K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 particular, you should consider the numerous risks and uncertainties outlined in “Risk Factors,” including the following:</w:t>
      </w:r>
    </w:p>
    <w:p>
      <w:pPr>
        <w:spacing w:after="0" w:line="31" w:lineRule="exact"/>
        <w:rPr>
          <w:sz w:val="20"/>
          <w:szCs w:val="20"/>
          <w:color w:val="auto"/>
        </w:rPr>
      </w:pPr>
    </w:p>
    <w:p>
      <w:pPr>
        <w:ind w:left="780" w:hanging="319"/>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decline in general economic conditions or the global financial markets,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losses caused by financial or other problems experienced by third parties,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losses due to unidentified or unanticipated risks,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lack of liquidity, i.e., ready access to funds, for use in our businesses,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competitive pressure on our businesses and on our ability to retain our employees.</w:t>
      </w:r>
    </w:p>
    <w:p>
      <w:pPr>
        <w:spacing w:after="0" w:line="183"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These risks and uncertainties are not exhaustive. Other sections of this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05" w:lineRule="exact"/>
        <w:rPr>
          <w:sz w:val="20"/>
          <w:szCs w:val="20"/>
          <w:color w:val="auto"/>
        </w:rPr>
      </w:pPr>
    </w:p>
    <w:p>
      <w:pPr>
        <w:ind w:right="380" w:firstLine="457"/>
        <w:spacing w:after="0" w:line="268" w:lineRule="auto"/>
        <w:rPr>
          <w:sz w:val="20"/>
          <w:szCs w:val="20"/>
          <w:color w:val="auto"/>
        </w:rPr>
      </w:pPr>
      <w:r>
        <w:rPr>
          <w:rFonts w:ascii="Arial" w:cs="Arial" w:eastAsia="Arial" w:hAnsi="Arial"/>
          <w:sz w:val="17"/>
          <w:szCs w:val="17"/>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8"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Forward-looking statements include, but are not limited to, statements about the:</w:t>
      </w:r>
    </w:p>
    <w:p>
      <w:pPr>
        <w:spacing w:after="0" w:line="79" w:lineRule="exact"/>
        <w:rPr>
          <w:sz w:val="20"/>
          <w:szCs w:val="20"/>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business’ possible or assumed future results of operations and operating cash flows,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business’ strategies and investment policies,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business’ financing plans and the availability of short-term borrowing,</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business’ competitive position,</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future acquisitions, including the consideration to be paid and the timing of consummation,</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potential growth opportunities available to our businesses,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recruitment and retention of our managing directors and employees,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target levels of compensation expense,</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business’ potential operating performance, achievements, productivity improvements, efficiency and cost reduction efforts,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likelihood of success and impact of litigation,</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expected tax rates,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interest and tax rates,</w:t>
      </w:r>
    </w:p>
    <w:p>
      <w:pPr>
        <w:spacing w:after="0" w:line="104" w:lineRule="exact"/>
        <w:rPr>
          <w:rFonts w:ascii="Arial" w:cs="Arial" w:eastAsia="Arial" w:hAnsi="Arial"/>
          <w:sz w:val="17"/>
          <w:szCs w:val="17"/>
          <w:color w:val="auto"/>
        </w:rPr>
      </w:pPr>
    </w:p>
    <w:p>
      <w:pPr>
        <w:ind w:left="780" w:right="360" w:hanging="319"/>
        <w:spacing w:after="0" w:line="280"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expectations with respect to the economy, securities markets, the market for mergers, acquisitions and strategic advisory and restructuring activity, the market for asset management activity and other industry trends,</w:t>
      </w:r>
    </w:p>
    <w:p>
      <w:pPr>
        <w:spacing w:after="0" w:line="26"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effects of competition on our business,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impact of future legislation and regulation on our business.</w:t>
      </w:r>
    </w:p>
    <w:p>
      <w:pPr>
        <w:spacing w:after="0" w:line="183"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its subsidiaries.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10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340"/>
          </w:cols>
          <w:pgMar w:left="240" w:top="448" w:right="31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ind w:right="180" w:firstLine="457"/>
        <w:spacing w:after="0" w:line="261" w:lineRule="auto"/>
        <w:rPr>
          <w:sz w:val="20"/>
          <w:szCs w:val="20"/>
          <w:color w:val="auto"/>
        </w:rPr>
      </w:pPr>
      <w:r>
        <w:rPr>
          <w:rFonts w:ascii="Arial" w:cs="Arial" w:eastAsia="Arial" w:hAnsi="Arial"/>
          <w:sz w:val="17"/>
          <w:szCs w:val="17"/>
          <w:color w:val="auto"/>
        </w:rPr>
        <w:t>The following table lists the properties used for the entire Lazard organization as of December 31, 2010, including properties used by the separated businesses. As a general matter, one or both of our Financial Advisory and Asset Management segments (as well as our Corporate segment) uses the following properties. We license and sublease to LFCM Holdings certain office space, including office space that is used by the separated businesses. This includes subleasing or licensing 31,854 square feet in New York City located at 30 Rockefeller Plaza to LFCM Holdings. Additionally, our New York, London and other offices sublease 37,202, 55,676 and 26,302 square feet, respectively, to third parties. We remain fully liable for the subleased space to the extent LFCM Holdings, or the third parties, fail to perform their obligations under the subleases for any reason.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Location</w:t>
            </w:r>
          </w:p>
        </w:tc>
        <w:tc>
          <w:tcPr>
            <w:tcW w:w="240" w:type="dxa"/>
            <w:vAlign w:val="bottom"/>
          </w:tcPr>
          <w:p>
            <w:pPr>
              <w:spacing w:after="0"/>
              <w:rPr>
                <w:sz w:val="14"/>
                <w:szCs w:val="14"/>
                <w:color w:val="auto"/>
              </w:rPr>
            </w:pPr>
          </w:p>
        </w:tc>
        <w:tc>
          <w:tcPr>
            <w:tcW w:w="216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Square Footage</w:t>
            </w:r>
          </w:p>
        </w:tc>
        <w:tc>
          <w:tcPr>
            <w:tcW w:w="220" w:type="dxa"/>
            <w:vAlign w:val="bottom"/>
          </w:tcPr>
          <w:p>
            <w:pPr>
              <w:spacing w:after="0"/>
              <w:rPr>
                <w:sz w:val="14"/>
                <w:szCs w:val="14"/>
                <w:color w:val="auto"/>
              </w:rPr>
            </w:pPr>
          </w:p>
        </w:tc>
        <w:tc>
          <w:tcPr>
            <w:tcW w:w="5940" w:type="dxa"/>
            <w:vAlign w:val="bottom"/>
            <w:tcBorders>
              <w:bottom w:val="single" w:sz="8" w:color="auto"/>
            </w:tcBorders>
          </w:tcPr>
          <w:p>
            <w:pPr>
              <w:ind w:left="2780"/>
              <w:spacing w:after="0"/>
              <w:rPr>
                <w:sz w:val="20"/>
                <w:szCs w:val="20"/>
                <w:color w:val="auto"/>
              </w:rPr>
            </w:pPr>
            <w:r>
              <w:rPr>
                <w:rFonts w:ascii="Arial" w:cs="Arial" w:eastAsia="Arial" w:hAnsi="Arial"/>
                <w:sz w:val="13"/>
                <w:szCs w:val="13"/>
                <w:b w:val="1"/>
                <w:bCs w:val="1"/>
                <w:color w:val="auto"/>
              </w:rPr>
              <w:t>Offices</w:t>
            </w:r>
          </w:p>
        </w:tc>
        <w:tc>
          <w:tcPr>
            <w:tcW w:w="0" w:type="dxa"/>
            <w:vAlign w:val="bottom"/>
          </w:tcPr>
          <w:p>
            <w:pPr>
              <w:spacing w:after="0"/>
              <w:rPr>
                <w:sz w:val="1"/>
                <w:szCs w:val="1"/>
                <w:color w:val="auto"/>
              </w:rPr>
            </w:pPr>
          </w:p>
        </w:tc>
      </w:tr>
      <w:tr>
        <w:trPr>
          <w:trHeight w:val="194"/>
        </w:trPr>
        <w:tc>
          <w:tcPr>
            <w:tcW w:w="2860" w:type="dxa"/>
            <w:vAlign w:val="bottom"/>
          </w:tcPr>
          <w:p>
            <w:pPr>
              <w:spacing w:after="0" w:line="194" w:lineRule="exact"/>
              <w:rPr>
                <w:sz w:val="20"/>
                <w:szCs w:val="20"/>
                <w:color w:val="auto"/>
              </w:rPr>
            </w:pPr>
            <w:r>
              <w:rPr>
                <w:rFonts w:ascii="Arial" w:cs="Arial" w:eastAsia="Arial" w:hAnsi="Arial"/>
                <w:sz w:val="17"/>
                <w:szCs w:val="17"/>
                <w:color w:val="auto"/>
              </w:rPr>
              <w:t>New York City</w:t>
            </w:r>
          </w:p>
        </w:tc>
        <w:tc>
          <w:tcPr>
            <w:tcW w:w="240" w:type="dxa"/>
            <w:vAlign w:val="bottom"/>
          </w:tcPr>
          <w:p>
            <w:pPr>
              <w:spacing w:after="0"/>
              <w:rPr>
                <w:sz w:val="16"/>
                <w:szCs w:val="16"/>
                <w:color w:val="auto"/>
              </w:rPr>
            </w:pPr>
          </w:p>
        </w:tc>
        <w:tc>
          <w:tcPr>
            <w:tcW w:w="2160" w:type="dxa"/>
            <w:vAlign w:val="bottom"/>
          </w:tcPr>
          <w:p>
            <w:pPr>
              <w:spacing w:after="0" w:line="194" w:lineRule="exact"/>
              <w:rPr>
                <w:sz w:val="20"/>
                <w:szCs w:val="20"/>
                <w:color w:val="auto"/>
              </w:rPr>
            </w:pPr>
            <w:r>
              <w:rPr>
                <w:rFonts w:ascii="Arial" w:cs="Arial" w:eastAsia="Arial" w:hAnsi="Arial"/>
                <w:sz w:val="17"/>
                <w:szCs w:val="17"/>
                <w:color w:val="auto"/>
              </w:rPr>
              <w:t>380,354 square feet of</w:t>
            </w:r>
          </w:p>
        </w:tc>
        <w:tc>
          <w:tcPr>
            <w:tcW w:w="220" w:type="dxa"/>
            <w:vAlign w:val="bottom"/>
          </w:tcPr>
          <w:p>
            <w:pPr>
              <w:spacing w:after="0"/>
              <w:rPr>
                <w:sz w:val="16"/>
                <w:szCs w:val="16"/>
                <w:color w:val="auto"/>
              </w:rPr>
            </w:pPr>
          </w:p>
        </w:tc>
        <w:tc>
          <w:tcPr>
            <w:tcW w:w="5940" w:type="dxa"/>
            <w:vAlign w:val="bottom"/>
          </w:tcPr>
          <w:p>
            <w:pPr>
              <w:spacing w:after="0" w:line="194" w:lineRule="exact"/>
              <w:rPr>
                <w:sz w:val="20"/>
                <w:szCs w:val="20"/>
                <w:color w:val="auto"/>
              </w:rPr>
            </w:pPr>
            <w:r>
              <w:rPr>
                <w:rFonts w:ascii="Arial" w:cs="Arial" w:eastAsia="Arial" w:hAnsi="Arial"/>
                <w:sz w:val="17"/>
                <w:szCs w:val="17"/>
                <w:color w:val="auto"/>
              </w:rPr>
              <w:t>Principal office located at 30 Rockefeller Plaza.</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Arial" w:cs="Arial" w:eastAsia="Arial" w:hAnsi="Arial"/>
                <w:sz w:val="17"/>
                <w:szCs w:val="17"/>
                <w:color w:val="auto"/>
              </w:rPr>
              <w:t>leased space</w:t>
            </w:r>
          </w:p>
        </w:tc>
        <w:tc>
          <w:tcPr>
            <w:tcW w:w="2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20"/>
                <w:szCs w:val="20"/>
                <w:color w:val="auto"/>
              </w:rPr>
            </w:pPr>
            <w:r>
              <w:rPr>
                <w:rFonts w:ascii="Arial" w:cs="Arial" w:eastAsia="Arial" w:hAnsi="Arial"/>
                <w:sz w:val="17"/>
                <w:szCs w:val="17"/>
                <w:color w:val="auto"/>
              </w:rPr>
              <w:t>Other North America</w:t>
            </w:r>
          </w:p>
        </w:tc>
        <w:tc>
          <w:tcPr>
            <w:tcW w:w="2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7"/>
                <w:szCs w:val="17"/>
                <w:color w:val="auto"/>
                <w:w w:val="95"/>
              </w:rPr>
              <w:t>151,951 square feet of leased</w:t>
            </w:r>
          </w:p>
        </w:tc>
        <w:tc>
          <w:tcPr>
            <w:tcW w:w="6160" w:type="dxa"/>
            <w:vAlign w:val="bottom"/>
            <w:gridSpan w:val="2"/>
          </w:tcPr>
          <w:p>
            <w:pPr>
              <w:ind w:left="220"/>
              <w:spacing w:after="0"/>
              <w:rPr>
                <w:sz w:val="20"/>
                <w:szCs w:val="20"/>
                <w:color w:val="auto"/>
              </w:rPr>
            </w:pPr>
            <w:r>
              <w:rPr>
                <w:rFonts w:ascii="Arial" w:cs="Arial" w:eastAsia="Arial" w:hAnsi="Arial"/>
                <w:sz w:val="17"/>
                <w:szCs w:val="17"/>
                <w:color w:val="auto"/>
                <w:w w:val="95"/>
              </w:rPr>
              <w:t>Atlanta, Boston, Charlotte, Chicago, Houston, Los Angeles, Minneapolis, Montreal,</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Arial" w:cs="Arial" w:eastAsia="Arial" w:hAnsi="Arial"/>
                <w:sz w:val="17"/>
                <w:szCs w:val="17"/>
                <w:color w:val="auto"/>
              </w:rPr>
              <w:t>space</w:t>
            </w:r>
          </w:p>
        </w:tc>
        <w:tc>
          <w:tcPr>
            <w:tcW w:w="2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7"/>
                <w:szCs w:val="17"/>
                <w:color w:val="auto"/>
              </w:rPr>
              <w:t>San Francisco and Washington D.C.</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20"/>
                <w:szCs w:val="20"/>
                <w:color w:val="auto"/>
              </w:rPr>
            </w:pPr>
            <w:r>
              <w:rPr>
                <w:rFonts w:ascii="Arial" w:cs="Arial" w:eastAsia="Arial" w:hAnsi="Arial"/>
                <w:sz w:val="17"/>
                <w:szCs w:val="17"/>
                <w:color w:val="auto"/>
              </w:rPr>
              <w:t>Paris</w:t>
            </w:r>
          </w:p>
        </w:tc>
        <w:tc>
          <w:tcPr>
            <w:tcW w:w="2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7"/>
                <w:szCs w:val="17"/>
                <w:color w:val="auto"/>
                <w:w w:val="95"/>
              </w:rPr>
              <w:t>170,644 square feet of owned</w:t>
            </w:r>
          </w:p>
        </w:tc>
        <w:tc>
          <w:tcPr>
            <w:tcW w:w="6160" w:type="dxa"/>
            <w:vAlign w:val="bottom"/>
            <w:gridSpan w:val="2"/>
          </w:tcPr>
          <w:p>
            <w:pPr>
              <w:ind w:left="220"/>
              <w:spacing w:after="0"/>
              <w:rPr>
                <w:sz w:val="20"/>
                <w:szCs w:val="20"/>
                <w:color w:val="auto"/>
              </w:rPr>
            </w:pPr>
            <w:r>
              <w:rPr>
                <w:rFonts w:ascii="Arial" w:cs="Arial" w:eastAsia="Arial" w:hAnsi="Arial"/>
                <w:sz w:val="17"/>
                <w:szCs w:val="17"/>
                <w:color w:val="auto"/>
              </w:rPr>
              <w:t>Principal office located at 121 Boulevard Haussmann.</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Arial" w:cs="Arial" w:eastAsia="Arial" w:hAnsi="Arial"/>
                <w:sz w:val="17"/>
                <w:szCs w:val="17"/>
                <w:color w:val="auto"/>
              </w:rPr>
              <w:t>and leased space</w:t>
            </w:r>
          </w:p>
        </w:tc>
        <w:tc>
          <w:tcPr>
            <w:tcW w:w="2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20"/>
                <w:szCs w:val="20"/>
                <w:color w:val="auto"/>
              </w:rPr>
            </w:pPr>
            <w:r>
              <w:rPr>
                <w:rFonts w:ascii="Arial" w:cs="Arial" w:eastAsia="Arial" w:hAnsi="Arial"/>
                <w:sz w:val="17"/>
                <w:szCs w:val="17"/>
                <w:color w:val="auto"/>
              </w:rPr>
              <w:t>London</w:t>
            </w:r>
          </w:p>
        </w:tc>
        <w:tc>
          <w:tcPr>
            <w:tcW w:w="2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7"/>
                <w:szCs w:val="17"/>
                <w:color w:val="auto"/>
                <w:w w:val="99"/>
              </w:rPr>
              <w:t>86,695 square feet of leased</w:t>
            </w:r>
          </w:p>
        </w:tc>
        <w:tc>
          <w:tcPr>
            <w:tcW w:w="6160" w:type="dxa"/>
            <w:vAlign w:val="bottom"/>
            <w:gridSpan w:val="2"/>
          </w:tcPr>
          <w:p>
            <w:pPr>
              <w:ind w:left="220"/>
              <w:spacing w:after="0"/>
              <w:rPr>
                <w:sz w:val="20"/>
                <w:szCs w:val="20"/>
                <w:color w:val="auto"/>
              </w:rPr>
            </w:pPr>
            <w:r>
              <w:rPr>
                <w:rFonts w:ascii="Arial" w:cs="Arial" w:eastAsia="Arial" w:hAnsi="Arial"/>
                <w:sz w:val="17"/>
                <w:szCs w:val="17"/>
                <w:color w:val="auto"/>
              </w:rPr>
              <w:t>Principal office located at 50 Stratton Street.</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Arial" w:cs="Arial" w:eastAsia="Arial" w:hAnsi="Arial"/>
                <w:sz w:val="17"/>
                <w:szCs w:val="17"/>
                <w:color w:val="auto"/>
              </w:rPr>
              <w:t>space</w:t>
            </w:r>
          </w:p>
        </w:tc>
        <w:tc>
          <w:tcPr>
            <w:tcW w:w="2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20"/>
                <w:szCs w:val="20"/>
                <w:color w:val="auto"/>
              </w:rPr>
            </w:pPr>
            <w:r>
              <w:rPr>
                <w:rFonts w:ascii="Arial" w:cs="Arial" w:eastAsia="Arial" w:hAnsi="Arial"/>
                <w:sz w:val="17"/>
                <w:szCs w:val="17"/>
                <w:color w:val="auto"/>
              </w:rPr>
              <w:t>Other Europe</w:t>
            </w:r>
          </w:p>
        </w:tc>
        <w:tc>
          <w:tcPr>
            <w:tcW w:w="2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7"/>
                <w:szCs w:val="17"/>
                <w:color w:val="auto"/>
                <w:w w:val="95"/>
              </w:rPr>
              <w:t>119,788 square feet of leased</w:t>
            </w:r>
          </w:p>
        </w:tc>
        <w:tc>
          <w:tcPr>
            <w:tcW w:w="6160" w:type="dxa"/>
            <w:vAlign w:val="bottom"/>
            <w:gridSpan w:val="2"/>
          </w:tcPr>
          <w:p>
            <w:pPr>
              <w:ind w:left="220"/>
              <w:spacing w:after="0"/>
              <w:rPr>
                <w:sz w:val="20"/>
                <w:szCs w:val="20"/>
                <w:color w:val="auto"/>
              </w:rPr>
            </w:pPr>
            <w:r>
              <w:rPr>
                <w:rFonts w:ascii="Arial" w:cs="Arial" w:eastAsia="Arial" w:hAnsi="Arial"/>
                <w:sz w:val="17"/>
                <w:szCs w:val="17"/>
                <w:color w:val="auto"/>
              </w:rPr>
              <w:t>Amsterdam, Bordeaux, Brussels, Frankfurt, Hamburg, Lyon, Madrid, Milan,</w:t>
            </w:r>
          </w:p>
        </w:tc>
        <w:tc>
          <w:tcPr>
            <w:tcW w:w="0" w:type="dxa"/>
            <w:vAlign w:val="bottom"/>
          </w:tcPr>
          <w:p>
            <w:pPr>
              <w:spacing w:after="0"/>
              <w:rPr>
                <w:sz w:val="1"/>
                <w:szCs w:val="1"/>
                <w:color w:val="auto"/>
              </w:rPr>
            </w:pPr>
          </w:p>
        </w:tc>
      </w:tr>
      <w:tr>
        <w:trPr>
          <w:trHeight w:val="215"/>
        </w:trPr>
        <w:tc>
          <w:tcPr>
            <w:tcW w:w="2860" w:type="dxa"/>
            <w:vAlign w:val="bottom"/>
            <w:vMerge w:val="restart"/>
          </w:tcPr>
          <w:p>
            <w:pPr>
              <w:spacing w:after="0"/>
              <w:rPr>
                <w:sz w:val="20"/>
                <w:szCs w:val="20"/>
                <w:color w:val="auto"/>
              </w:rPr>
            </w:pPr>
            <w:r>
              <w:rPr>
                <w:rFonts w:ascii="Arial" w:cs="Arial" w:eastAsia="Arial" w:hAnsi="Arial"/>
                <w:sz w:val="17"/>
                <w:szCs w:val="17"/>
                <w:color w:val="auto"/>
              </w:rPr>
              <w:t>Asia, Australia and</w:t>
            </w:r>
          </w:p>
        </w:tc>
        <w:tc>
          <w:tcPr>
            <w:tcW w:w="24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Arial" w:cs="Arial" w:eastAsia="Arial" w:hAnsi="Arial"/>
                <w:sz w:val="17"/>
                <w:szCs w:val="17"/>
                <w:color w:val="auto"/>
              </w:rPr>
              <w:t>space</w:t>
            </w:r>
          </w:p>
        </w:tc>
        <w:tc>
          <w:tcPr>
            <w:tcW w:w="2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7"/>
                <w:szCs w:val="17"/>
                <w:color w:val="auto"/>
              </w:rPr>
              <w:t>Stockholm and Zurich.</w:t>
            </w:r>
          </w:p>
        </w:tc>
        <w:tc>
          <w:tcPr>
            <w:tcW w:w="0" w:type="dxa"/>
            <w:vAlign w:val="bottom"/>
          </w:tcPr>
          <w:p>
            <w:pPr>
              <w:spacing w:after="0"/>
              <w:rPr>
                <w:sz w:val="1"/>
                <w:szCs w:val="1"/>
                <w:color w:val="auto"/>
              </w:rPr>
            </w:pPr>
          </w:p>
        </w:tc>
      </w:tr>
      <w:tr>
        <w:trPr>
          <w:trHeight w:val="202"/>
        </w:trPr>
        <w:tc>
          <w:tcPr>
            <w:tcW w:w="2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22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2160" w:type="dxa"/>
            <w:vAlign w:val="bottom"/>
            <w:vMerge w:val="restart"/>
          </w:tcPr>
          <w:p>
            <w:pPr>
              <w:spacing w:after="0"/>
              <w:rPr>
                <w:sz w:val="20"/>
                <w:szCs w:val="20"/>
                <w:color w:val="auto"/>
              </w:rPr>
            </w:pPr>
            <w:r>
              <w:rPr>
                <w:rFonts w:ascii="Arial" w:cs="Arial" w:eastAsia="Arial" w:hAnsi="Arial"/>
                <w:sz w:val="17"/>
                <w:szCs w:val="17"/>
                <w:color w:val="auto"/>
                <w:w w:val="99"/>
              </w:rPr>
              <w:t>74,721 square feet of leased</w:t>
            </w:r>
          </w:p>
        </w:tc>
        <w:tc>
          <w:tcPr>
            <w:tcW w:w="6160" w:type="dxa"/>
            <w:vAlign w:val="bottom"/>
            <w:gridSpan w:val="2"/>
            <w:vMerge w:val="restart"/>
          </w:tcPr>
          <w:p>
            <w:pPr>
              <w:ind w:left="220"/>
              <w:spacing w:after="0"/>
              <w:rPr>
                <w:sz w:val="20"/>
                <w:szCs w:val="20"/>
                <w:color w:val="auto"/>
              </w:rPr>
            </w:pPr>
            <w:r>
              <w:rPr>
                <w:rFonts w:ascii="Arial" w:cs="Arial" w:eastAsia="Arial" w:hAnsi="Arial"/>
                <w:sz w:val="17"/>
                <w:szCs w:val="17"/>
                <w:color w:val="auto"/>
              </w:rPr>
              <w:t>Beijing, Dubai City, Hong Kong, Melbourne, Mumbai, Perth, Seoul, Singapore,</w:t>
            </w:r>
          </w:p>
        </w:tc>
        <w:tc>
          <w:tcPr>
            <w:tcW w:w="0" w:type="dxa"/>
            <w:vAlign w:val="bottom"/>
          </w:tcPr>
          <w:p>
            <w:pPr>
              <w:spacing w:after="0"/>
              <w:rPr>
                <w:sz w:val="1"/>
                <w:szCs w:val="1"/>
                <w:color w:val="auto"/>
              </w:rPr>
            </w:pPr>
          </w:p>
        </w:tc>
      </w:tr>
      <w:tr>
        <w:trPr>
          <w:trHeight w:val="137"/>
        </w:trPr>
        <w:tc>
          <w:tcPr>
            <w:tcW w:w="2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6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Arial" w:cs="Arial" w:eastAsia="Arial" w:hAnsi="Arial"/>
                <w:sz w:val="17"/>
                <w:szCs w:val="17"/>
                <w:color w:val="auto"/>
              </w:rPr>
              <w:t>space</w:t>
            </w:r>
          </w:p>
        </w:tc>
        <w:tc>
          <w:tcPr>
            <w:tcW w:w="2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7"/>
                <w:szCs w:val="17"/>
                <w:color w:val="auto"/>
              </w:rPr>
              <w:t>Sydney and Tokyo.</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We believe that we currently maintain sufficient space to meet our anticipated needs. We have agreed to enter into an amendment (the “Lease Amendment”) of the leases relating to our offices in Rockefeller Center, New York, New York (the “Leased Premises”). The effectiveness of the Lease Amendment is conditioned upon receipt of customary documentation evidencing, among other things, the consent of the lender holding a mortgage covering the Leased Premises. The Lease Amendment provides that the term of the lease will be extended until 2033.</w:t>
      </w:r>
    </w:p>
    <w:p>
      <w:pPr>
        <w:spacing w:after="0" w:line="11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83" w:lineRule="exact"/>
        <w:rPr>
          <w:sz w:val="20"/>
          <w:szCs w:val="20"/>
          <w:color w:val="auto"/>
        </w:rPr>
      </w:pPr>
    </w:p>
    <w:p>
      <w:pPr>
        <w:ind w:right="100" w:firstLine="457"/>
        <w:spacing w:after="0" w:line="280" w:lineRule="auto"/>
        <w:rPr>
          <w:sz w:val="20"/>
          <w:szCs w:val="20"/>
          <w:color w:val="auto"/>
        </w:rPr>
      </w:pPr>
      <w:r>
        <w:rPr>
          <w:rFonts w:ascii="Arial" w:cs="Arial" w:eastAsia="Arial" w:hAnsi="Arial"/>
          <w:sz w:val="16"/>
          <w:szCs w:val="16"/>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0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8"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5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jc w:val="both"/>
        <w:ind w:right="280" w:firstLine="457"/>
        <w:spacing w:after="0" w:line="292" w:lineRule="auto"/>
        <w:rPr>
          <w:sz w:val="20"/>
          <w:szCs w:val="20"/>
          <w:color w:val="auto"/>
        </w:rPr>
      </w:pPr>
      <w:r>
        <w:rPr>
          <w:rFonts w:ascii="Arial" w:cs="Arial" w:eastAsia="Arial" w:hAnsi="Arial"/>
          <w:sz w:val="16"/>
          <w:szCs w:val="16"/>
          <w:color w:val="auto"/>
        </w:rPr>
        <w:t>Our common stock is traded on The New York Stock Exchange under the symbol “LAZ.” There is no publicly traded market for our Class B common stock, which is held by LAZ-MD Holdings. The following table sets forth, for the fiscal quarters indicated, the high and low sales prices per share of our Class A common stock, as reported in the consolidated transaction reporting system, and the quarterly dividends declared during 2010 and 2009.</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Range of Our Common 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Dividends</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00" w:type="dxa"/>
            <w:vAlign w:val="bottom"/>
            <w:gridSpan w:val="4"/>
            <w:vMerge w:val="restart"/>
          </w:tcPr>
          <w:p>
            <w:pPr>
              <w:ind w:left="460"/>
              <w:spacing w:after="0"/>
              <w:rPr>
                <w:sz w:val="20"/>
                <w:szCs w:val="20"/>
                <w:color w:val="auto"/>
              </w:rPr>
            </w:pPr>
            <w:r>
              <w:rPr>
                <w:rFonts w:ascii="Arial" w:cs="Arial" w:eastAsia="Arial" w:hAnsi="Arial"/>
                <w:sz w:val="13"/>
                <w:szCs w:val="13"/>
                <w:b w:val="1"/>
                <w:bCs w:val="1"/>
                <w:color w:val="auto"/>
              </w:rPr>
              <w:t>Sales Price</w:t>
            </w:r>
          </w:p>
        </w:tc>
        <w:tc>
          <w:tcPr>
            <w:tcW w:w="540" w:type="dxa"/>
            <w:vAlign w:val="bottom"/>
          </w:tcPr>
          <w:p>
            <w:pPr>
              <w:spacing w:after="0"/>
              <w:rPr>
                <w:sz w:val="12"/>
                <w:szCs w:val="12"/>
                <w:color w:val="auto"/>
              </w:rPr>
            </w:pPr>
          </w:p>
        </w:tc>
        <w:tc>
          <w:tcPr>
            <w:tcW w:w="7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per Share of</w:t>
            </w:r>
          </w:p>
        </w:tc>
        <w:tc>
          <w:tcPr>
            <w:tcW w:w="0" w:type="dxa"/>
            <w:vAlign w:val="bottom"/>
          </w:tcPr>
          <w:p>
            <w:pPr>
              <w:spacing w:after="0"/>
              <w:rPr>
                <w:sz w:val="1"/>
                <w:szCs w:val="1"/>
                <w:color w:val="auto"/>
              </w:rPr>
            </w:pPr>
          </w:p>
        </w:tc>
      </w:tr>
      <w:tr>
        <w:trPr>
          <w:trHeight w:val="70"/>
        </w:trPr>
        <w:tc>
          <w:tcPr>
            <w:tcW w:w="482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500" w:type="dxa"/>
            <w:vAlign w:val="bottom"/>
            <w:tcBorders>
              <w:bottom w:val="single" w:sz="8" w:color="auto"/>
            </w:tcBorders>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ind w:right="180"/>
              <w:spacing w:after="0" w:line="144" w:lineRule="exact"/>
              <w:rPr>
                <w:sz w:val="20"/>
                <w:szCs w:val="20"/>
                <w:color w:val="auto"/>
              </w:rPr>
            </w:pPr>
            <w:r>
              <w:rPr>
                <w:rFonts w:ascii="Arial" w:cs="Arial" w:eastAsia="Arial" w:hAnsi="Arial"/>
                <w:sz w:val="13"/>
                <w:szCs w:val="13"/>
                <w:b w:val="1"/>
                <w:bCs w:val="1"/>
                <w:color w:val="auto"/>
                <w:w w:val="92"/>
              </w:rPr>
              <w:t>Common</w:t>
            </w:r>
          </w:p>
        </w:tc>
        <w:tc>
          <w:tcPr>
            <w:tcW w:w="0" w:type="dxa"/>
            <w:vAlign w:val="bottom"/>
          </w:tcPr>
          <w:p>
            <w:pPr>
              <w:spacing w:after="0"/>
              <w:rPr>
                <w:sz w:val="1"/>
                <w:szCs w:val="1"/>
                <w:color w:val="auto"/>
              </w:rPr>
            </w:pPr>
          </w:p>
        </w:tc>
      </w:tr>
      <w:tr>
        <w:trPr>
          <w:trHeight w:val="59"/>
        </w:trPr>
        <w:tc>
          <w:tcPr>
            <w:tcW w:w="4820" w:type="dxa"/>
            <w:vAlign w:val="bottom"/>
          </w:tcPr>
          <w:p>
            <w:pPr>
              <w:spacing w:after="0"/>
              <w:rPr>
                <w:sz w:val="5"/>
                <w:szCs w:val="5"/>
                <w:color w:val="auto"/>
              </w:rPr>
            </w:pPr>
          </w:p>
        </w:tc>
        <w:tc>
          <w:tcPr>
            <w:tcW w:w="3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High</w:t>
            </w:r>
          </w:p>
        </w:tc>
        <w:tc>
          <w:tcPr>
            <w:tcW w:w="2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2"/>
              </w:rPr>
              <w:t>Low</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37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7"/>
                <w:szCs w:val="17"/>
                <w:color w:val="auto"/>
              </w:rPr>
              <w:t>Fourth quarter</w:t>
            </w:r>
          </w:p>
        </w:tc>
        <w:tc>
          <w:tcPr>
            <w:tcW w:w="4540" w:type="dxa"/>
            <w:vAlign w:val="bottom"/>
            <w:gridSpan w:val="3"/>
          </w:tcPr>
          <w:p>
            <w:pPr>
              <w:jc w:val="center"/>
              <w:ind w:left="3415"/>
              <w:spacing w:after="0"/>
              <w:rPr>
                <w:sz w:val="20"/>
                <w:szCs w:val="20"/>
                <w:color w:val="auto"/>
              </w:rPr>
            </w:pPr>
            <w:r>
              <w:rPr>
                <w:rFonts w:ascii="Arial" w:cs="Arial" w:eastAsia="Arial" w:hAnsi="Arial"/>
                <w:sz w:val="17"/>
                <w:szCs w:val="17"/>
                <w:color w:val="auto"/>
                <w:w w:val="92"/>
              </w:rPr>
              <w:t>$39.78</w:t>
            </w:r>
          </w:p>
        </w:tc>
        <w:tc>
          <w:tcPr>
            <w:tcW w:w="740" w:type="dxa"/>
            <w:vAlign w:val="bottom"/>
            <w:gridSpan w:val="2"/>
          </w:tcPr>
          <w:p>
            <w:pPr>
              <w:jc w:val="center"/>
              <w:ind w:left="175"/>
              <w:spacing w:after="0"/>
              <w:rPr>
                <w:sz w:val="20"/>
                <w:szCs w:val="20"/>
                <w:color w:val="auto"/>
              </w:rPr>
            </w:pPr>
            <w:r>
              <w:rPr>
                <w:rFonts w:ascii="Arial" w:cs="Arial" w:eastAsia="Arial" w:hAnsi="Arial"/>
                <w:sz w:val="17"/>
                <w:szCs w:val="17"/>
                <w:color w:val="auto"/>
                <w:w w:val="92"/>
              </w:rPr>
              <w:t>$34.38</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240"/>
              <w:spacing w:after="0"/>
              <w:rPr>
                <w:sz w:val="20"/>
                <w:szCs w:val="20"/>
                <w:color w:val="auto"/>
              </w:rPr>
            </w:pPr>
            <w:r>
              <w:rPr>
                <w:rFonts w:ascii="Arial" w:cs="Arial" w:eastAsia="Arial" w:hAnsi="Arial"/>
                <w:sz w:val="17"/>
                <w:szCs w:val="17"/>
                <w:color w:val="auto"/>
                <w:w w:val="84"/>
              </w:rPr>
              <w:t>0.125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Third quarter</w:t>
            </w:r>
          </w:p>
        </w:tc>
        <w:tc>
          <w:tcPr>
            <w:tcW w:w="4540" w:type="dxa"/>
            <w:vAlign w:val="bottom"/>
            <w:gridSpan w:val="3"/>
            <w:shd w:val="clear" w:color="auto" w:fill="CCEEFF"/>
          </w:tcPr>
          <w:p>
            <w:pPr>
              <w:jc w:val="center"/>
              <w:ind w:left="3415"/>
              <w:spacing w:after="0"/>
              <w:rPr>
                <w:sz w:val="20"/>
                <w:szCs w:val="20"/>
                <w:color w:val="auto"/>
              </w:rPr>
            </w:pPr>
            <w:r>
              <w:rPr>
                <w:rFonts w:ascii="Arial" w:cs="Arial" w:eastAsia="Arial" w:hAnsi="Arial"/>
                <w:sz w:val="17"/>
                <w:szCs w:val="17"/>
                <w:color w:val="auto"/>
                <w:w w:val="92"/>
              </w:rPr>
              <w:t>$36.95</w:t>
            </w:r>
          </w:p>
        </w:tc>
        <w:tc>
          <w:tcPr>
            <w:tcW w:w="740" w:type="dxa"/>
            <w:vAlign w:val="bottom"/>
            <w:gridSpan w:val="2"/>
            <w:shd w:val="clear" w:color="auto" w:fill="CCEEFF"/>
          </w:tcPr>
          <w:p>
            <w:pPr>
              <w:jc w:val="center"/>
              <w:ind w:left="175"/>
              <w:spacing w:after="0"/>
              <w:rPr>
                <w:sz w:val="20"/>
                <w:szCs w:val="20"/>
                <w:color w:val="auto"/>
              </w:rPr>
            </w:pPr>
            <w:r>
              <w:rPr>
                <w:rFonts w:ascii="Arial" w:cs="Arial" w:eastAsia="Arial" w:hAnsi="Arial"/>
                <w:sz w:val="17"/>
                <w:szCs w:val="17"/>
                <w:color w:val="auto"/>
                <w:w w:val="92"/>
              </w:rPr>
              <w:t>$25.70</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240"/>
              <w:spacing w:after="0"/>
              <w:rPr>
                <w:sz w:val="20"/>
                <w:szCs w:val="20"/>
                <w:color w:val="auto"/>
              </w:rPr>
            </w:pPr>
            <w:r>
              <w:rPr>
                <w:rFonts w:ascii="Arial" w:cs="Arial" w:eastAsia="Arial" w:hAnsi="Arial"/>
                <w:sz w:val="17"/>
                <w:szCs w:val="17"/>
                <w:color w:val="auto"/>
                <w:w w:val="84"/>
              </w:rPr>
              <w:t>0.125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7"/>
                <w:szCs w:val="17"/>
                <w:color w:val="auto"/>
              </w:rPr>
              <w:t>Second quarter</w:t>
            </w:r>
          </w:p>
        </w:tc>
        <w:tc>
          <w:tcPr>
            <w:tcW w:w="4540" w:type="dxa"/>
            <w:vAlign w:val="bottom"/>
            <w:gridSpan w:val="3"/>
          </w:tcPr>
          <w:p>
            <w:pPr>
              <w:jc w:val="center"/>
              <w:ind w:left="3415"/>
              <w:spacing w:after="0"/>
              <w:rPr>
                <w:sz w:val="20"/>
                <w:szCs w:val="20"/>
                <w:color w:val="auto"/>
              </w:rPr>
            </w:pPr>
            <w:r>
              <w:rPr>
                <w:rFonts w:ascii="Arial" w:cs="Arial" w:eastAsia="Arial" w:hAnsi="Arial"/>
                <w:sz w:val="17"/>
                <w:szCs w:val="17"/>
                <w:color w:val="auto"/>
                <w:w w:val="92"/>
              </w:rPr>
              <w:t>$40.00</w:t>
            </w:r>
          </w:p>
        </w:tc>
        <w:tc>
          <w:tcPr>
            <w:tcW w:w="740" w:type="dxa"/>
            <w:vAlign w:val="bottom"/>
            <w:gridSpan w:val="2"/>
          </w:tcPr>
          <w:p>
            <w:pPr>
              <w:jc w:val="center"/>
              <w:ind w:left="175"/>
              <w:spacing w:after="0"/>
              <w:rPr>
                <w:sz w:val="20"/>
                <w:szCs w:val="20"/>
                <w:color w:val="auto"/>
              </w:rPr>
            </w:pPr>
            <w:r>
              <w:rPr>
                <w:rFonts w:ascii="Arial" w:cs="Arial" w:eastAsia="Arial" w:hAnsi="Arial"/>
                <w:sz w:val="17"/>
                <w:szCs w:val="17"/>
                <w:color w:val="auto"/>
                <w:w w:val="92"/>
              </w:rPr>
              <w:t>$26.30</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240"/>
              <w:spacing w:after="0"/>
              <w:rPr>
                <w:sz w:val="20"/>
                <w:szCs w:val="20"/>
                <w:color w:val="auto"/>
              </w:rPr>
            </w:pPr>
            <w:r>
              <w:rPr>
                <w:rFonts w:ascii="Arial" w:cs="Arial" w:eastAsia="Arial" w:hAnsi="Arial"/>
                <w:sz w:val="17"/>
                <w:szCs w:val="17"/>
                <w:color w:val="auto"/>
                <w:w w:val="84"/>
              </w:rPr>
              <w:t>0.125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First quarter</w:t>
            </w:r>
          </w:p>
        </w:tc>
        <w:tc>
          <w:tcPr>
            <w:tcW w:w="4540" w:type="dxa"/>
            <w:vAlign w:val="bottom"/>
            <w:gridSpan w:val="3"/>
            <w:shd w:val="clear" w:color="auto" w:fill="CCEEFF"/>
          </w:tcPr>
          <w:p>
            <w:pPr>
              <w:jc w:val="center"/>
              <w:ind w:left="3415"/>
              <w:spacing w:after="0"/>
              <w:rPr>
                <w:sz w:val="20"/>
                <w:szCs w:val="20"/>
                <w:color w:val="auto"/>
              </w:rPr>
            </w:pPr>
            <w:r>
              <w:rPr>
                <w:rFonts w:ascii="Arial" w:cs="Arial" w:eastAsia="Arial" w:hAnsi="Arial"/>
                <w:sz w:val="17"/>
                <w:szCs w:val="17"/>
                <w:color w:val="auto"/>
                <w:w w:val="92"/>
              </w:rPr>
              <w:t>$41.25</w:t>
            </w:r>
          </w:p>
        </w:tc>
        <w:tc>
          <w:tcPr>
            <w:tcW w:w="740" w:type="dxa"/>
            <w:vAlign w:val="bottom"/>
            <w:gridSpan w:val="2"/>
            <w:shd w:val="clear" w:color="auto" w:fill="CCEEFF"/>
          </w:tcPr>
          <w:p>
            <w:pPr>
              <w:jc w:val="center"/>
              <w:ind w:left="175"/>
              <w:spacing w:after="0"/>
              <w:rPr>
                <w:sz w:val="20"/>
                <w:szCs w:val="20"/>
                <w:color w:val="auto"/>
              </w:rPr>
            </w:pPr>
            <w:r>
              <w:rPr>
                <w:rFonts w:ascii="Arial" w:cs="Arial" w:eastAsia="Arial" w:hAnsi="Arial"/>
                <w:sz w:val="17"/>
                <w:szCs w:val="17"/>
                <w:color w:val="auto"/>
                <w:w w:val="92"/>
              </w:rPr>
              <w:t>$33.31</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240"/>
              <w:spacing w:after="0"/>
              <w:rPr>
                <w:sz w:val="20"/>
                <w:szCs w:val="20"/>
                <w:color w:val="auto"/>
              </w:rPr>
            </w:pPr>
            <w:r>
              <w:rPr>
                <w:rFonts w:ascii="Arial" w:cs="Arial" w:eastAsia="Arial" w:hAnsi="Arial"/>
                <w:sz w:val="17"/>
                <w:szCs w:val="17"/>
                <w:color w:val="auto"/>
                <w:w w:val="84"/>
              </w:rPr>
              <w:t>0.125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82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3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4540" w:type="dxa"/>
            <w:vAlign w:val="bottom"/>
            <w:gridSpan w:val="3"/>
            <w:shd w:val="clear" w:color="auto" w:fill="CCEEFF"/>
          </w:tcPr>
          <w:p>
            <w:pPr>
              <w:jc w:val="center"/>
              <w:ind w:left="3415"/>
              <w:spacing w:after="0"/>
              <w:rPr>
                <w:sz w:val="20"/>
                <w:szCs w:val="20"/>
                <w:color w:val="auto"/>
              </w:rPr>
            </w:pPr>
            <w:r>
              <w:rPr>
                <w:rFonts w:ascii="Arial" w:cs="Arial" w:eastAsia="Arial" w:hAnsi="Arial"/>
                <w:sz w:val="17"/>
                <w:szCs w:val="17"/>
                <w:color w:val="auto"/>
                <w:w w:val="92"/>
              </w:rPr>
              <w:t>$44.62</w:t>
            </w:r>
          </w:p>
        </w:tc>
        <w:tc>
          <w:tcPr>
            <w:tcW w:w="740" w:type="dxa"/>
            <w:vAlign w:val="bottom"/>
            <w:gridSpan w:val="2"/>
            <w:shd w:val="clear" w:color="auto" w:fill="CCEEFF"/>
          </w:tcPr>
          <w:p>
            <w:pPr>
              <w:jc w:val="center"/>
              <w:ind w:left="175"/>
              <w:spacing w:after="0"/>
              <w:rPr>
                <w:sz w:val="20"/>
                <w:szCs w:val="20"/>
                <w:color w:val="auto"/>
              </w:rPr>
            </w:pPr>
            <w:r>
              <w:rPr>
                <w:rFonts w:ascii="Arial" w:cs="Arial" w:eastAsia="Arial" w:hAnsi="Arial"/>
                <w:sz w:val="17"/>
                <w:szCs w:val="17"/>
                <w:color w:val="auto"/>
                <w:w w:val="92"/>
              </w:rPr>
              <w:t>$34.66</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240"/>
              <w:spacing w:after="0"/>
              <w:rPr>
                <w:sz w:val="20"/>
                <w:szCs w:val="20"/>
                <w:color w:val="auto"/>
              </w:rPr>
            </w:pPr>
            <w:r>
              <w:rPr>
                <w:rFonts w:ascii="Arial" w:cs="Arial" w:eastAsia="Arial" w:hAnsi="Arial"/>
                <w:sz w:val="17"/>
                <w:szCs w:val="17"/>
                <w:color w:val="auto"/>
                <w:w w:val="84"/>
              </w:rPr>
              <w:t>0.125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7"/>
                <w:szCs w:val="17"/>
                <w:color w:val="auto"/>
              </w:rPr>
              <w:t>Third quarter</w:t>
            </w:r>
          </w:p>
        </w:tc>
        <w:tc>
          <w:tcPr>
            <w:tcW w:w="4540" w:type="dxa"/>
            <w:vAlign w:val="bottom"/>
            <w:gridSpan w:val="3"/>
          </w:tcPr>
          <w:p>
            <w:pPr>
              <w:jc w:val="center"/>
              <w:ind w:left="3415"/>
              <w:spacing w:after="0"/>
              <w:rPr>
                <w:sz w:val="20"/>
                <w:szCs w:val="20"/>
                <w:color w:val="auto"/>
              </w:rPr>
            </w:pPr>
            <w:r>
              <w:rPr>
                <w:rFonts w:ascii="Arial" w:cs="Arial" w:eastAsia="Arial" w:hAnsi="Arial"/>
                <w:sz w:val="17"/>
                <w:szCs w:val="17"/>
                <w:color w:val="auto"/>
                <w:w w:val="92"/>
              </w:rPr>
              <w:t>$42.70</w:t>
            </w:r>
          </w:p>
        </w:tc>
        <w:tc>
          <w:tcPr>
            <w:tcW w:w="740" w:type="dxa"/>
            <w:vAlign w:val="bottom"/>
            <w:gridSpan w:val="2"/>
          </w:tcPr>
          <w:p>
            <w:pPr>
              <w:jc w:val="center"/>
              <w:ind w:left="175"/>
              <w:spacing w:after="0"/>
              <w:rPr>
                <w:sz w:val="20"/>
                <w:szCs w:val="20"/>
                <w:color w:val="auto"/>
              </w:rPr>
            </w:pPr>
            <w:r>
              <w:rPr>
                <w:rFonts w:ascii="Arial" w:cs="Arial" w:eastAsia="Arial" w:hAnsi="Arial"/>
                <w:sz w:val="17"/>
                <w:szCs w:val="17"/>
                <w:color w:val="auto"/>
                <w:w w:val="92"/>
              </w:rPr>
              <w:t>$25.79</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240"/>
              <w:spacing w:after="0"/>
              <w:rPr>
                <w:sz w:val="20"/>
                <w:szCs w:val="20"/>
                <w:color w:val="auto"/>
              </w:rPr>
            </w:pPr>
            <w:r>
              <w:rPr>
                <w:rFonts w:ascii="Arial" w:cs="Arial" w:eastAsia="Arial" w:hAnsi="Arial"/>
                <w:sz w:val="17"/>
                <w:szCs w:val="17"/>
                <w:color w:val="auto"/>
                <w:w w:val="84"/>
              </w:rPr>
              <w:t>0.125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4540" w:type="dxa"/>
            <w:vAlign w:val="bottom"/>
            <w:gridSpan w:val="3"/>
            <w:shd w:val="clear" w:color="auto" w:fill="CCEEFF"/>
          </w:tcPr>
          <w:p>
            <w:pPr>
              <w:jc w:val="center"/>
              <w:ind w:left="3415"/>
              <w:spacing w:after="0"/>
              <w:rPr>
                <w:sz w:val="20"/>
                <w:szCs w:val="20"/>
                <w:color w:val="auto"/>
              </w:rPr>
            </w:pPr>
            <w:r>
              <w:rPr>
                <w:rFonts w:ascii="Arial" w:cs="Arial" w:eastAsia="Arial" w:hAnsi="Arial"/>
                <w:sz w:val="17"/>
                <w:szCs w:val="17"/>
                <w:color w:val="auto"/>
                <w:w w:val="92"/>
              </w:rPr>
              <w:t>$34.10</w:t>
            </w:r>
          </w:p>
        </w:tc>
        <w:tc>
          <w:tcPr>
            <w:tcW w:w="740" w:type="dxa"/>
            <w:vAlign w:val="bottom"/>
            <w:gridSpan w:val="2"/>
            <w:shd w:val="clear" w:color="auto" w:fill="CCEEFF"/>
          </w:tcPr>
          <w:p>
            <w:pPr>
              <w:jc w:val="center"/>
              <w:ind w:left="175"/>
              <w:spacing w:after="0"/>
              <w:rPr>
                <w:sz w:val="20"/>
                <w:szCs w:val="20"/>
                <w:color w:val="auto"/>
              </w:rPr>
            </w:pPr>
            <w:r>
              <w:rPr>
                <w:rFonts w:ascii="Arial" w:cs="Arial" w:eastAsia="Arial" w:hAnsi="Arial"/>
                <w:sz w:val="17"/>
                <w:szCs w:val="17"/>
                <w:color w:val="auto"/>
                <w:w w:val="92"/>
              </w:rPr>
              <w:t>$25.20</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7"/>
                <w:szCs w:val="17"/>
                <w:color w:val="auto"/>
              </w:rPr>
              <w:t>First quarter</w:t>
            </w:r>
          </w:p>
        </w:tc>
        <w:tc>
          <w:tcPr>
            <w:tcW w:w="4540" w:type="dxa"/>
            <w:vAlign w:val="bottom"/>
            <w:gridSpan w:val="3"/>
          </w:tcPr>
          <w:p>
            <w:pPr>
              <w:jc w:val="center"/>
              <w:ind w:left="3415"/>
              <w:spacing w:after="0"/>
              <w:rPr>
                <w:sz w:val="20"/>
                <w:szCs w:val="20"/>
                <w:color w:val="auto"/>
              </w:rPr>
            </w:pPr>
            <w:r>
              <w:rPr>
                <w:rFonts w:ascii="Arial" w:cs="Arial" w:eastAsia="Arial" w:hAnsi="Arial"/>
                <w:sz w:val="17"/>
                <w:szCs w:val="17"/>
                <w:color w:val="auto"/>
                <w:w w:val="92"/>
              </w:rPr>
              <w:t>$31.94</w:t>
            </w:r>
          </w:p>
        </w:tc>
        <w:tc>
          <w:tcPr>
            <w:tcW w:w="740" w:type="dxa"/>
            <w:vAlign w:val="bottom"/>
            <w:gridSpan w:val="2"/>
          </w:tcPr>
          <w:p>
            <w:pPr>
              <w:jc w:val="center"/>
              <w:ind w:left="175"/>
              <w:spacing w:after="0"/>
              <w:rPr>
                <w:sz w:val="20"/>
                <w:szCs w:val="20"/>
                <w:color w:val="auto"/>
              </w:rPr>
            </w:pPr>
            <w:r>
              <w:rPr>
                <w:rFonts w:ascii="Arial" w:cs="Arial" w:eastAsia="Arial" w:hAnsi="Arial"/>
                <w:sz w:val="17"/>
                <w:szCs w:val="17"/>
                <w:color w:val="auto"/>
                <w:w w:val="92"/>
              </w:rPr>
              <w:t>$20.55</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240"/>
              <w:spacing w:after="0"/>
              <w:rPr>
                <w:sz w:val="20"/>
                <w:szCs w:val="20"/>
                <w:color w:val="auto"/>
              </w:rPr>
            </w:pPr>
            <w:r>
              <w:rPr>
                <w:rFonts w:ascii="Arial" w:cs="Arial" w:eastAsia="Arial" w:hAnsi="Arial"/>
                <w:sz w:val="17"/>
                <w:szCs w:val="17"/>
                <w:color w:val="auto"/>
              </w:rPr>
              <w:t>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280" w:firstLine="457"/>
        <w:spacing w:after="0" w:line="280" w:lineRule="auto"/>
        <w:rPr>
          <w:sz w:val="20"/>
          <w:szCs w:val="20"/>
          <w:color w:val="auto"/>
        </w:rPr>
      </w:pPr>
      <w:r>
        <w:rPr>
          <w:rFonts w:ascii="Arial" w:cs="Arial" w:eastAsia="Arial" w:hAnsi="Arial"/>
          <w:sz w:val="17"/>
          <w:szCs w:val="17"/>
          <w:color w:val="auto"/>
        </w:rPr>
        <w:t>As of February 11, 2011, there were approximately 51 holders of record of our Class A common stock. This does not include the number of shareholders that hold shares in “street-name” through banks or broker-dealers.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February 11, 2011, the last reported sales price for our Class A common stock on the New York Stock Exchange was $44.52 per share.</w:t>
      </w:r>
    </w:p>
    <w:p>
      <w:pPr>
        <w:spacing w:after="0" w:line="157" w:lineRule="exact"/>
        <w:rPr>
          <w:sz w:val="20"/>
          <w:szCs w:val="20"/>
          <w:color w:val="auto"/>
        </w:rPr>
      </w:pPr>
    </w:p>
    <w:p>
      <w:pPr>
        <w:ind w:right="760" w:firstLine="457"/>
        <w:spacing w:after="0" w:line="280" w:lineRule="auto"/>
        <w:rPr>
          <w:sz w:val="20"/>
          <w:szCs w:val="20"/>
          <w:color w:val="auto"/>
        </w:rPr>
      </w:pPr>
      <w:r>
        <w:rPr>
          <w:rFonts w:ascii="Arial" w:cs="Arial" w:eastAsia="Arial" w:hAnsi="Arial"/>
          <w:sz w:val="17"/>
          <w:szCs w:val="17"/>
          <w:color w:val="auto"/>
        </w:rPr>
        <w:t>On January 26, 2011, the Board of Directors of Lazard Ltd declared a quarterly dividend of $0.125 per share on its Class A common stock, payable on February 25, 2011 to stockholders of record on February 7, 2011.</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 in the Fourth Quarter of 2010</w:t>
      </w:r>
    </w:p>
    <w:p>
      <w:pPr>
        <w:spacing w:after="0" w:line="83" w:lineRule="exact"/>
        <w:rPr>
          <w:sz w:val="20"/>
          <w:szCs w:val="20"/>
          <w:color w:val="auto"/>
        </w:rPr>
      </w:pPr>
    </w:p>
    <w:p>
      <w:pPr>
        <w:ind w:firstLine="457"/>
        <w:spacing w:after="0" w:line="280" w:lineRule="auto"/>
        <w:rPr>
          <w:sz w:val="20"/>
          <w:szCs w:val="20"/>
          <w:color w:val="auto"/>
        </w:rPr>
      </w:pPr>
      <w:r>
        <w:rPr>
          <w:rFonts w:ascii="Arial" w:cs="Arial" w:eastAsia="Arial" w:hAnsi="Arial"/>
          <w:sz w:val="17"/>
          <w:szCs w:val="17"/>
          <w:color w:val="auto"/>
        </w:rPr>
        <w:t>The following table sets forth information regarding Lazard’s purchases of its Class A common stock on a monthly basis during the fourth quarter of 2010. Share repurchases are recorded on a trade date basis.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Total Number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of Shares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Purchased as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3"/>
              </w:rPr>
              <w:t>Approximate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Average</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Part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2"/>
              </w:rPr>
              <w:t>Dollar Value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Total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Price</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Publicly</w:t>
            </w:r>
          </w:p>
        </w:tc>
        <w:tc>
          <w:tcPr>
            <w:tcW w:w="540" w:type="dxa"/>
            <w:vAlign w:val="bottom"/>
          </w:tcPr>
          <w:p>
            <w:pPr>
              <w:spacing w:after="0"/>
              <w:rPr>
                <w:sz w:val="12"/>
                <w:szCs w:val="12"/>
                <w:color w:val="auto"/>
              </w:rPr>
            </w:pPr>
          </w:p>
        </w:tc>
        <w:tc>
          <w:tcPr>
            <w:tcW w:w="130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Shares that May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Paid</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Announced</w:t>
            </w:r>
          </w:p>
        </w:tc>
        <w:tc>
          <w:tcPr>
            <w:tcW w:w="540" w:type="dxa"/>
            <w:vAlign w:val="bottom"/>
          </w:tcPr>
          <w:p>
            <w:pPr>
              <w:spacing w:after="0"/>
              <w:rPr>
                <w:sz w:val="12"/>
                <w:szCs w:val="12"/>
                <w:color w:val="auto"/>
              </w:rPr>
            </w:pPr>
          </w:p>
        </w:tc>
        <w:tc>
          <w:tcPr>
            <w:tcW w:w="1300" w:type="dxa"/>
            <w:vAlign w:val="bottom"/>
            <w:gridSpan w:val="3"/>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Yet Be Purchased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2"/>
              </w:rPr>
              <w:t>Shares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per</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Plans or</w:t>
            </w:r>
          </w:p>
        </w:tc>
        <w:tc>
          <w:tcPr>
            <w:tcW w:w="540" w:type="dxa"/>
            <w:vAlign w:val="bottom"/>
          </w:tcPr>
          <w:p>
            <w:pPr>
              <w:spacing w:after="0"/>
              <w:rPr>
                <w:sz w:val="12"/>
                <w:szCs w:val="12"/>
                <w:color w:val="auto"/>
              </w:rPr>
            </w:pPr>
          </w:p>
        </w:tc>
        <w:tc>
          <w:tcPr>
            <w:tcW w:w="1300" w:type="dxa"/>
            <w:vAlign w:val="bottom"/>
            <w:gridSpan w:val="3"/>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Under the Plans or</w:t>
            </w:r>
          </w:p>
        </w:tc>
        <w:tc>
          <w:tcPr>
            <w:tcW w:w="0" w:type="dxa"/>
            <w:vAlign w:val="bottom"/>
          </w:tcPr>
          <w:p>
            <w:pPr>
              <w:spacing w:after="0"/>
              <w:rPr>
                <w:sz w:val="1"/>
                <w:szCs w:val="1"/>
                <w:color w:val="auto"/>
              </w:rPr>
            </w:pPr>
          </w:p>
        </w:tc>
      </w:tr>
      <w:tr>
        <w:trPr>
          <w:trHeight w:val="156"/>
        </w:trPr>
        <w:tc>
          <w:tcPr>
            <w:tcW w:w="4240" w:type="dxa"/>
            <w:vAlign w:val="bottom"/>
            <w:gridSpan w:val="3"/>
          </w:tcPr>
          <w:p>
            <w:pPr>
              <w:spacing w:after="0"/>
              <w:rPr>
                <w:sz w:val="20"/>
                <w:szCs w:val="20"/>
                <w:color w:val="auto"/>
              </w:rPr>
            </w:pPr>
            <w:r>
              <w:rPr>
                <w:rFonts w:ascii="Arial" w:cs="Arial" w:eastAsia="Arial" w:hAnsi="Arial"/>
                <w:sz w:val="13"/>
                <w:szCs w:val="13"/>
                <w:b w:val="1"/>
                <w:bCs w:val="1"/>
                <w:color w:val="auto"/>
              </w:rPr>
              <w:t>Period</w:t>
            </w:r>
          </w:p>
        </w:tc>
        <w:tc>
          <w:tcPr>
            <w:tcW w:w="22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Purchased</w:t>
            </w:r>
          </w:p>
        </w:tc>
        <w:tc>
          <w:tcPr>
            <w:tcW w:w="540" w:type="dxa"/>
            <w:vAlign w:val="bottom"/>
          </w:tcPr>
          <w:p>
            <w:pPr>
              <w:spacing w:after="0"/>
              <w:rPr>
                <w:sz w:val="13"/>
                <w:szCs w:val="13"/>
                <w:color w:val="auto"/>
              </w:rPr>
            </w:pPr>
          </w:p>
        </w:tc>
        <w:tc>
          <w:tcPr>
            <w:tcW w:w="1020" w:type="dxa"/>
            <w:vAlign w:val="bottom"/>
            <w:gridSpan w:val="3"/>
          </w:tcPr>
          <w:p>
            <w:pPr>
              <w:jc w:val="right"/>
              <w:ind w:right="620"/>
              <w:spacing w:after="0"/>
              <w:rPr>
                <w:sz w:val="20"/>
                <w:szCs w:val="20"/>
                <w:color w:val="auto"/>
              </w:rPr>
            </w:pPr>
            <w:r>
              <w:rPr>
                <w:rFonts w:ascii="Arial" w:cs="Arial" w:eastAsia="Arial" w:hAnsi="Arial"/>
                <w:sz w:val="13"/>
                <w:szCs w:val="13"/>
                <w:b w:val="1"/>
                <w:bCs w:val="1"/>
                <w:color w:val="auto"/>
              </w:rPr>
              <w:t>Share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Programs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October 1, 2010 – October 31, 2010</w:t>
            </w:r>
          </w:p>
        </w:tc>
        <w:tc>
          <w:tcPr>
            <w:tcW w:w="2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Share Repurchase Program (1)</w:t>
            </w:r>
          </w:p>
        </w:tc>
        <w:tc>
          <w:tcPr>
            <w:tcW w:w="228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54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780" w:type="dxa"/>
            <w:vAlign w:val="bottom"/>
          </w:tcPr>
          <w:p>
            <w:pPr>
              <w:ind w:left="5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ind w:left="120"/>
              <w:spacing w:after="0"/>
              <w:rPr>
                <w:sz w:val="20"/>
                <w:szCs w:val="20"/>
                <w:color w:val="auto"/>
              </w:rPr>
            </w:pPr>
            <w:r>
              <w:rPr>
                <w:rFonts w:ascii="Arial" w:cs="Arial" w:eastAsia="Arial" w:hAnsi="Arial"/>
                <w:sz w:val="17"/>
                <w:szCs w:val="17"/>
                <w:color w:val="auto"/>
              </w:rPr>
              <w:t>88.6 million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 Transactions (2)</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15,727</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36.02</w:t>
            </w:r>
          </w:p>
        </w:tc>
        <w:tc>
          <w:tcPr>
            <w:tcW w:w="7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1"/>
        </w:trPr>
        <w:tc>
          <w:tcPr>
            <w:tcW w:w="4240" w:type="dxa"/>
            <w:vAlign w:val="bottom"/>
            <w:gridSpan w:val="3"/>
          </w:tcPr>
          <w:p>
            <w:pPr>
              <w:spacing w:after="0"/>
              <w:rPr>
                <w:sz w:val="20"/>
                <w:szCs w:val="20"/>
                <w:color w:val="auto"/>
              </w:rPr>
            </w:pPr>
            <w:r>
              <w:rPr>
                <w:rFonts w:ascii="Arial" w:cs="Arial" w:eastAsia="Arial" w:hAnsi="Arial"/>
                <w:sz w:val="17"/>
                <w:szCs w:val="17"/>
                <w:b w:val="1"/>
                <w:bCs w:val="1"/>
                <w:color w:val="auto"/>
              </w:rPr>
              <w:t>November 1, 2010 – November 30, 2010</w:t>
            </w:r>
          </w:p>
        </w:tc>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 Repurchase Program (1)</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1,220,714</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35.77</w:t>
            </w:r>
          </w:p>
        </w:tc>
        <w:tc>
          <w:tcPr>
            <w:tcW w:w="7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7"/>
              </w:rPr>
              <w:t>1,220,714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9"/>
              </w:rPr>
              <w:t>43.4 million(3)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Employee Transactions (2)</w:t>
            </w:r>
          </w:p>
        </w:tc>
        <w:tc>
          <w:tcPr>
            <w:tcW w:w="3000" w:type="dxa"/>
            <w:vAlign w:val="bottom"/>
            <w:gridSpan w:val="2"/>
          </w:tcPr>
          <w:p>
            <w:pPr>
              <w:jc w:val="right"/>
              <w:spacing w:after="0"/>
              <w:rPr>
                <w:sz w:val="20"/>
                <w:szCs w:val="20"/>
                <w:color w:val="auto"/>
              </w:rPr>
            </w:pPr>
            <w:r>
              <w:rPr>
                <w:rFonts w:ascii="Arial" w:cs="Arial" w:eastAsia="Arial" w:hAnsi="Arial"/>
                <w:sz w:val="17"/>
                <w:szCs w:val="17"/>
                <w:color w:val="auto"/>
              </w:rPr>
              <w:t>5,879</w:t>
            </w:r>
          </w:p>
        </w:tc>
        <w:tc>
          <w:tcPr>
            <w:tcW w:w="640" w:type="dxa"/>
            <w:vAlign w:val="bottom"/>
            <w:gridSpan w:val="2"/>
          </w:tcPr>
          <w:p>
            <w:pPr>
              <w:ind w:left="54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spacing w:after="0"/>
              <w:rPr>
                <w:sz w:val="20"/>
                <w:szCs w:val="20"/>
                <w:color w:val="auto"/>
              </w:rPr>
            </w:pPr>
            <w:r>
              <w:rPr>
                <w:rFonts w:ascii="Arial" w:cs="Arial" w:eastAsia="Arial" w:hAnsi="Arial"/>
                <w:sz w:val="17"/>
                <w:szCs w:val="17"/>
                <w:color w:val="auto"/>
              </w:rPr>
              <w:t>36.90</w:t>
            </w:r>
          </w:p>
        </w:tc>
        <w:tc>
          <w:tcPr>
            <w:tcW w:w="780" w:type="dxa"/>
            <w:vAlign w:val="bottom"/>
          </w:tcPr>
          <w:p>
            <w:pPr>
              <w:ind w:left="5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December 1, 2010 – December 31, 2010</w:t>
            </w:r>
          </w:p>
        </w:tc>
        <w:tc>
          <w:tcPr>
            <w:tcW w:w="2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Share Repurchase Program (1)</w:t>
            </w:r>
          </w:p>
        </w:tc>
        <w:tc>
          <w:tcPr>
            <w:tcW w:w="228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54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780" w:type="dxa"/>
            <w:vAlign w:val="bottom"/>
          </w:tcPr>
          <w:p>
            <w:pPr>
              <w:ind w:left="5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ind w:left="120"/>
              <w:spacing w:after="0"/>
              <w:rPr>
                <w:sz w:val="20"/>
                <w:szCs w:val="20"/>
                <w:color w:val="auto"/>
              </w:rPr>
            </w:pPr>
            <w:r>
              <w:rPr>
                <w:rFonts w:ascii="Arial" w:cs="Arial" w:eastAsia="Arial" w:hAnsi="Arial"/>
                <w:sz w:val="17"/>
                <w:szCs w:val="17"/>
                <w:color w:val="auto"/>
                <w:w w:val="99"/>
              </w:rPr>
              <w:t>42.8 million(3)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 Transactions (2)</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49,656</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37.17</w:t>
            </w:r>
          </w:p>
        </w:tc>
        <w:tc>
          <w:tcPr>
            <w:tcW w:w="7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1"/>
        </w:trPr>
        <w:tc>
          <w:tcPr>
            <w:tcW w:w="4240" w:type="dxa"/>
            <w:vAlign w:val="bottom"/>
            <w:gridSpan w:val="3"/>
          </w:tcPr>
          <w:p>
            <w:pPr>
              <w:spacing w:after="0"/>
              <w:rPr>
                <w:sz w:val="20"/>
                <w:szCs w:val="20"/>
                <w:color w:val="auto"/>
              </w:rPr>
            </w:pPr>
            <w:r>
              <w:rPr>
                <w:rFonts w:ascii="Arial" w:cs="Arial" w:eastAsia="Arial" w:hAnsi="Arial"/>
                <w:sz w:val="17"/>
                <w:szCs w:val="17"/>
                <w:b w:val="1"/>
                <w:bCs w:val="1"/>
                <w:color w:val="auto"/>
              </w:rPr>
              <w:t>Total</w:t>
            </w:r>
          </w:p>
        </w:tc>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 Repurchase Program (1)</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1,220,714</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35.77</w:t>
            </w:r>
          </w:p>
        </w:tc>
        <w:tc>
          <w:tcPr>
            <w:tcW w:w="7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7"/>
              </w:rPr>
              <w:t>1,220,714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42.8 million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Employee Transactions (2)</w:t>
            </w:r>
          </w:p>
        </w:tc>
        <w:tc>
          <w:tcPr>
            <w:tcW w:w="3000" w:type="dxa"/>
            <w:vAlign w:val="bottom"/>
            <w:gridSpan w:val="2"/>
          </w:tcPr>
          <w:p>
            <w:pPr>
              <w:jc w:val="right"/>
              <w:spacing w:after="0"/>
              <w:rPr>
                <w:sz w:val="20"/>
                <w:szCs w:val="20"/>
                <w:color w:val="auto"/>
              </w:rPr>
            </w:pPr>
            <w:r>
              <w:rPr>
                <w:rFonts w:ascii="Arial" w:cs="Arial" w:eastAsia="Arial" w:hAnsi="Arial"/>
                <w:sz w:val="17"/>
                <w:szCs w:val="17"/>
                <w:color w:val="auto"/>
              </w:rPr>
              <w:t>71,262</w:t>
            </w:r>
          </w:p>
        </w:tc>
        <w:tc>
          <w:tcPr>
            <w:tcW w:w="640" w:type="dxa"/>
            <w:vAlign w:val="bottom"/>
            <w:gridSpan w:val="2"/>
          </w:tcPr>
          <w:p>
            <w:pPr>
              <w:ind w:left="54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spacing w:after="0"/>
              <w:rPr>
                <w:sz w:val="20"/>
                <w:szCs w:val="20"/>
                <w:color w:val="auto"/>
              </w:rPr>
            </w:pPr>
            <w:r>
              <w:rPr>
                <w:rFonts w:ascii="Arial" w:cs="Arial" w:eastAsia="Arial" w:hAnsi="Arial"/>
                <w:sz w:val="17"/>
                <w:szCs w:val="17"/>
                <w:color w:val="auto"/>
              </w:rPr>
              <w:t>36.89</w:t>
            </w:r>
          </w:p>
        </w:tc>
        <w:tc>
          <w:tcPr>
            <w:tcW w:w="780" w:type="dxa"/>
            <w:vAlign w:val="bottom"/>
          </w:tcPr>
          <w:p>
            <w:pPr>
              <w:ind w:left="5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80" w:type="dxa"/>
            <w:vAlign w:val="bottom"/>
          </w:tcPr>
          <w:p>
            <w:pPr>
              <w:jc w:val="right"/>
              <w:ind w:right="635"/>
              <w:spacing w:after="0"/>
              <w:rPr>
                <w:sz w:val="20"/>
                <w:szCs w:val="20"/>
                <w:color w:val="auto"/>
              </w:rPr>
            </w:pPr>
            <w:r>
              <w:rPr>
                <w:rFonts w:ascii="Arial" w:cs="Arial" w:eastAsia="Arial" w:hAnsi="Arial"/>
                <w:sz w:val="17"/>
                <w:szCs w:val="17"/>
                <w:color w:val="auto"/>
              </w:rPr>
              <w:t>33</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268605</wp:posOffset>
            </wp:positionV>
            <wp:extent cx="7289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60" w:hanging="456"/>
        <w:spacing w:after="0" w:line="257"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disclosed in more detail in Note 15 of Notes to Consolidated Financial Statements, on January 27, 2010, the Board of Directors of Lazard Ltd authorized, on a cumulative basis, the repurchase of up to $200 million in aggregate cost of Lazard Ltd Class A common stock and Lazard Group common membership interests through December 31, 2011. The share repurchase program is used primarily to offset a portion of the shares to be issued under the 2005 Plan and the 2008 Plan. Purchases under the share repurchase program may be made in the open market or through privately negotiated transactions. Amounts shown in this line item include repurchases of both Class A common stock and Lazard Group common membership interests, and exclude the shares of Class A common stock withheld by the Company to cover estimated income taxes as described below. In February 2011, the Board of Directors of Lazard Ltd authorized the repurchase of up to an additional $250 million in aggregate cost of Lazard Ltd Class A common stock and Lazard Group common membership interests through December 31, 2012.</w:t>
      </w:r>
    </w:p>
    <w:p>
      <w:pPr>
        <w:spacing w:after="0" w:line="2" w:lineRule="exact"/>
        <w:rPr>
          <w:rFonts w:ascii="Arial" w:cs="Arial" w:eastAsia="Arial" w:hAnsi="Arial"/>
          <w:sz w:val="17"/>
          <w:szCs w:val="17"/>
          <w:color w:val="auto"/>
        </w:rPr>
      </w:pPr>
    </w:p>
    <w:p>
      <w:pPr>
        <w:ind w:left="460" w:right="220" w:hanging="456"/>
        <w:spacing w:after="0" w:line="27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the terms of the 2005 Plan and the 2008 Plan, upon the vesting of RSUs, shares of Class A common stock may be withheld by the Company to cover estimated income taxes. During the three month period ended December 31, 2010, the Company satisfied certain employees’ tax obligations in lieu of issuing 71,262 shares of Class A common stock to cover estimated taxes upon the vesting of 310,048 RSUs.</w:t>
      </w:r>
    </w:p>
    <w:p>
      <w:pPr>
        <w:ind w:left="460" w:right="320" w:hanging="456"/>
        <w:spacing w:after="0" w:line="272"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dollar value of the repurchase authorization, referred to in (1) above, was reduced by the repurchases of Lazard Group common membership interests in November 2010 and December 2010 of approximately $1.5 million and $0.6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Item 12, “Security Ownership of Certain Beneficial Owners and Management and Related Stockholder Matters—Equity Compensation Plan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83" w:lineRule="exact"/>
        <w:rPr>
          <w:sz w:val="20"/>
          <w:szCs w:val="20"/>
          <w:color w:val="auto"/>
        </w:rPr>
      </w:pPr>
    </w:p>
    <w:p>
      <w:pPr>
        <w:ind w:right="60" w:firstLine="457"/>
        <w:spacing w:after="0" w:line="320" w:lineRule="auto"/>
        <w:rPr>
          <w:sz w:val="20"/>
          <w:szCs w:val="20"/>
          <w:color w:val="auto"/>
        </w:rPr>
      </w:pPr>
      <w:r>
        <w:rPr>
          <w:rFonts w:ascii="Arial" w:cs="Arial" w:eastAsia="Arial" w:hAnsi="Arial"/>
          <w:sz w:val="15"/>
          <w:szCs w:val="15"/>
          <w:color w:val="auto"/>
        </w:rPr>
        <w:t>On December 17, 2010, Lazard Ltd issued 416,000 shares of Class A common stock in reliance on Section 4(2) of the Securities Act of 1933 in connection with the exchange of 416,000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7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selected consolidated financial data for the Company for all years presented.</w:t>
      </w:r>
    </w:p>
    <w:p>
      <w:pPr>
        <w:spacing w:after="0" w:line="157" w:lineRule="exact"/>
        <w:rPr>
          <w:sz w:val="20"/>
          <w:szCs w:val="20"/>
          <w:color w:val="auto"/>
        </w:rPr>
      </w:pPr>
    </w:p>
    <w:p>
      <w:pPr>
        <w:ind w:right="200" w:firstLine="457"/>
        <w:spacing w:after="0" w:line="305" w:lineRule="auto"/>
        <w:rPr>
          <w:sz w:val="20"/>
          <w:szCs w:val="20"/>
          <w:color w:val="auto"/>
        </w:rPr>
      </w:pPr>
      <w:r>
        <w:rPr>
          <w:rFonts w:ascii="Arial" w:cs="Arial" w:eastAsia="Arial" w:hAnsi="Arial"/>
          <w:sz w:val="15"/>
          <w:szCs w:val="15"/>
          <w:color w:val="auto"/>
        </w:rPr>
        <w:t>The consolidated statements of financial condition and operations data as of and for each of the years in the five-year period ended December 31, 2010 have been derived from Lazard Ltd’s consolidated financial statements. The audited consolidated statements of financial condition as of December 31, 2010 and 2009 and consolidated statements of operations for each of the years in the three year period ended December 31, 2010 are included elsewhere in this Form 10-K. The audited consolidated statements of financial condition as of December 31, 2008, 2007 and 2006, and the audited consolidated statements of operations for the years ended December 31, 2007 and 2006, are not included in this Form 10-K. Historical results are not necessarily indicative of results for any future period.</w:t>
      </w:r>
    </w:p>
    <w:p>
      <w:pPr>
        <w:spacing w:after="0" w:line="92" w:lineRule="exact"/>
        <w:rPr>
          <w:sz w:val="20"/>
          <w:szCs w:val="20"/>
          <w:color w:val="auto"/>
        </w:rPr>
      </w:pPr>
    </w:p>
    <w:p>
      <w:pPr>
        <w:ind w:right="420" w:firstLine="457"/>
        <w:spacing w:after="0" w:line="280" w:lineRule="auto"/>
        <w:rPr>
          <w:sz w:val="20"/>
          <w:szCs w:val="20"/>
          <w:color w:val="auto"/>
        </w:rPr>
      </w:pPr>
      <w:r>
        <w:rPr>
          <w:rFonts w:ascii="Arial" w:cs="Arial" w:eastAsia="Arial" w:hAnsi="Arial"/>
          <w:sz w:val="17"/>
          <w:szCs w:val="17"/>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48" w:right="2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3"/>
                <w:szCs w:val="13"/>
                <w:b w:val="1"/>
                <w:bCs w:val="1"/>
                <w:color w:val="auto"/>
                <w:w w:val="92"/>
              </w:rPr>
              <w:t>As Of Or For The Year Ended December 31,</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3"/>
                <w:szCs w:val="13"/>
                <w:b w:val="1"/>
                <w:bCs w:val="1"/>
                <w:color w:val="auto"/>
              </w:rPr>
              <w:t>2010</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jc w:val="right"/>
              <w:ind w:right="155"/>
              <w:spacing w:after="0" w:line="137" w:lineRule="exact"/>
              <w:rPr>
                <w:sz w:val="20"/>
                <w:szCs w:val="20"/>
                <w:color w:val="auto"/>
              </w:rPr>
            </w:pPr>
            <w:r>
              <w:rPr>
                <w:rFonts w:ascii="Arial" w:cs="Arial" w:eastAsia="Arial" w:hAnsi="Arial"/>
                <w:sz w:val="13"/>
                <w:szCs w:val="13"/>
                <w:b w:val="1"/>
                <w:bCs w:val="1"/>
                <w:color w:val="auto"/>
              </w:rPr>
              <w:t>2009</w:t>
            </w: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5"/>
              <w:spacing w:after="0" w:line="137" w:lineRule="exact"/>
              <w:rPr>
                <w:sz w:val="20"/>
                <w:szCs w:val="20"/>
                <w:color w:val="auto"/>
              </w:rPr>
            </w:pPr>
            <w:r>
              <w:rPr>
                <w:rFonts w:ascii="Arial" w:cs="Arial" w:eastAsia="Arial" w:hAnsi="Arial"/>
                <w:sz w:val="13"/>
                <w:szCs w:val="13"/>
                <w:b w:val="1"/>
                <w:bCs w:val="1"/>
                <w:color w:val="auto"/>
                <w:w w:val="89"/>
              </w:rPr>
              <w:t>2008</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3"/>
                <w:szCs w:val="13"/>
                <w:b w:val="1"/>
                <w:bCs w:val="1"/>
                <w:color w:val="auto"/>
              </w:rPr>
              <w:t>2007</w:t>
            </w: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5"/>
              <w:spacing w:after="0" w:line="137" w:lineRule="exact"/>
              <w:rPr>
                <w:sz w:val="20"/>
                <w:szCs w:val="20"/>
                <w:color w:val="auto"/>
              </w:rPr>
            </w:pPr>
            <w:r>
              <w:rPr>
                <w:rFonts w:ascii="Arial" w:cs="Arial" w:eastAsia="Arial" w:hAnsi="Arial"/>
                <w:sz w:val="13"/>
                <w:szCs w:val="13"/>
                <w:b w:val="1"/>
                <w:bCs w:val="1"/>
                <w:color w:val="auto"/>
              </w:rPr>
              <w:t>2006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right"/>
              <w:spacing w:after="0" w:line="137" w:lineRule="exact"/>
              <w:rPr>
                <w:sz w:val="20"/>
                <w:szCs w:val="20"/>
                <w:color w:val="auto"/>
              </w:rPr>
            </w:pPr>
            <w:r>
              <w:rPr>
                <w:rFonts w:ascii="Arial" w:cs="Arial" w:eastAsia="Arial" w:hAnsi="Arial"/>
                <w:sz w:val="13"/>
                <w:szCs w:val="13"/>
                <w:b w:val="1"/>
                <w:bCs w:val="1"/>
                <w:color w:val="auto"/>
                <w:w w:val="93"/>
              </w:rPr>
              <w:t>(dollars in</w:t>
            </w:r>
          </w:p>
        </w:tc>
        <w:tc>
          <w:tcPr>
            <w:tcW w:w="5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w w:val="74"/>
              </w:rPr>
              <w:t>thousands,</w:t>
            </w:r>
          </w:p>
        </w:tc>
        <w:tc>
          <w:tcPr>
            <w:tcW w:w="66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rPr>
              <w:t>except for</w:t>
            </w:r>
          </w:p>
        </w:tc>
        <w:tc>
          <w:tcPr>
            <w:tcW w:w="56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w w:val="81"/>
              </w:rPr>
              <w:t>per share</w:t>
            </w:r>
          </w:p>
        </w:tc>
        <w:tc>
          <w:tcPr>
            <w:tcW w:w="660" w:type="dxa"/>
            <w:vAlign w:val="bottom"/>
          </w:tcPr>
          <w:p>
            <w:pPr>
              <w:jc w:val="right"/>
              <w:ind w:right="35"/>
              <w:spacing w:after="0" w:line="137" w:lineRule="exact"/>
              <w:rPr>
                <w:sz w:val="20"/>
                <w:szCs w:val="20"/>
                <w:color w:val="auto"/>
              </w:rPr>
            </w:pPr>
            <w:r>
              <w:rPr>
                <w:rFonts w:ascii="Arial" w:cs="Arial" w:eastAsia="Arial" w:hAnsi="Arial"/>
                <w:sz w:val="13"/>
                <w:szCs w:val="13"/>
                <w:b w:val="1"/>
                <w:bCs w:val="1"/>
                <w:color w:val="auto"/>
                <w:w w:val="92"/>
              </w:rPr>
              <w:t>amounts)</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Consolidated Statements of Operations Data</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tcPr>
          <w:p>
            <w:pPr>
              <w:spacing w:after="0" w:line="144" w:lineRule="exact"/>
              <w:rPr>
                <w:sz w:val="20"/>
                <w:szCs w:val="20"/>
                <w:color w:val="auto"/>
              </w:rPr>
            </w:pPr>
            <w:r>
              <w:rPr>
                <w:rFonts w:ascii="Arial" w:cs="Arial" w:eastAsia="Arial" w:hAnsi="Arial"/>
                <w:sz w:val="13"/>
                <w:szCs w:val="13"/>
                <w:color w:val="auto"/>
              </w:rPr>
              <w:t>Net Revenue:</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ind w:left="400"/>
              <w:spacing w:after="0" w:line="144" w:lineRule="exact"/>
              <w:rPr>
                <w:sz w:val="20"/>
                <w:szCs w:val="20"/>
                <w:color w:val="auto"/>
              </w:rPr>
            </w:pPr>
            <w:r>
              <w:rPr>
                <w:rFonts w:ascii="Arial" w:cs="Arial" w:eastAsia="Arial" w:hAnsi="Arial"/>
                <w:sz w:val="13"/>
                <w:szCs w:val="13"/>
                <w:color w:val="auto"/>
              </w:rPr>
              <w:t>Financial Advisory (a)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1,119,867</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986,820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1,022,913</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80"/>
              <w:spacing w:after="0" w:line="144" w:lineRule="exact"/>
              <w:rPr>
                <w:sz w:val="20"/>
                <w:szCs w:val="20"/>
                <w:color w:val="auto"/>
              </w:rPr>
            </w:pPr>
            <w:r>
              <w:rPr>
                <w:rFonts w:ascii="Arial" w:cs="Arial" w:eastAsia="Arial" w:hAnsi="Arial"/>
                <w:sz w:val="13"/>
                <w:szCs w:val="13"/>
                <w:color w:val="auto"/>
              </w:rPr>
              <w:t>1,240,177</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973,337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tcPr>
          <w:p>
            <w:pPr>
              <w:ind w:left="400"/>
              <w:spacing w:after="0" w:line="144" w:lineRule="exact"/>
              <w:rPr>
                <w:sz w:val="20"/>
                <w:szCs w:val="20"/>
                <w:color w:val="auto"/>
              </w:rPr>
            </w:pPr>
            <w:r>
              <w:rPr>
                <w:rFonts w:ascii="Arial" w:cs="Arial" w:eastAsia="Arial" w:hAnsi="Arial"/>
                <w:sz w:val="13"/>
                <w:szCs w:val="13"/>
                <w:color w:val="auto"/>
              </w:rPr>
              <w:t>Asset Management (b)</w:t>
            </w: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849,662</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601,652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614,781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480"/>
              <w:spacing w:after="0" w:line="144" w:lineRule="exact"/>
              <w:rPr>
                <w:sz w:val="20"/>
                <w:szCs w:val="20"/>
                <w:color w:val="auto"/>
              </w:rPr>
            </w:pPr>
            <w:r>
              <w:rPr>
                <w:rFonts w:ascii="Arial" w:cs="Arial" w:eastAsia="Arial" w:hAnsi="Arial"/>
                <w:sz w:val="13"/>
                <w:szCs w:val="13"/>
                <w:color w:val="auto"/>
              </w:rPr>
              <w:t>724,751</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553,212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ind w:left="400"/>
              <w:spacing w:after="0" w:line="144" w:lineRule="exact"/>
              <w:rPr>
                <w:sz w:val="20"/>
                <w:szCs w:val="20"/>
                <w:color w:val="auto"/>
              </w:rPr>
            </w:pPr>
            <w:r>
              <w:rPr>
                <w:rFonts w:ascii="Arial" w:cs="Arial" w:eastAsia="Arial" w:hAnsi="Arial"/>
                <w:sz w:val="13"/>
                <w:szCs w:val="13"/>
                <w:color w:val="auto"/>
              </w:rPr>
              <w:t>Corporate (c)</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(64,161)</w:t>
            </w:r>
          </w:p>
        </w:tc>
        <w:tc>
          <w:tcPr>
            <w:tcW w:w="3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3"/>
                <w:szCs w:val="13"/>
                <w:color w:val="auto"/>
              </w:rPr>
              <w:t>(57,954)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(80,487)</w:t>
            </w:r>
          </w:p>
        </w:tc>
        <w:tc>
          <w:tcPr>
            <w:tcW w:w="3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4" w:lineRule="exact"/>
              <w:rPr>
                <w:sz w:val="20"/>
                <w:szCs w:val="20"/>
                <w:color w:val="auto"/>
              </w:rPr>
            </w:pPr>
            <w:r>
              <w:rPr>
                <w:rFonts w:ascii="Arial" w:cs="Arial" w:eastAsia="Arial" w:hAnsi="Arial"/>
                <w:sz w:val="13"/>
                <w:szCs w:val="13"/>
                <w:color w:val="auto"/>
              </w:rPr>
              <w:t>(47,239)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(32,994)</w:t>
            </w:r>
          </w:p>
        </w:tc>
        <w:tc>
          <w:tcPr>
            <w:tcW w:w="0" w:type="dxa"/>
            <w:vAlign w:val="bottom"/>
          </w:tcPr>
          <w:p>
            <w:pPr>
              <w:spacing w:after="0"/>
              <w:rPr>
                <w:sz w:val="1"/>
                <w:szCs w:val="1"/>
                <w:color w:val="auto"/>
              </w:rPr>
            </w:pPr>
          </w:p>
        </w:tc>
      </w:tr>
      <w:tr>
        <w:trPr>
          <w:trHeight w:val="156"/>
        </w:trPr>
        <w:tc>
          <w:tcPr>
            <w:tcW w:w="5840" w:type="dxa"/>
            <w:vAlign w:val="bottom"/>
            <w:gridSpan w:val="3"/>
          </w:tcPr>
          <w:p>
            <w:pPr>
              <w:spacing w:after="0"/>
              <w:rPr>
                <w:sz w:val="20"/>
                <w:szCs w:val="20"/>
                <w:color w:val="auto"/>
              </w:rPr>
            </w:pPr>
            <w:r>
              <w:rPr>
                <w:rFonts w:ascii="Arial" w:cs="Arial" w:eastAsia="Arial" w:hAnsi="Arial"/>
                <w:sz w:val="13"/>
                <w:szCs w:val="13"/>
                <w:color w:val="auto"/>
              </w:rPr>
              <w:t>Net Revenue</w:t>
            </w: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1,905,368</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1,530,518</w:t>
            </w:r>
          </w:p>
        </w:tc>
        <w:tc>
          <w:tcPr>
            <w:tcW w:w="5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1,557,207</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1,917,689</w:t>
            </w:r>
          </w:p>
        </w:tc>
        <w:tc>
          <w:tcPr>
            <w:tcW w:w="4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1,493,555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Compensation and Benefits (d)</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1,194,168</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1,309,240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1,128,253</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4" w:lineRule="exact"/>
              <w:rPr>
                <w:sz w:val="20"/>
                <w:szCs w:val="20"/>
                <w:color w:val="auto"/>
              </w:rPr>
            </w:pPr>
            <w:r>
              <w:rPr>
                <w:rFonts w:ascii="Arial" w:cs="Arial" w:eastAsia="Arial" w:hAnsi="Arial"/>
                <w:sz w:val="13"/>
                <w:szCs w:val="13"/>
                <w:color w:val="auto"/>
              </w:rPr>
              <w:t>1,123,068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891,421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20" w:type="dxa"/>
            <w:vAlign w:val="bottom"/>
            <w:gridSpan w:val="2"/>
          </w:tcPr>
          <w:p>
            <w:pPr>
              <w:spacing w:after="0" w:line="144" w:lineRule="exact"/>
              <w:rPr>
                <w:sz w:val="20"/>
                <w:szCs w:val="20"/>
                <w:color w:val="auto"/>
              </w:rPr>
            </w:pPr>
            <w:r>
              <w:rPr>
                <w:rFonts w:ascii="Arial" w:cs="Arial" w:eastAsia="Arial" w:hAnsi="Arial"/>
                <w:sz w:val="13"/>
                <w:szCs w:val="13"/>
                <w:color w:val="auto"/>
              </w:rPr>
              <w:t>Other Operating Expenses (e)</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467,550</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403,512</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403,814</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376,326</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274,925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Total Operating Expenses</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1,661,718</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1,712,752</w:t>
            </w: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1,532,067</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1,499,394</w:t>
            </w:r>
          </w:p>
        </w:tc>
        <w:tc>
          <w:tcPr>
            <w:tcW w:w="4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1,166,346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840" w:type="dxa"/>
            <w:vAlign w:val="bottom"/>
            <w:gridSpan w:val="3"/>
          </w:tcPr>
          <w:p>
            <w:pPr>
              <w:spacing w:after="0"/>
              <w:rPr>
                <w:sz w:val="20"/>
                <w:szCs w:val="20"/>
                <w:color w:val="auto"/>
              </w:rPr>
            </w:pPr>
            <w:r>
              <w:rPr>
                <w:rFonts w:ascii="Arial" w:cs="Arial" w:eastAsia="Arial" w:hAnsi="Arial"/>
                <w:sz w:val="13"/>
                <w:szCs w:val="13"/>
                <w:color w:val="auto"/>
              </w:rPr>
              <w:t>Operating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243,650</w:t>
            </w: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3"/>
                <w:szCs w:val="13"/>
                <w:color w:val="auto"/>
              </w:rPr>
              <w:t>(182,234)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25,140</w:t>
            </w: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3"/>
                <w:szCs w:val="13"/>
                <w:color w:val="auto"/>
              </w:rPr>
              <w:t>418,295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327,209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582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194,423</w:t>
            </w:r>
          </w:p>
        </w:tc>
        <w:tc>
          <w:tcPr>
            <w:tcW w:w="26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80"/>
              <w:spacing w:after="0" w:line="136" w:lineRule="exact"/>
              <w:rPr>
                <w:sz w:val="20"/>
                <w:szCs w:val="20"/>
                <w:color w:val="auto"/>
              </w:rPr>
            </w:pPr>
            <w:r>
              <w:rPr>
                <w:rFonts w:ascii="Arial" w:cs="Arial" w:eastAsia="Arial" w:hAnsi="Arial"/>
                <w:sz w:val="13"/>
                <w:szCs w:val="13"/>
                <w:color w:val="auto"/>
              </w:rPr>
              <w:t>(188,245)</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55"/>
              <w:spacing w:after="0" w:line="136" w:lineRule="exact"/>
              <w:rPr>
                <w:sz w:val="20"/>
                <w:szCs w:val="20"/>
                <w:color w:val="auto"/>
              </w:rPr>
            </w:pPr>
            <w:r>
              <w:rPr>
                <w:rFonts w:ascii="Arial" w:cs="Arial" w:eastAsia="Arial" w:hAnsi="Arial"/>
                <w:sz w:val="13"/>
                <w:szCs w:val="13"/>
                <w:color w:val="auto"/>
              </w:rPr>
              <w:t>(239)</w:t>
            </w:r>
          </w:p>
        </w:tc>
        <w:tc>
          <w:tcPr>
            <w:tcW w:w="30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80"/>
              <w:spacing w:after="0" w:line="136" w:lineRule="exact"/>
              <w:rPr>
                <w:sz w:val="20"/>
                <w:szCs w:val="20"/>
                <w:color w:val="auto"/>
              </w:rPr>
            </w:pPr>
            <w:r>
              <w:rPr>
                <w:rFonts w:ascii="Arial" w:cs="Arial" w:eastAsia="Arial" w:hAnsi="Arial"/>
                <w:sz w:val="13"/>
                <w:szCs w:val="13"/>
                <w:color w:val="auto"/>
              </w:rPr>
              <w:t>337,679</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258,397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3"/>
                <w:szCs w:val="13"/>
                <w:color w:val="auto"/>
              </w:rPr>
              <w:t>Net Income (Loss) Attributable to Lazard Ltd</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840" w:type="dxa"/>
            <w:vAlign w:val="bottom"/>
            <w:gridSpan w:val="3"/>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174,979</w:t>
            </w:r>
          </w:p>
        </w:tc>
        <w:tc>
          <w:tcPr>
            <w:tcW w:w="260" w:type="dxa"/>
            <w:vAlign w:val="bottom"/>
          </w:tcPr>
          <w:p>
            <w:pPr>
              <w:spacing w:after="0"/>
              <w:rPr>
                <w:sz w:val="11"/>
                <w:szCs w:val="11"/>
                <w:color w:val="auto"/>
              </w:rPr>
            </w:pPr>
          </w:p>
        </w:tc>
        <w:tc>
          <w:tcPr>
            <w:tcW w:w="30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380"/>
              <w:spacing w:after="0" w:line="136" w:lineRule="exact"/>
              <w:rPr>
                <w:sz w:val="20"/>
                <w:szCs w:val="20"/>
                <w:color w:val="auto"/>
              </w:rPr>
            </w:pPr>
            <w:r>
              <w:rPr>
                <w:rFonts w:ascii="Arial" w:cs="Arial" w:eastAsia="Arial" w:hAnsi="Arial"/>
                <w:sz w:val="13"/>
                <w:szCs w:val="13"/>
                <w:color w:val="auto"/>
              </w:rPr>
              <w:t>(130,242)</w:t>
            </w:r>
          </w:p>
        </w:tc>
        <w:tc>
          <w:tcPr>
            <w:tcW w:w="80" w:type="dxa"/>
            <w:vAlign w:val="bottom"/>
          </w:tcPr>
          <w:p>
            <w:pPr>
              <w:jc w:val="right"/>
              <w:spacing w:after="0" w:line="136"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3,138</w:t>
            </w:r>
          </w:p>
        </w:tc>
        <w:tc>
          <w:tcPr>
            <w:tcW w:w="260" w:type="dxa"/>
            <w:vAlign w:val="bottom"/>
          </w:tcPr>
          <w:p>
            <w:pPr>
              <w:spacing w:after="0"/>
              <w:rPr>
                <w:sz w:val="11"/>
                <w:szCs w:val="11"/>
                <w:color w:val="auto"/>
              </w:rPr>
            </w:pPr>
          </w:p>
        </w:tc>
        <w:tc>
          <w:tcPr>
            <w:tcW w:w="30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80"/>
              <w:spacing w:after="0" w:line="136" w:lineRule="exact"/>
              <w:rPr>
                <w:sz w:val="20"/>
                <w:szCs w:val="20"/>
                <w:color w:val="auto"/>
              </w:rPr>
            </w:pPr>
            <w:r>
              <w:rPr>
                <w:rFonts w:ascii="Arial" w:cs="Arial" w:eastAsia="Arial" w:hAnsi="Arial"/>
                <w:sz w:val="13"/>
                <w:szCs w:val="13"/>
                <w:color w:val="auto"/>
              </w:rPr>
              <w:t>155,042</w:t>
            </w:r>
          </w:p>
        </w:tc>
        <w:tc>
          <w:tcPr>
            <w:tcW w:w="80" w:type="dxa"/>
            <w:vAlign w:val="bottom"/>
          </w:tcPr>
          <w:p>
            <w:pPr>
              <w:jc w:val="right"/>
              <w:spacing w:after="0" w:line="136"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92,985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582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Net Income (Loss) Per Share of Class A Common Stock:</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tcPr>
          <w:p>
            <w:pPr>
              <w:ind w:left="400"/>
              <w:spacing w:after="0" w:line="144" w:lineRule="exact"/>
              <w:rPr>
                <w:sz w:val="20"/>
                <w:szCs w:val="20"/>
                <w:color w:val="auto"/>
              </w:rPr>
            </w:pPr>
            <w:r>
              <w:rPr>
                <w:rFonts w:ascii="Arial" w:cs="Arial" w:eastAsia="Arial" w:hAnsi="Arial"/>
                <w:sz w:val="13"/>
                <w:szCs w:val="13"/>
                <w:color w:val="auto"/>
              </w:rPr>
              <w:t>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1.68</w:t>
            </w:r>
          </w:p>
        </w:tc>
        <w:tc>
          <w:tcPr>
            <w:tcW w:w="26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380"/>
              <w:spacing w:after="0" w:line="144" w:lineRule="exact"/>
              <w:rPr>
                <w:sz w:val="20"/>
                <w:szCs w:val="20"/>
                <w:color w:val="auto"/>
              </w:rPr>
            </w:pPr>
            <w:r>
              <w:rPr>
                <w:rFonts w:ascii="Arial" w:cs="Arial" w:eastAsia="Arial" w:hAnsi="Arial"/>
                <w:sz w:val="13"/>
                <w:szCs w:val="13"/>
                <w:color w:val="auto"/>
              </w:rPr>
              <w:t>(1.68)</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0.06</w:t>
            </w:r>
          </w:p>
        </w:tc>
        <w:tc>
          <w:tcPr>
            <w:tcW w:w="26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80"/>
              <w:spacing w:after="0" w:line="144" w:lineRule="exact"/>
              <w:rPr>
                <w:sz w:val="20"/>
                <w:szCs w:val="20"/>
                <w:color w:val="auto"/>
              </w:rPr>
            </w:pPr>
            <w:r>
              <w:rPr>
                <w:rFonts w:ascii="Arial" w:cs="Arial" w:eastAsia="Arial" w:hAnsi="Arial"/>
                <w:sz w:val="13"/>
                <w:szCs w:val="13"/>
                <w:color w:val="auto"/>
              </w:rPr>
              <w:t>3.04</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2.42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ind w:left="400"/>
              <w:spacing w:after="0" w:line="144" w:lineRule="exact"/>
              <w:rPr>
                <w:sz w:val="20"/>
                <w:szCs w:val="20"/>
                <w:color w:val="auto"/>
              </w:rPr>
            </w:pPr>
            <w:r>
              <w:rPr>
                <w:rFonts w:ascii="Arial" w:cs="Arial" w:eastAsia="Arial" w:hAnsi="Arial"/>
                <w:sz w:val="13"/>
                <w:szCs w:val="13"/>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1.36</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0.06</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80"/>
              <w:spacing w:after="0" w:line="144" w:lineRule="exact"/>
              <w:rPr>
                <w:sz w:val="20"/>
                <w:szCs w:val="20"/>
                <w:color w:val="auto"/>
              </w:rPr>
            </w:pPr>
            <w:r>
              <w:rPr>
                <w:rFonts w:ascii="Arial" w:cs="Arial" w:eastAsia="Arial" w:hAnsi="Arial"/>
                <w:sz w:val="13"/>
                <w:szCs w:val="13"/>
                <w:color w:val="auto"/>
              </w:rPr>
              <w:t>2.79</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20" w:type="dxa"/>
            <w:vAlign w:val="bottom"/>
            <w:gridSpan w:val="2"/>
          </w:tcPr>
          <w:p>
            <w:pPr>
              <w:spacing w:after="0"/>
              <w:rPr>
                <w:sz w:val="20"/>
                <w:szCs w:val="20"/>
                <w:color w:val="auto"/>
              </w:rPr>
            </w:pPr>
            <w:r>
              <w:rPr>
                <w:rFonts w:ascii="Arial" w:cs="Arial" w:eastAsia="Arial" w:hAnsi="Arial"/>
                <w:sz w:val="13"/>
                <w:szCs w:val="13"/>
                <w:color w:val="auto"/>
              </w:rPr>
              <w:t>Dividends Declared Per Share of Class A Common Stock</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0.50</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0.45</w:t>
            </w:r>
          </w:p>
        </w:tc>
        <w:tc>
          <w:tcPr>
            <w:tcW w:w="5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0.40</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3"/>
                <w:szCs w:val="13"/>
                <w:color w:val="auto"/>
              </w:rPr>
              <w:t>0.36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5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8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Consolidated Statements of Financial Condition Data</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tcPr>
          <w:p>
            <w:pPr>
              <w:spacing w:after="0" w:line="144" w:lineRule="exact"/>
              <w:rPr>
                <w:sz w:val="20"/>
                <w:szCs w:val="20"/>
                <w:color w:val="auto"/>
              </w:rPr>
            </w:pPr>
            <w:r>
              <w:rPr>
                <w:rFonts w:ascii="Arial" w:cs="Arial" w:eastAsia="Arial" w:hAnsi="Arial"/>
                <w:sz w:val="13"/>
                <w:szCs w:val="13"/>
                <w:color w:val="auto"/>
              </w:rPr>
              <w:t>Total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3,422,532</w:t>
            </w:r>
          </w:p>
        </w:tc>
        <w:tc>
          <w:tcPr>
            <w:tcW w:w="26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3,147,762</w:t>
            </w:r>
          </w:p>
        </w:tc>
        <w:tc>
          <w:tcPr>
            <w:tcW w:w="500" w:type="dxa"/>
            <w:vAlign w:val="bottom"/>
          </w:tcPr>
          <w:p>
            <w:pPr>
              <w:spacing w:after="0"/>
              <w:rPr>
                <w:sz w:val="12"/>
                <w:szCs w:val="12"/>
                <w:color w:val="auto"/>
              </w:rPr>
            </w:pP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w w:val="96"/>
              </w:rPr>
              <w:t>2,862,931</w:t>
            </w:r>
          </w:p>
        </w:tc>
        <w:tc>
          <w:tcPr>
            <w:tcW w:w="26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80"/>
              <w:spacing w:after="0" w:line="144" w:lineRule="exact"/>
              <w:rPr>
                <w:sz w:val="20"/>
                <w:szCs w:val="20"/>
                <w:color w:val="auto"/>
              </w:rPr>
            </w:pPr>
            <w:r>
              <w:rPr>
                <w:rFonts w:ascii="Arial" w:cs="Arial" w:eastAsia="Arial" w:hAnsi="Arial"/>
                <w:sz w:val="13"/>
                <w:szCs w:val="13"/>
                <w:color w:val="auto"/>
              </w:rPr>
              <w:t>3,840,413</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3,208,665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Total Debt (f)</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1,249,753</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1,261,478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1,264,575</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80"/>
              <w:spacing w:after="0" w:line="144" w:lineRule="exact"/>
              <w:rPr>
                <w:sz w:val="20"/>
                <w:szCs w:val="20"/>
                <w:color w:val="auto"/>
              </w:rPr>
            </w:pPr>
            <w:r>
              <w:rPr>
                <w:rFonts w:ascii="Arial" w:cs="Arial" w:eastAsia="Arial" w:hAnsi="Arial"/>
                <w:sz w:val="13"/>
                <w:szCs w:val="13"/>
                <w:color w:val="auto"/>
              </w:rPr>
              <w:t>1,764,622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1,308,945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tcPr>
          <w:p>
            <w:pPr>
              <w:spacing w:after="0" w:line="144" w:lineRule="exact"/>
              <w:rPr>
                <w:sz w:val="20"/>
                <w:szCs w:val="20"/>
                <w:color w:val="auto"/>
              </w:rPr>
            </w:pPr>
            <w:r>
              <w:rPr>
                <w:rFonts w:ascii="Arial" w:cs="Arial" w:eastAsia="Arial" w:hAnsi="Arial"/>
                <w:sz w:val="13"/>
                <w:szCs w:val="13"/>
                <w:color w:val="auto"/>
              </w:rPr>
              <w:t>Total Lazard Ltd Stockholders’ Equity (Deficiency)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652,398</w:t>
            </w:r>
          </w:p>
        </w:tc>
        <w:tc>
          <w:tcPr>
            <w:tcW w:w="26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355,391</w:t>
            </w:r>
          </w:p>
        </w:tc>
        <w:tc>
          <w:tcPr>
            <w:tcW w:w="500" w:type="dxa"/>
            <w:vAlign w:val="bottom"/>
          </w:tcPr>
          <w:p>
            <w:pPr>
              <w:spacing w:after="0"/>
              <w:rPr>
                <w:sz w:val="12"/>
                <w:szCs w:val="12"/>
                <w:color w:val="auto"/>
              </w:rPr>
            </w:pP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250,580</w:t>
            </w:r>
          </w:p>
        </w:tc>
        <w:tc>
          <w:tcPr>
            <w:tcW w:w="26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80"/>
              <w:spacing w:after="0" w:line="144" w:lineRule="exact"/>
              <w:rPr>
                <w:sz w:val="20"/>
                <w:szCs w:val="20"/>
                <w:color w:val="auto"/>
              </w:rPr>
            </w:pPr>
            <w:r>
              <w:rPr>
                <w:rFonts w:ascii="Arial" w:cs="Arial" w:eastAsia="Arial" w:hAnsi="Arial"/>
                <w:sz w:val="13"/>
                <w:szCs w:val="13"/>
                <w:color w:val="auto"/>
              </w:rPr>
              <w:t>70,339</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(240,353)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Total Stockholders’ Equity (Deficiency)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796,117</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523,097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95"/>
              <w:spacing w:after="0" w:line="144" w:lineRule="exact"/>
              <w:rPr>
                <w:sz w:val="20"/>
                <w:szCs w:val="20"/>
                <w:color w:val="auto"/>
              </w:rPr>
            </w:pPr>
            <w:r>
              <w:rPr>
                <w:rFonts w:ascii="Arial" w:cs="Arial" w:eastAsia="Arial" w:hAnsi="Arial"/>
                <w:sz w:val="13"/>
                <w:szCs w:val="13"/>
                <w:color w:val="auto"/>
              </w:rPr>
              <w:t>311,752</w:t>
            </w:r>
          </w:p>
        </w:tc>
        <w:tc>
          <w:tcPr>
            <w:tcW w:w="30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80"/>
              <w:spacing w:after="0" w:line="144" w:lineRule="exact"/>
              <w:rPr>
                <w:sz w:val="20"/>
                <w:szCs w:val="20"/>
                <w:color w:val="auto"/>
              </w:rPr>
            </w:pPr>
            <w:r>
              <w:rPr>
                <w:rFonts w:ascii="Arial" w:cs="Arial" w:eastAsia="Arial" w:hAnsi="Arial"/>
                <w:sz w:val="13"/>
                <w:szCs w:val="13"/>
                <w:color w:val="auto"/>
              </w:rPr>
              <w:t>123,114</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(184,856)</w:t>
            </w:r>
          </w:p>
        </w:tc>
        <w:tc>
          <w:tcPr>
            <w:tcW w:w="0" w:type="dxa"/>
            <w:vAlign w:val="bottom"/>
          </w:tcPr>
          <w:p>
            <w:pPr>
              <w:spacing w:after="0"/>
              <w:rPr>
                <w:sz w:val="1"/>
                <w:szCs w:val="1"/>
                <w:color w:val="auto"/>
              </w:rPr>
            </w:pPr>
          </w:p>
        </w:tc>
      </w:tr>
      <w:tr>
        <w:trPr>
          <w:trHeight w:val="222"/>
        </w:trPr>
        <w:tc>
          <w:tcPr>
            <w:tcW w:w="5840" w:type="dxa"/>
            <w:vAlign w:val="bottom"/>
            <w:gridSpan w:val="3"/>
          </w:tcPr>
          <w:p>
            <w:pPr>
              <w:spacing w:after="0"/>
              <w:rPr>
                <w:sz w:val="20"/>
                <w:szCs w:val="20"/>
                <w:color w:val="auto"/>
              </w:rPr>
            </w:pPr>
            <w:r>
              <w:rPr>
                <w:rFonts w:ascii="Arial" w:cs="Arial" w:eastAsia="Arial" w:hAnsi="Arial"/>
                <w:sz w:val="13"/>
                <w:szCs w:val="13"/>
                <w:b w:val="1"/>
                <w:bCs w:val="1"/>
                <w:color w:val="auto"/>
              </w:rPr>
              <w:t>Other Data</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Assets Under Management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155,337,000</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129,543,000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6"/>
              </w:rPr>
              <w:t>91,109,000</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80"/>
              <w:spacing w:after="0" w:line="144" w:lineRule="exact"/>
              <w:rPr>
                <w:sz w:val="20"/>
                <w:szCs w:val="20"/>
                <w:color w:val="auto"/>
              </w:rPr>
            </w:pPr>
            <w:r>
              <w:rPr>
                <w:rFonts w:ascii="Arial" w:cs="Arial" w:eastAsia="Arial" w:hAnsi="Arial"/>
                <w:sz w:val="13"/>
                <w:szCs w:val="13"/>
                <w:color w:val="auto"/>
                <w:w w:val="88"/>
              </w:rPr>
              <w:t>141,413,000</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w w:val="85"/>
              </w:rPr>
              <w:t>110,437,000</w:t>
            </w:r>
          </w:p>
        </w:tc>
        <w:tc>
          <w:tcPr>
            <w:tcW w:w="0" w:type="dxa"/>
            <w:vAlign w:val="bottom"/>
          </w:tcPr>
          <w:p>
            <w:pPr>
              <w:spacing w:after="0"/>
              <w:rPr>
                <w:sz w:val="1"/>
                <w:szCs w:val="1"/>
                <w:color w:val="auto"/>
              </w:rPr>
            </w:pPr>
          </w:p>
        </w:tc>
      </w:tr>
      <w:tr>
        <w:trPr>
          <w:trHeight w:val="221"/>
        </w:trPr>
        <w:tc>
          <w:tcPr>
            <w:tcW w:w="5840" w:type="dxa"/>
            <w:vAlign w:val="bottom"/>
            <w:gridSpan w:val="3"/>
          </w:tcPr>
          <w:p>
            <w:pPr>
              <w:spacing w:after="0"/>
              <w:rPr>
                <w:sz w:val="20"/>
                <w:szCs w:val="20"/>
                <w:color w:val="auto"/>
              </w:rPr>
            </w:pPr>
            <w:r>
              <w:rPr>
                <w:rFonts w:ascii="Arial" w:cs="Arial" w:eastAsia="Arial" w:hAnsi="Arial"/>
                <w:sz w:val="13"/>
                <w:szCs w:val="13"/>
                <w:color w:val="auto"/>
              </w:rPr>
              <w:t>Headcount:</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ind w:left="400"/>
              <w:spacing w:after="0" w:line="144" w:lineRule="exact"/>
              <w:rPr>
                <w:sz w:val="20"/>
                <w:szCs w:val="20"/>
                <w:color w:val="auto"/>
              </w:rPr>
            </w:pPr>
            <w:r>
              <w:rPr>
                <w:rFonts w:ascii="Arial" w:cs="Arial" w:eastAsia="Arial" w:hAnsi="Arial"/>
                <w:sz w:val="13"/>
                <w:szCs w:val="13"/>
                <w:color w:val="auto"/>
              </w:rPr>
              <w:t>Managing Directors: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80" w:type="dxa"/>
            <w:vAlign w:val="bottom"/>
          </w:tcPr>
          <w:p>
            <w:pPr>
              <w:ind w:left="280"/>
              <w:spacing w:after="0" w:line="144" w:lineRule="exact"/>
              <w:rPr>
                <w:sz w:val="20"/>
                <w:szCs w:val="20"/>
                <w:color w:val="auto"/>
              </w:rPr>
            </w:pPr>
            <w:r>
              <w:rPr>
                <w:rFonts w:ascii="Arial" w:cs="Arial" w:eastAsia="Arial" w:hAnsi="Arial"/>
                <w:sz w:val="13"/>
                <w:szCs w:val="13"/>
                <w:color w:val="auto"/>
              </w:rPr>
              <w:t>Financial Advisory</w:t>
            </w: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129</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150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151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480"/>
              <w:spacing w:after="0" w:line="144" w:lineRule="exact"/>
              <w:rPr>
                <w:sz w:val="20"/>
                <w:szCs w:val="20"/>
                <w:color w:val="auto"/>
              </w:rPr>
            </w:pPr>
            <w:r>
              <w:rPr>
                <w:rFonts w:ascii="Arial" w:cs="Arial" w:eastAsia="Arial" w:hAnsi="Arial"/>
                <w:sz w:val="13"/>
                <w:szCs w:val="13"/>
                <w:color w:val="auto"/>
              </w:rPr>
              <w:t>138</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8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rPr>
              <w:t>Asset Management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64</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56</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4" w:lineRule="exact"/>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80" w:type="dxa"/>
            <w:vAlign w:val="bottom"/>
          </w:tcPr>
          <w:p>
            <w:pPr>
              <w:ind w:left="280"/>
              <w:spacing w:after="0" w:line="144" w:lineRule="exact"/>
              <w:rPr>
                <w:sz w:val="20"/>
                <w:szCs w:val="20"/>
                <w:color w:val="auto"/>
              </w:rPr>
            </w:pPr>
            <w:r>
              <w:rPr>
                <w:rFonts w:ascii="Arial" w:cs="Arial" w:eastAsia="Arial" w:hAnsi="Arial"/>
                <w:sz w:val="13"/>
                <w:szCs w:val="13"/>
                <w:color w:val="auto"/>
              </w:rPr>
              <w:t>Corporate</w:t>
            </w: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9</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8</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480"/>
              <w:spacing w:after="0" w:line="144"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ind w:left="400"/>
              <w:spacing w:after="0" w:line="144" w:lineRule="exact"/>
              <w:rPr>
                <w:sz w:val="20"/>
                <w:szCs w:val="20"/>
                <w:color w:val="auto"/>
              </w:rPr>
            </w:pPr>
            <w:r>
              <w:rPr>
                <w:rFonts w:ascii="Arial" w:cs="Arial" w:eastAsia="Arial" w:hAnsi="Arial"/>
                <w:sz w:val="13"/>
                <w:szCs w:val="13"/>
                <w:color w:val="auto"/>
              </w:rPr>
              <w:t>Other Employees: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80" w:type="dxa"/>
            <w:vAlign w:val="bottom"/>
          </w:tcPr>
          <w:p>
            <w:pPr>
              <w:ind w:left="280"/>
              <w:spacing w:after="0" w:line="144" w:lineRule="exact"/>
              <w:rPr>
                <w:sz w:val="20"/>
                <w:szCs w:val="20"/>
                <w:color w:val="auto"/>
              </w:rPr>
            </w:pPr>
            <w:r>
              <w:rPr>
                <w:rFonts w:ascii="Arial" w:cs="Arial" w:eastAsia="Arial" w:hAnsi="Arial"/>
                <w:sz w:val="13"/>
                <w:szCs w:val="13"/>
                <w:color w:val="auto"/>
              </w:rPr>
              <w:t>Business segment professionals</w:t>
            </w: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999</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990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1,032</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480"/>
              <w:spacing w:after="0" w:line="144" w:lineRule="exact"/>
              <w:rPr>
                <w:sz w:val="20"/>
                <w:szCs w:val="20"/>
                <w:color w:val="auto"/>
              </w:rPr>
            </w:pPr>
            <w:r>
              <w:rPr>
                <w:rFonts w:ascii="Arial" w:cs="Arial" w:eastAsia="Arial" w:hAnsi="Arial"/>
                <w:sz w:val="13"/>
                <w:szCs w:val="13"/>
                <w:color w:val="auto"/>
              </w:rPr>
              <w:t>1,003</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816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8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rPr>
              <w:t>Other professionals and support staff</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1,131</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1,091</w:t>
            </w: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1,187</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1,261</w:t>
            </w:r>
          </w:p>
        </w:tc>
        <w:tc>
          <w:tcPr>
            <w:tcW w:w="4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20" w:type="dxa"/>
            <w:vAlign w:val="bottom"/>
            <w:gridSpan w:val="2"/>
          </w:tcPr>
          <w:p>
            <w:pPr>
              <w:ind w:left="400"/>
              <w:spacing w:after="0"/>
              <w:rPr>
                <w:sz w:val="20"/>
                <w:szCs w:val="20"/>
                <w:color w:val="auto"/>
              </w:rPr>
            </w:pPr>
            <w:r>
              <w:rPr>
                <w:rFonts w:ascii="Arial" w:cs="Arial" w:eastAsia="Arial" w:hAnsi="Arial"/>
                <w:sz w:val="13"/>
                <w:szCs w:val="13"/>
                <w:color w:val="auto"/>
              </w:rPr>
              <w:t>Total</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2,332</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2,294</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2,434</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3"/>
                <w:szCs w:val="13"/>
                <w:color w:val="auto"/>
              </w:rPr>
              <w:t>2,458</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584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Notes (in thousands of dollars)</w:t>
            </w: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840" w:type="dxa"/>
            <w:vAlign w:val="bottom"/>
            <w:gridSpan w:val="3"/>
          </w:tcPr>
          <w:p>
            <w:pPr>
              <w:spacing w:after="0"/>
              <w:rPr>
                <w:sz w:val="20"/>
                <w:szCs w:val="20"/>
                <w:color w:val="auto"/>
              </w:rPr>
            </w:pPr>
            <w:r>
              <w:rPr>
                <w:rFonts w:ascii="Arial" w:cs="Arial" w:eastAsia="Arial" w:hAnsi="Arial"/>
                <w:sz w:val="13"/>
                <w:szCs w:val="13"/>
                <w:color w:val="auto"/>
              </w:rPr>
              <w:t>(a)  Financial Advisory net revenue consists of the following:</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00" w:type="dxa"/>
            <w:vAlign w:val="bottom"/>
            <w:gridSpan w:val="8"/>
            <w:vMerge w:val="restart"/>
          </w:tcPr>
          <w:p>
            <w:pPr>
              <w:jc w:val="center"/>
              <w:ind w:right="560"/>
              <w:spacing w:after="0"/>
              <w:rPr>
                <w:sz w:val="20"/>
                <w:szCs w:val="20"/>
                <w:color w:val="auto"/>
              </w:rPr>
            </w:pPr>
            <w:r>
              <w:rPr>
                <w:rFonts w:ascii="Arial" w:cs="Arial" w:eastAsia="Arial" w:hAnsi="Arial"/>
                <w:sz w:val="13"/>
                <w:szCs w:val="13"/>
                <w:b w:val="1"/>
                <w:bCs w:val="1"/>
                <w:color w:val="auto"/>
                <w:w w:val="91"/>
              </w:rPr>
              <w:t>For The Year Ended December 31,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500" w:type="dxa"/>
            <w:vAlign w:val="bottom"/>
            <w:tcBorders>
              <w:bottom w:val="single" w:sz="8" w:color="auto"/>
            </w:tcBorders>
            <w:gridSpan w:val="8"/>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3"/>
                <w:szCs w:val="13"/>
                <w:b w:val="1"/>
                <w:bCs w:val="1"/>
                <w:color w:val="auto"/>
              </w:rPr>
              <w:t>2010</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jc w:val="right"/>
              <w:ind w:right="155"/>
              <w:spacing w:after="0" w:line="137" w:lineRule="exact"/>
              <w:rPr>
                <w:sz w:val="20"/>
                <w:szCs w:val="20"/>
                <w:color w:val="auto"/>
              </w:rPr>
            </w:pPr>
            <w:r>
              <w:rPr>
                <w:rFonts w:ascii="Arial" w:cs="Arial" w:eastAsia="Arial" w:hAnsi="Arial"/>
                <w:sz w:val="13"/>
                <w:szCs w:val="13"/>
                <w:b w:val="1"/>
                <w:bCs w:val="1"/>
                <w:color w:val="auto"/>
              </w:rPr>
              <w:t>2009</w:t>
            </w: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5"/>
              <w:spacing w:after="0" w:line="137" w:lineRule="exact"/>
              <w:rPr>
                <w:sz w:val="20"/>
                <w:szCs w:val="20"/>
                <w:color w:val="auto"/>
              </w:rPr>
            </w:pPr>
            <w:r>
              <w:rPr>
                <w:rFonts w:ascii="Arial" w:cs="Arial" w:eastAsia="Arial" w:hAnsi="Arial"/>
                <w:sz w:val="13"/>
                <w:szCs w:val="13"/>
                <w:b w:val="1"/>
                <w:bCs w:val="1"/>
                <w:color w:val="auto"/>
                <w:w w:val="89"/>
              </w:rPr>
              <w:t>2008</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3"/>
                <w:szCs w:val="13"/>
                <w:b w:val="1"/>
                <w:bCs w:val="1"/>
                <w:color w:val="auto"/>
              </w:rPr>
              <w:t>2007</w:t>
            </w: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5"/>
              <w:spacing w:after="0" w:line="137" w:lineRule="exact"/>
              <w:rPr>
                <w:sz w:val="20"/>
                <w:szCs w:val="20"/>
                <w:color w:val="auto"/>
              </w:rPr>
            </w:pPr>
            <w:r>
              <w:rPr>
                <w:rFonts w:ascii="Arial" w:cs="Arial" w:eastAsia="Arial" w:hAnsi="Arial"/>
                <w:sz w:val="13"/>
                <w:szCs w:val="13"/>
                <w:b w:val="1"/>
                <w:bCs w:val="1"/>
                <w:color w:val="auto"/>
              </w:rPr>
              <w:t>2006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820" w:type="dxa"/>
            <w:vAlign w:val="bottom"/>
            <w:gridSpan w:val="2"/>
            <w:shd w:val="clear" w:color="auto" w:fill="CCEEFF"/>
          </w:tcPr>
          <w:p>
            <w:pPr>
              <w:ind w:left="400"/>
              <w:spacing w:after="0" w:line="137" w:lineRule="exact"/>
              <w:rPr>
                <w:sz w:val="20"/>
                <w:szCs w:val="20"/>
                <w:color w:val="auto"/>
              </w:rPr>
            </w:pPr>
            <w:r>
              <w:rPr>
                <w:rFonts w:ascii="Arial" w:cs="Arial" w:eastAsia="Arial" w:hAnsi="Arial"/>
                <w:sz w:val="13"/>
                <w:szCs w:val="13"/>
                <w:color w:val="auto"/>
              </w:rPr>
              <w:t>M&amp;A and Strategic Advisory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714,059</w:t>
            </w:r>
          </w:p>
        </w:tc>
        <w:tc>
          <w:tcPr>
            <w:tcW w:w="26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526,225</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814,660</w:t>
            </w:r>
          </w:p>
        </w:tc>
        <w:tc>
          <w:tcPr>
            <w:tcW w:w="26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80"/>
              <w:spacing w:after="0" w:line="137" w:lineRule="exact"/>
              <w:rPr>
                <w:sz w:val="20"/>
                <w:szCs w:val="20"/>
                <w:color w:val="auto"/>
              </w:rPr>
            </w:pPr>
            <w:r>
              <w:rPr>
                <w:rFonts w:ascii="Arial" w:cs="Arial" w:eastAsia="Arial" w:hAnsi="Arial"/>
                <w:sz w:val="13"/>
                <w:szCs w:val="13"/>
                <w:color w:val="auto"/>
              </w:rPr>
              <w:t>969,409</w:t>
            </w:r>
          </w:p>
        </w:tc>
        <w:tc>
          <w:tcPr>
            <w:tcW w:w="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792,537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tcPr>
          <w:p>
            <w:pPr>
              <w:ind w:left="400"/>
              <w:spacing w:after="0" w:line="144" w:lineRule="exact"/>
              <w:rPr>
                <w:sz w:val="20"/>
                <w:szCs w:val="20"/>
                <w:color w:val="auto"/>
              </w:rPr>
            </w:pPr>
            <w:r>
              <w:rPr>
                <w:rFonts w:ascii="Arial" w:cs="Arial" w:eastAsia="Arial" w:hAnsi="Arial"/>
                <w:sz w:val="13"/>
                <w:szCs w:val="13"/>
                <w:color w:val="auto"/>
              </w:rPr>
              <w:t>Restructuring</w:t>
            </w: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293,875</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376,710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95"/>
              <w:spacing w:after="0" w:line="144" w:lineRule="exact"/>
              <w:rPr>
                <w:sz w:val="20"/>
                <w:szCs w:val="20"/>
                <w:color w:val="auto"/>
              </w:rPr>
            </w:pPr>
            <w:r>
              <w:rPr>
                <w:rFonts w:ascii="Arial" w:cs="Arial" w:eastAsia="Arial" w:hAnsi="Arial"/>
                <w:sz w:val="13"/>
                <w:szCs w:val="13"/>
                <w:color w:val="auto"/>
              </w:rPr>
              <w:t>119,283</w:t>
            </w:r>
          </w:p>
        </w:tc>
        <w:tc>
          <w:tcPr>
            <w:tcW w:w="300" w:type="dxa"/>
            <w:vAlign w:val="bottom"/>
          </w:tcPr>
          <w:p>
            <w:pPr>
              <w:spacing w:after="0"/>
              <w:rPr>
                <w:sz w:val="12"/>
                <w:szCs w:val="12"/>
                <w:color w:val="auto"/>
              </w:rPr>
            </w:pPr>
          </w:p>
        </w:tc>
        <w:tc>
          <w:tcPr>
            <w:tcW w:w="1140" w:type="dxa"/>
            <w:vAlign w:val="bottom"/>
            <w:gridSpan w:val="2"/>
          </w:tcPr>
          <w:p>
            <w:pPr>
              <w:jc w:val="right"/>
              <w:ind w:right="480"/>
              <w:spacing w:after="0" w:line="144" w:lineRule="exact"/>
              <w:rPr>
                <w:sz w:val="20"/>
                <w:szCs w:val="20"/>
                <w:color w:val="auto"/>
              </w:rPr>
            </w:pPr>
            <w:r>
              <w:rPr>
                <w:rFonts w:ascii="Arial" w:cs="Arial" w:eastAsia="Arial" w:hAnsi="Arial"/>
                <w:sz w:val="13"/>
                <w:szCs w:val="13"/>
                <w:color w:val="auto"/>
              </w:rPr>
              <w:t>127,175</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70,625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ind w:left="400"/>
              <w:spacing w:after="0" w:line="144" w:lineRule="exact"/>
              <w:rPr>
                <w:sz w:val="20"/>
                <w:szCs w:val="20"/>
                <w:color w:val="auto"/>
              </w:rPr>
            </w:pPr>
            <w:r>
              <w:rPr>
                <w:rFonts w:ascii="Arial" w:cs="Arial" w:eastAsia="Arial" w:hAnsi="Arial"/>
                <w:sz w:val="13"/>
                <w:szCs w:val="13"/>
                <w:color w:val="auto"/>
              </w:rPr>
              <w:t>Capital Markets and Other Advisory</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111,933</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83,885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88,970</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143,593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110,175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80" w:type="dxa"/>
            <w:vAlign w:val="bottom"/>
            <w:vMerge w:val="restart"/>
          </w:tcPr>
          <w:p>
            <w:pPr>
              <w:ind w:left="280"/>
              <w:spacing w:after="0"/>
              <w:rPr>
                <w:sz w:val="20"/>
                <w:szCs w:val="20"/>
                <w:color w:val="auto"/>
              </w:rPr>
            </w:pPr>
            <w:r>
              <w:rPr>
                <w:rFonts w:ascii="Arial" w:cs="Arial" w:eastAsia="Arial" w:hAnsi="Arial"/>
                <w:sz w:val="13"/>
                <w:szCs w:val="13"/>
                <w:color w:val="auto"/>
              </w:rPr>
              <w:t>Financial Advisory Net Revenue</w:t>
            </w: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1,119,867</w:t>
            </w: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986,820</w:t>
            </w:r>
          </w:p>
        </w:tc>
        <w:tc>
          <w:tcPr>
            <w:tcW w:w="5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1,022,913</w:t>
            </w: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3"/>
                <w:szCs w:val="13"/>
                <w:color w:val="auto"/>
              </w:rPr>
              <w:t>1,240,177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973,337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3"/>
                <w:szCs w:val="13"/>
                <w:color w:val="auto"/>
              </w:rPr>
              <w:t>(b)  Asset Management net revenue consists of the following:</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3"/>
                <w:szCs w:val="13"/>
                <w:b w:val="1"/>
                <w:bCs w:val="1"/>
                <w:color w:val="auto"/>
                <w:w w:val="91"/>
              </w:rPr>
              <w:t>For The Year Ended December 31,</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3"/>
                <w:szCs w:val="13"/>
                <w:b w:val="1"/>
                <w:bCs w:val="1"/>
                <w:color w:val="auto"/>
              </w:rPr>
              <w:t>2010</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jc w:val="right"/>
              <w:ind w:right="155"/>
              <w:spacing w:after="0" w:line="137" w:lineRule="exact"/>
              <w:rPr>
                <w:sz w:val="20"/>
                <w:szCs w:val="20"/>
                <w:color w:val="auto"/>
              </w:rPr>
            </w:pPr>
            <w:r>
              <w:rPr>
                <w:rFonts w:ascii="Arial" w:cs="Arial" w:eastAsia="Arial" w:hAnsi="Arial"/>
                <w:sz w:val="13"/>
                <w:szCs w:val="13"/>
                <w:b w:val="1"/>
                <w:bCs w:val="1"/>
                <w:color w:val="auto"/>
              </w:rPr>
              <w:t>2009</w:t>
            </w: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5"/>
              <w:spacing w:after="0" w:line="137" w:lineRule="exact"/>
              <w:rPr>
                <w:sz w:val="20"/>
                <w:szCs w:val="20"/>
                <w:color w:val="auto"/>
              </w:rPr>
            </w:pPr>
            <w:r>
              <w:rPr>
                <w:rFonts w:ascii="Arial" w:cs="Arial" w:eastAsia="Arial" w:hAnsi="Arial"/>
                <w:sz w:val="13"/>
                <w:szCs w:val="13"/>
                <w:b w:val="1"/>
                <w:bCs w:val="1"/>
                <w:color w:val="auto"/>
                <w:w w:val="89"/>
              </w:rPr>
              <w:t>2008</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3"/>
                <w:szCs w:val="13"/>
                <w:b w:val="1"/>
                <w:bCs w:val="1"/>
                <w:color w:val="auto"/>
              </w:rPr>
              <w:t>2007</w:t>
            </w: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5"/>
              <w:spacing w:after="0" w:line="137" w:lineRule="exact"/>
              <w:rPr>
                <w:sz w:val="20"/>
                <w:szCs w:val="20"/>
                <w:color w:val="auto"/>
              </w:rPr>
            </w:pPr>
            <w:r>
              <w:rPr>
                <w:rFonts w:ascii="Arial" w:cs="Arial" w:eastAsia="Arial" w:hAnsi="Arial"/>
                <w:sz w:val="13"/>
                <w:szCs w:val="13"/>
                <w:b w:val="1"/>
                <w:bCs w:val="1"/>
                <w:color w:val="auto"/>
              </w:rPr>
              <w:t>2006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820" w:type="dxa"/>
            <w:vAlign w:val="bottom"/>
            <w:gridSpan w:val="2"/>
            <w:shd w:val="clear" w:color="auto" w:fill="CCEEFF"/>
          </w:tcPr>
          <w:p>
            <w:pPr>
              <w:ind w:left="400"/>
              <w:spacing w:after="0" w:line="137" w:lineRule="exact"/>
              <w:rPr>
                <w:sz w:val="20"/>
                <w:szCs w:val="20"/>
                <w:color w:val="auto"/>
              </w:rPr>
            </w:pPr>
            <w:r>
              <w:rPr>
                <w:rFonts w:ascii="Arial" w:cs="Arial" w:eastAsia="Arial" w:hAnsi="Arial"/>
                <w:sz w:val="13"/>
                <w:szCs w:val="13"/>
                <w:color w:val="auto"/>
              </w:rPr>
              <w:t>Management Fees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715,885</w:t>
            </w:r>
          </w:p>
        </w:tc>
        <w:tc>
          <w:tcPr>
            <w:tcW w:w="26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486,810</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568,436</w:t>
            </w:r>
          </w:p>
        </w:tc>
        <w:tc>
          <w:tcPr>
            <w:tcW w:w="26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80"/>
              <w:spacing w:after="0" w:line="137" w:lineRule="exact"/>
              <w:rPr>
                <w:sz w:val="20"/>
                <w:szCs w:val="20"/>
                <w:color w:val="auto"/>
              </w:rPr>
            </w:pPr>
            <w:r>
              <w:rPr>
                <w:rFonts w:ascii="Arial" w:cs="Arial" w:eastAsia="Arial" w:hAnsi="Arial"/>
                <w:sz w:val="13"/>
                <w:szCs w:val="13"/>
                <w:color w:val="auto"/>
              </w:rPr>
              <w:t>595,725</w:t>
            </w:r>
          </w:p>
        </w:tc>
        <w:tc>
          <w:tcPr>
            <w:tcW w:w="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450,323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tcPr>
          <w:p>
            <w:pPr>
              <w:ind w:left="400"/>
              <w:spacing w:after="0" w:line="144" w:lineRule="exact"/>
              <w:rPr>
                <w:sz w:val="20"/>
                <w:szCs w:val="20"/>
                <w:color w:val="auto"/>
              </w:rPr>
            </w:pPr>
            <w:r>
              <w:rPr>
                <w:rFonts w:ascii="Arial" w:cs="Arial" w:eastAsia="Arial" w:hAnsi="Arial"/>
                <w:sz w:val="13"/>
                <w:szCs w:val="13"/>
                <w:color w:val="auto"/>
              </w:rPr>
              <w:t>Incentive Fees</w:t>
            </w: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86,298</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74,795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34,961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480"/>
              <w:spacing w:after="0" w:line="144" w:lineRule="exact"/>
              <w:rPr>
                <w:sz w:val="20"/>
                <w:szCs w:val="20"/>
                <w:color w:val="auto"/>
              </w:rPr>
            </w:pPr>
            <w:r>
              <w:rPr>
                <w:rFonts w:ascii="Arial" w:cs="Arial" w:eastAsia="Arial" w:hAnsi="Arial"/>
                <w:sz w:val="13"/>
                <w:szCs w:val="13"/>
                <w:color w:val="auto"/>
              </w:rPr>
              <w:t>67,032</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59,371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ind w:left="400"/>
              <w:spacing w:after="0" w:line="144" w:lineRule="exact"/>
              <w:rPr>
                <w:sz w:val="20"/>
                <w:szCs w:val="20"/>
                <w:color w:val="auto"/>
              </w:rPr>
            </w:pPr>
            <w:r>
              <w:rPr>
                <w:rFonts w:ascii="Arial" w:cs="Arial" w:eastAsia="Arial" w:hAnsi="Arial"/>
                <w:sz w:val="13"/>
                <w:szCs w:val="13"/>
                <w:color w:val="auto"/>
              </w:rPr>
              <w:t>Other Income</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47,479</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40,047</w:t>
            </w: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11,384</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61,994</w:t>
            </w:r>
          </w:p>
        </w:tc>
        <w:tc>
          <w:tcPr>
            <w:tcW w:w="4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43,518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Pr>
          <w:p>
            <w:pPr>
              <w:ind w:left="280"/>
              <w:spacing w:after="0"/>
              <w:rPr>
                <w:sz w:val="20"/>
                <w:szCs w:val="20"/>
                <w:color w:val="auto"/>
              </w:rPr>
            </w:pPr>
            <w:r>
              <w:rPr>
                <w:rFonts w:ascii="Arial" w:cs="Arial" w:eastAsia="Arial" w:hAnsi="Arial"/>
                <w:sz w:val="13"/>
                <w:szCs w:val="13"/>
                <w:color w:val="auto"/>
              </w:rPr>
              <w:t>Asset Management Net Revenue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849,662</w:t>
            </w: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601,652</w:t>
            </w:r>
          </w:p>
        </w:tc>
        <w:tc>
          <w:tcPr>
            <w:tcW w:w="5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614,781</w:t>
            </w: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3"/>
                <w:szCs w:val="13"/>
                <w:color w:val="auto"/>
              </w:rPr>
              <w:t>724,751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553,212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340" w:right="380" w:hanging="336"/>
        <w:spacing w:after="0" w:line="238" w:lineRule="auto"/>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“Corporate” includes interest expense (net of interest income), investment income (losses) from certain investments and net revenue earned by LFB through its money market desk and commercial banking operations, as well as any gains or losses from the extinguishment of debt.</w:t>
      </w:r>
    </w:p>
    <w:p>
      <w:pPr>
        <w:ind w:left="340" w:right="40" w:hanging="336"/>
        <w:spacing w:after="0" w:line="249"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(i) in 2010, $24,860 relating to the acceleration of amortization expense pertaining to the amendment of Lazard’s retirement policy with respect to RSU awards; (ii) in 2009, charges of $86,514 related to the acceleration of amortization expense relating to the vesting of RSUs held by Lazard’s former Chairman and Chief Executive Officer as the result of his death in October 2009 and $60,512 related to the accelerated vesting of the then unamortized portion of previously awarded deferred cash incentive awards; and (iii) in 2008, $197,550 relating to the compensation portion of the LAM Merger charge.</w:t>
      </w:r>
    </w:p>
    <w:p>
      <w:pPr>
        <w:spacing w:after="0" w:line="1" w:lineRule="exact"/>
        <w:rPr>
          <w:rFonts w:ascii="Arial" w:cs="Arial" w:eastAsia="Arial" w:hAnsi="Arial"/>
          <w:sz w:val="12"/>
          <w:szCs w:val="12"/>
          <w:color w:val="auto"/>
        </w:rPr>
      </w:pPr>
    </w:p>
    <w:p>
      <w:pPr>
        <w:ind w:left="340" w:right="480" w:hanging="336"/>
        <w:spacing w:after="0" w:line="230" w:lineRule="auto"/>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(i) in 2010, restructuring expense of $87,108 related to the restructuring plan announced in the first quarter of 2010; (ii) in 2009, restructuring expense of $62,550 related to the restructuring plan announced in the first quarter of 2009; and (iii) in 2008, $2,000 of non-compensation-related transaction costs relating to the LAM Merger.</w:t>
      </w:r>
    </w:p>
    <w:p>
      <w:pPr>
        <w:ind w:left="340" w:hanging="336"/>
        <w:spacing w:after="0"/>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the aggregate amount reflected in the Company’s consolidated statements of financial condition relating to senior debt, capital lease obligations and subordinated debt.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8"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i w:val="1"/>
          <w:iCs w:val="1"/>
          <w:color w:val="auto"/>
        </w:rPr>
        <w:t>The following discussion should be read in conjunction with Lazard Ltd’s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Form 10-K.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principal sources of revenue are derived from activities in the following business segments:</w:t>
      </w:r>
    </w:p>
    <w:p>
      <w:pPr>
        <w:spacing w:after="0" w:line="79" w:lineRule="exact"/>
        <w:rPr>
          <w:sz w:val="20"/>
          <w:szCs w:val="20"/>
          <w:color w:val="auto"/>
        </w:rPr>
      </w:pPr>
    </w:p>
    <w:p>
      <w:pPr>
        <w:ind w:left="780" w:right="280" w:hanging="319"/>
        <w:spacing w:after="0" w:line="280"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26" w:lineRule="exact"/>
        <w:rPr>
          <w:rFonts w:ascii="Arial" w:cs="Arial" w:eastAsia="Arial" w:hAnsi="Arial"/>
          <w:sz w:val="17"/>
          <w:szCs w:val="17"/>
          <w:color w:val="auto"/>
        </w:rPr>
      </w:pPr>
    </w:p>
    <w:p>
      <w:pPr>
        <w:ind w:left="780" w:right="20" w:hanging="319"/>
        <w:spacing w:after="0" w:line="280"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Asset Management, which includes strategies for the management of equity and fixed income securities and alternative investment and private equity funds, as well as wealth management.</w:t>
      </w:r>
    </w:p>
    <w:p>
      <w:pPr>
        <w:spacing w:after="0" w:line="105" w:lineRule="exact"/>
        <w:rPr>
          <w:sz w:val="20"/>
          <w:szCs w:val="20"/>
          <w:color w:val="auto"/>
        </w:rPr>
      </w:pPr>
    </w:p>
    <w:p>
      <w:pPr>
        <w:ind w:right="180" w:firstLine="457"/>
        <w:spacing w:after="0" w:line="349" w:lineRule="auto"/>
        <w:rPr>
          <w:sz w:val="20"/>
          <w:szCs w:val="20"/>
          <w:color w:val="auto"/>
        </w:rPr>
      </w:pPr>
      <w:r>
        <w:rPr>
          <w:rFonts w:ascii="Arial" w:cs="Arial" w:eastAsia="Arial" w:hAnsi="Arial"/>
          <w:sz w:val="15"/>
          <w:szCs w:val="15"/>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60" w:lineRule="exact"/>
        <w:rPr>
          <w:sz w:val="20"/>
          <w:szCs w:val="20"/>
          <w:color w:val="auto"/>
        </w:rPr>
      </w:pPr>
    </w:p>
    <w:p>
      <w:pPr>
        <w:ind w:right="20" w:firstLine="457"/>
        <w:spacing w:after="0" w:line="320" w:lineRule="auto"/>
        <w:rPr>
          <w:sz w:val="20"/>
          <w:szCs w:val="20"/>
          <w:color w:val="auto"/>
        </w:rPr>
      </w:pPr>
      <w:r>
        <w:rPr>
          <w:rFonts w:ascii="Arial" w:cs="Arial" w:eastAsia="Arial" w:hAnsi="Arial"/>
          <w:sz w:val="15"/>
          <w:szCs w:val="15"/>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80" w:lineRule="exact"/>
        <w:rPr>
          <w:sz w:val="20"/>
          <w:szCs w:val="20"/>
          <w:color w:val="auto"/>
        </w:rPr>
      </w:pPr>
    </w:p>
    <w:p>
      <w:pPr>
        <w:ind w:right="300" w:firstLine="457"/>
        <w:spacing w:after="0" w:line="292" w:lineRule="auto"/>
        <w:rPr>
          <w:sz w:val="20"/>
          <w:szCs w:val="20"/>
          <w:color w:val="auto"/>
        </w:rPr>
      </w:pPr>
      <w:r>
        <w:rPr>
          <w:rFonts w:ascii="Arial" w:cs="Arial" w:eastAsia="Arial" w:hAnsi="Arial"/>
          <w:sz w:val="16"/>
          <w:szCs w:val="16"/>
          <w:color w:val="auto"/>
        </w:rPr>
        <w:t>On September 25, 2008, pursuant to a definitive merger agreement dated August 14, 2008, the Company, Lazard Asset Management LLC (together with its subsidiaries, “LAM”) and LAZ Sub I, LLC, a newly formed subsidiary of Lazard Frères &amp; Co. LLC (“LFNY”), completed the merger of LAZ Sub I, LLC with and into LAM (the “LAM Merger”). See Note 8 of Notes to Consolidated Financial Statements for additional information relating to the LAM Merger.</w:t>
      </w:r>
    </w:p>
    <w:p>
      <w:pPr>
        <w:spacing w:after="0" w:line="98" w:lineRule="exact"/>
        <w:rPr>
          <w:sz w:val="20"/>
          <w:szCs w:val="20"/>
          <w:color w:val="auto"/>
        </w:rPr>
      </w:pPr>
    </w:p>
    <w:p>
      <w:pPr>
        <w:ind w:right="40" w:firstLine="457"/>
        <w:spacing w:after="0" w:line="296" w:lineRule="auto"/>
        <w:rPr>
          <w:sz w:val="20"/>
          <w:szCs w:val="20"/>
          <w:color w:val="auto"/>
        </w:rPr>
      </w:pPr>
      <w:r>
        <w:rPr>
          <w:rFonts w:ascii="Arial" w:cs="Arial" w:eastAsia="Arial" w:hAnsi="Arial"/>
          <w:sz w:val="15"/>
          <w:szCs w:val="15"/>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 investment activities, except for Fonds Partenaires Gestion SA (“FPG”), our private equity business in France. Such activities transferred to LFCM Holdings represented the alternative investment activities of Lazard Alternative Investments Holdings LLC (“LAI”) and included private equity investments of Corporate Partners II Limited (“CP II”) and Lazard Senior Housing Partners LP (“Senior Housing”). We also transferred to LFCM Holdings certain principal investments by Lazard Group in the funds managed by the separated businesses, subject to certain options by us to reacquire such investments, while we retained our investment in our French private equity funds. CP II was managed by a subsidiary of LAI until February 16, 2009. Effective February 17, 2009, ownership and control of CP II was transferred to the investment professionals who manage CP II. Since 2005, consistent with our obligations to LFCM Holdings, we have engaged in a number of alternative investments and private equity activities. Effective September 30, 2009, the Company sold FPG, the effect of which did not have a material impact on our financial condition or results of operations. Operating results of FPG were included in our consolidated financial statements through the effective date of sale. See Note 21 of Notes to Consolidated Financial Statements for additional information regarding alternative investments.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48"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100" w:firstLine="457"/>
        <w:spacing w:after="0" w:line="279" w:lineRule="auto"/>
        <w:rPr>
          <w:sz w:val="20"/>
          <w:szCs w:val="20"/>
          <w:color w:val="auto"/>
        </w:rPr>
      </w:pPr>
      <w:r>
        <w:rPr>
          <w:rFonts w:ascii="Arial" w:cs="Arial" w:eastAsia="Arial" w:hAnsi="Arial"/>
          <w:sz w:val="16"/>
          <w:szCs w:val="16"/>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9 of Notes to Consolidated Financial Statements). Also, consistent with our obligations to LFCM Holdings, we may explore discrete capital markets opportunities.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consolidated net revenue was derived from the following segments: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3"/>
                <w:szCs w:val="13"/>
                <w:b w:val="1"/>
                <w:bCs w:val="1"/>
                <w:color w:val="auto"/>
              </w:rPr>
              <w:t>Year Ended December 31</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520" w:type="dxa"/>
            <w:vAlign w:val="bottom"/>
            <w:tcBorders>
              <w:bottom w:val="single" w:sz="8" w:color="auto"/>
            </w:tcBorders>
          </w:tcPr>
          <w:p>
            <w:pPr>
              <w:jc w:val="right"/>
              <w:ind w:right="39"/>
              <w:spacing w:after="0" w:line="137" w:lineRule="exact"/>
              <w:rPr>
                <w:sz w:val="20"/>
                <w:szCs w:val="20"/>
                <w:color w:val="auto"/>
              </w:rPr>
            </w:pPr>
            <w:r>
              <w:rPr>
                <w:rFonts w:ascii="Arial" w:cs="Arial" w:eastAsia="Arial" w:hAnsi="Arial"/>
                <w:sz w:val="13"/>
                <w:szCs w:val="13"/>
                <w:b w:val="1"/>
                <w:bCs w:val="1"/>
                <w:color w:val="auto"/>
              </w:rPr>
              <w:t>2010</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Borders>
              <w:bottom w:val="single" w:sz="8" w:color="auto"/>
            </w:tcBorders>
          </w:tcPr>
          <w:p>
            <w:pPr>
              <w:jc w:val="right"/>
              <w:ind w:right="55"/>
              <w:spacing w:after="0" w:line="137" w:lineRule="exact"/>
              <w:rPr>
                <w:sz w:val="20"/>
                <w:szCs w:val="20"/>
                <w:color w:val="auto"/>
              </w:rPr>
            </w:pPr>
            <w:r>
              <w:rPr>
                <w:rFonts w:ascii="Arial" w:cs="Arial" w:eastAsia="Arial" w:hAnsi="Arial"/>
                <w:sz w:val="13"/>
                <w:szCs w:val="13"/>
                <w:b w:val="1"/>
                <w:bCs w:val="1"/>
                <w:color w:val="auto"/>
              </w:rPr>
              <w:t>2009</w:t>
            </w:r>
          </w:p>
        </w:tc>
        <w:tc>
          <w:tcPr>
            <w:tcW w:w="1240" w:type="dxa"/>
            <w:vAlign w:val="bottom"/>
          </w:tcPr>
          <w:p>
            <w:pPr>
              <w:spacing w:after="0"/>
              <w:rPr>
                <w:sz w:val="11"/>
                <w:szCs w:val="11"/>
                <w:color w:val="auto"/>
              </w:rPr>
            </w:pPr>
          </w:p>
        </w:tc>
        <w:tc>
          <w:tcPr>
            <w:tcW w:w="520" w:type="dxa"/>
            <w:vAlign w:val="bottom"/>
            <w:tcBorders>
              <w:bottom w:val="single" w:sz="8" w:color="auto"/>
            </w:tcBorders>
          </w:tcPr>
          <w:p>
            <w:pPr>
              <w:jc w:val="right"/>
              <w:ind w:right="39"/>
              <w:spacing w:after="0" w:line="137"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Financial Advisory</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59%</w:t>
            </w:r>
          </w:p>
        </w:tc>
        <w:tc>
          <w:tcPr>
            <w:tcW w:w="2520" w:type="dxa"/>
            <w:vAlign w:val="bottom"/>
            <w:gridSpan w:val="3"/>
            <w:shd w:val="clear" w:color="auto" w:fill="CCEEFF"/>
          </w:tcPr>
          <w:p>
            <w:pPr>
              <w:jc w:val="right"/>
              <w:ind w:right="1100"/>
              <w:spacing w:after="0"/>
              <w:rPr>
                <w:sz w:val="20"/>
                <w:szCs w:val="20"/>
                <w:color w:val="auto"/>
              </w:rPr>
            </w:pPr>
            <w:r>
              <w:rPr>
                <w:rFonts w:ascii="Arial" w:cs="Arial" w:eastAsia="Arial" w:hAnsi="Arial"/>
                <w:sz w:val="17"/>
                <w:szCs w:val="17"/>
                <w:color w:val="auto"/>
              </w:rPr>
              <w:t>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9"/>
        </w:trPr>
        <w:tc>
          <w:tcPr>
            <w:tcW w:w="7180" w:type="dxa"/>
            <w:vAlign w:val="bottom"/>
          </w:tcPr>
          <w:p>
            <w:pPr>
              <w:spacing w:after="0"/>
              <w:rPr>
                <w:sz w:val="20"/>
                <w:szCs w:val="20"/>
                <w:color w:val="auto"/>
              </w:rPr>
            </w:pPr>
            <w:r>
              <w:rPr>
                <w:rFonts w:ascii="Arial" w:cs="Arial" w:eastAsia="Arial" w:hAnsi="Arial"/>
                <w:sz w:val="17"/>
                <w:szCs w:val="17"/>
                <w:color w:val="auto"/>
              </w:rPr>
              <w:t>Asset Management</w:t>
            </w:r>
          </w:p>
        </w:tc>
        <w:tc>
          <w:tcPr>
            <w:tcW w:w="520" w:type="dxa"/>
            <w:vAlign w:val="bottom"/>
          </w:tcPr>
          <w:p>
            <w:pPr>
              <w:jc w:val="right"/>
              <w:spacing w:after="0"/>
              <w:rPr>
                <w:sz w:val="20"/>
                <w:szCs w:val="20"/>
                <w:color w:val="auto"/>
              </w:rPr>
            </w:pPr>
            <w:r>
              <w:rPr>
                <w:rFonts w:ascii="Arial" w:cs="Arial" w:eastAsia="Arial" w:hAnsi="Arial"/>
                <w:sz w:val="17"/>
                <w:szCs w:val="17"/>
                <w:color w:val="auto"/>
              </w:rPr>
              <w:t>45</w:t>
            </w:r>
          </w:p>
        </w:tc>
        <w:tc>
          <w:tcPr>
            <w:tcW w:w="4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Corporate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w:t>
            </w:r>
          </w:p>
        </w:tc>
        <w:tc>
          <w:tcPr>
            <w:tcW w:w="2520" w:type="dxa"/>
            <w:vAlign w:val="bottom"/>
            <w:gridSpan w:val="3"/>
            <w:shd w:val="clear" w:color="auto" w:fill="CCEEFF"/>
          </w:tcPr>
          <w:p>
            <w:pPr>
              <w:jc w:val="right"/>
              <w:ind w:right="1180"/>
              <w:spacing w:after="0"/>
              <w:rPr>
                <w:sz w:val="20"/>
                <w:szCs w:val="20"/>
                <w:color w:val="auto"/>
              </w:rPr>
            </w:pPr>
            <w:r>
              <w:rPr>
                <w:rFonts w:ascii="Arial" w:cs="Arial" w:eastAsia="Arial" w:hAnsi="Arial"/>
                <w:sz w:val="17"/>
                <w:szCs w:val="17"/>
                <w:color w:val="auto"/>
              </w:rPr>
              <w:t>(4)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180" w:type="dxa"/>
            <w:vAlign w:val="bottom"/>
            <w:vMerge w:val="continue"/>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100%</w:t>
            </w:r>
          </w:p>
        </w:tc>
        <w:tc>
          <w:tcPr>
            <w:tcW w:w="2520" w:type="dxa"/>
            <w:vAlign w:val="bottom"/>
            <w:gridSpan w:val="3"/>
          </w:tcPr>
          <w:p>
            <w:pPr>
              <w:jc w:val="right"/>
              <w:ind w:right="1100"/>
              <w:spacing w:after="0"/>
              <w:rPr>
                <w:sz w:val="20"/>
                <w:szCs w:val="20"/>
                <w:color w:val="auto"/>
              </w:rPr>
            </w:pPr>
            <w:r>
              <w:rPr>
                <w:rFonts w:ascii="Arial" w:cs="Arial" w:eastAsia="Arial" w:hAnsi="Arial"/>
                <w:sz w:val="17"/>
                <w:szCs w:val="17"/>
                <w:color w:val="auto"/>
              </w:rPr>
              <w:t>100%</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Environment</w:t>
      </w:r>
    </w:p>
    <w:p>
      <w:pPr>
        <w:spacing w:after="0" w:line="83" w:lineRule="exact"/>
        <w:rPr>
          <w:sz w:val="20"/>
          <w:szCs w:val="20"/>
          <w:color w:val="auto"/>
        </w:rPr>
      </w:pPr>
    </w:p>
    <w:p>
      <w:pPr>
        <w:ind w:right="240" w:firstLine="457"/>
        <w:spacing w:after="0" w:line="282"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the Company’s principal sources of revenue are derived from activities in our Financial Advisory and Asset Management business segments. As our Financial Advisory revenues are for the most part dependent on the successful completion of merger, acquisition, restructuring or similar transactions, and our Asset Management revenues are primarily driven by the levels of assets under management (“AUM”), weak economic and global financial market conditions, particularly in 2008 and 2009, led to a challenging business environment for M&amp;A and fundraising activity, but opportunities for our restructuring business, which tends to be counter-cyclical.</w:t>
      </w:r>
    </w:p>
    <w:p>
      <w:pPr>
        <w:spacing w:after="0" w:line="107"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However, in 2010, economic and market conditions in general in the U.S. and globally showed signs of an uneven recovery, with the respective equity markets generally experiencing double digit increases as compared to indicies at December 31, 2009. Overall, global markets in 2010 were also helped by government and central bank efforts to support government bond markets which, in turn, helped to lift corporate debt and equity markets. Significant volatility occurred during the second quarter due to fears of a debt crisis threatening certain European Union countries and banks, in addition to fears that the U.S. economy may enter into another recession driven by continued weaknesses in the job and housing sectors. The markets improved during the third and fourth quarters, driven in part in the U.S. by the Federal Reserve’s program of “quantitative easing” and the decision to extend the existing income tax rates. Also contributing to the recovery in 2010 were healthier credit markets, improved corporate earnings and continued low interest rates. These conditions continued to accelerate in the fourth quarter of 2010 and into early 2011. The improvement in the economic and market conditions in 2010 contributed to the improvement in our operating performance in both our Financial Advisory and Asset Management segments as compared to 2009.</w:t>
      </w:r>
    </w:p>
    <w:p>
      <w:pPr>
        <w:spacing w:after="0" w:line="112"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auto"/>
        </w:rPr>
        <w:t>During the past few years we have expanded our geographic reach and industry expertise. We believe that in this environment, companies, government bodies and investors will seek independent advice with a geographic perspective, deep understanding of capital structure, informed research and knowledge of global economic conditions, and that our business model as an independent, unconflicted adviser will continue to create opportunities for us to attract new clients and key personnel.</w:t>
      </w:r>
    </w:p>
    <w:p>
      <w:pPr>
        <w:spacing w:after="0" w:line="119" w:lineRule="exact"/>
        <w:rPr>
          <w:sz w:val="20"/>
          <w:szCs w:val="20"/>
          <w:color w:val="auto"/>
        </w:rPr>
      </w:pPr>
    </w:p>
    <w:p>
      <w:pPr>
        <w:ind w:right="560" w:firstLine="457"/>
        <w:spacing w:after="0" w:line="280" w:lineRule="auto"/>
        <w:rPr>
          <w:sz w:val="20"/>
          <w:szCs w:val="20"/>
          <w:color w:val="auto"/>
        </w:rPr>
      </w:pPr>
      <w:r>
        <w:rPr>
          <w:rFonts w:ascii="Arial" w:cs="Arial" w:eastAsia="Arial" w:hAnsi="Arial"/>
          <w:sz w:val="17"/>
          <w:szCs w:val="17"/>
          <w:color w:val="auto"/>
        </w:rPr>
        <w:t>Lazard operates in a very competitive and rapidly changing environment. New risks and uncertainties emerge from time to time, and it is not possible for Lazard’s management to predict all risks and uncertainties,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48"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this Form 10-K. Furthermore, net income and revenue in any period may not be indicative of full-year results or the results of any other period and may vary significantly from year to year and quarter to quarter.</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Financial Advisory</w:t>
      </w:r>
    </w:p>
    <w:p>
      <w:pPr>
        <w:spacing w:after="0" w:line="79" w:lineRule="exact"/>
        <w:rPr>
          <w:sz w:val="20"/>
          <w:szCs w:val="20"/>
          <w:color w:val="auto"/>
        </w:rPr>
      </w:pPr>
    </w:p>
    <w:p>
      <w:pPr>
        <w:ind w:right="20" w:firstLine="457"/>
        <w:spacing w:after="0" w:line="280" w:lineRule="auto"/>
        <w:rPr>
          <w:sz w:val="20"/>
          <w:szCs w:val="20"/>
          <w:color w:val="auto"/>
        </w:rPr>
      </w:pPr>
      <w:r>
        <w:rPr>
          <w:rFonts w:ascii="Arial" w:cs="Arial" w:eastAsia="Arial" w:hAnsi="Arial"/>
          <w:sz w:val="17"/>
          <w:szCs w:val="17"/>
          <w:color w:val="auto"/>
        </w:rPr>
        <w:t>Global and trans-atlantic completed and announced M&amp;A transactions for 2010 increased versus 2009, as shown in the following table, which sets forth industry statistics regarding the value and number of such transactions in such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5"/>
          </w:tcPr>
          <w:p>
            <w:pPr>
              <w:jc w:val="center"/>
              <w:ind w:right="800"/>
              <w:spacing w:after="0"/>
              <w:rPr>
                <w:sz w:val="20"/>
                <w:szCs w:val="20"/>
                <w:color w:val="auto"/>
              </w:rPr>
            </w:pPr>
            <w:r>
              <w:rPr>
                <w:rFonts w:ascii="Arial" w:cs="Arial" w:eastAsia="Arial" w:hAnsi="Arial"/>
                <w:sz w:val="13"/>
                <w:szCs w:val="13"/>
                <w:b w:val="1"/>
                <w:bCs w:val="1"/>
                <w:color w:val="auto"/>
                <w:w w:val="90"/>
              </w:rPr>
              <w:t>Year Ended December 31,</w:t>
            </w:r>
          </w:p>
        </w:tc>
        <w:tc>
          <w:tcPr>
            <w:tcW w:w="0" w:type="dxa"/>
            <w:vAlign w:val="bottom"/>
          </w:tcPr>
          <w:p>
            <w:pPr>
              <w:spacing w:after="0"/>
              <w:rPr>
                <w:sz w:val="1"/>
                <w:szCs w:val="1"/>
                <w:color w:val="auto"/>
              </w:rPr>
            </w:pPr>
          </w:p>
        </w:tc>
      </w:tr>
      <w:tr>
        <w:trPr>
          <w:trHeight w:val="124"/>
        </w:trPr>
        <w:tc>
          <w:tcPr>
            <w:tcW w:w="84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19"/>
              <w:spacing w:after="0" w:line="124"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40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jc w:val="right"/>
              <w:ind w:right="75"/>
              <w:spacing w:after="0"/>
              <w:rPr>
                <w:sz w:val="20"/>
                <w:szCs w:val="20"/>
                <w:color w:val="auto"/>
              </w:rPr>
            </w:pPr>
            <w:r>
              <w:rPr>
                <w:rFonts w:ascii="Arial" w:cs="Arial" w:eastAsia="Arial" w:hAnsi="Arial"/>
                <w:sz w:val="13"/>
                <w:szCs w:val="13"/>
                <w:b w:val="1"/>
                <w:bCs w:val="1"/>
                <w:color w:val="auto"/>
              </w:rPr>
              <w:t>2009</w:t>
            </w:r>
          </w:p>
        </w:tc>
        <w:tc>
          <w:tcPr>
            <w:tcW w:w="5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Incr / (Decr)</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 in billions)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Completed M&amp;A Transactions: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0" w:type="dxa"/>
            <w:vAlign w:val="bottom"/>
          </w:tcPr>
          <w:p>
            <w:pPr>
              <w:ind w:left="420"/>
              <w:spacing w:after="0"/>
              <w:rPr>
                <w:sz w:val="20"/>
                <w:szCs w:val="20"/>
                <w:color w:val="auto"/>
              </w:rPr>
            </w:pPr>
            <w:r>
              <w:rPr>
                <w:rFonts w:ascii="Arial" w:cs="Arial" w:eastAsia="Arial" w:hAnsi="Arial"/>
                <w:sz w:val="17"/>
                <w:szCs w:val="17"/>
                <w:color w:val="auto"/>
              </w:rPr>
              <w:t>Global:</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Value</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$1,820</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$1,806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9"/>
        </w:trPr>
        <w:tc>
          <w:tcPr>
            <w:tcW w:w="8400" w:type="dxa"/>
            <w:vAlign w:val="bottom"/>
          </w:tcPr>
          <w:p>
            <w:pPr>
              <w:ind w:left="840"/>
              <w:spacing w:after="0"/>
              <w:rPr>
                <w:sz w:val="20"/>
                <w:szCs w:val="20"/>
                <w:color w:val="auto"/>
              </w:rPr>
            </w:pPr>
            <w:r>
              <w:rPr>
                <w:rFonts w:ascii="Arial" w:cs="Arial" w:eastAsia="Arial" w:hAnsi="Arial"/>
                <w:sz w:val="17"/>
                <w:szCs w:val="17"/>
                <w:color w:val="auto"/>
              </w:rPr>
              <w:t>Number</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30,103</w:t>
            </w:r>
          </w:p>
        </w:tc>
        <w:tc>
          <w:tcPr>
            <w:tcW w:w="1480" w:type="dxa"/>
            <w:vAlign w:val="bottom"/>
            <w:gridSpan w:val="3"/>
          </w:tcPr>
          <w:p>
            <w:pPr>
              <w:jc w:val="right"/>
              <w:ind w:right="520"/>
              <w:spacing w:after="0"/>
              <w:rPr>
                <w:sz w:val="20"/>
                <w:szCs w:val="20"/>
                <w:color w:val="auto"/>
              </w:rPr>
            </w:pPr>
            <w:r>
              <w:rPr>
                <w:rFonts w:ascii="Arial" w:cs="Arial" w:eastAsia="Arial" w:hAnsi="Arial"/>
                <w:sz w:val="17"/>
                <w:szCs w:val="17"/>
                <w:color w:val="auto"/>
              </w:rPr>
              <w:t>29,858</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Trans-Atlantic:</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0" w:type="dxa"/>
            <w:vAlign w:val="bottom"/>
          </w:tcPr>
          <w:p>
            <w:pPr>
              <w:ind w:left="840"/>
              <w:spacing w:after="0"/>
              <w:rPr>
                <w:sz w:val="20"/>
                <w:szCs w:val="20"/>
                <w:color w:val="auto"/>
              </w:rPr>
            </w:pPr>
            <w:r>
              <w:rPr>
                <w:rFonts w:ascii="Arial" w:cs="Arial" w:eastAsia="Arial" w:hAnsi="Arial"/>
                <w:sz w:val="17"/>
                <w:szCs w:val="17"/>
                <w:color w:val="auto"/>
              </w:rPr>
              <w:t>Value</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  135</w:t>
            </w:r>
          </w:p>
        </w:tc>
        <w:tc>
          <w:tcPr>
            <w:tcW w:w="1480" w:type="dxa"/>
            <w:vAlign w:val="bottom"/>
            <w:gridSpan w:val="3"/>
          </w:tcPr>
          <w:p>
            <w:pPr>
              <w:jc w:val="right"/>
              <w:ind w:right="520"/>
              <w:spacing w:after="0"/>
              <w:rPr>
                <w:sz w:val="20"/>
                <w:szCs w:val="20"/>
                <w:color w:val="auto"/>
              </w:rPr>
            </w:pPr>
            <w:r>
              <w:rPr>
                <w:rFonts w:ascii="Arial" w:cs="Arial" w:eastAsia="Arial" w:hAnsi="Arial"/>
                <w:sz w:val="17"/>
                <w:szCs w:val="17"/>
                <w:color w:val="auto"/>
              </w:rPr>
              <w:t>$  123</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Number</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1,106</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928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9"/>
        </w:trPr>
        <w:tc>
          <w:tcPr>
            <w:tcW w:w="8400" w:type="dxa"/>
            <w:vAlign w:val="bottom"/>
          </w:tcPr>
          <w:p>
            <w:pPr>
              <w:spacing w:after="0"/>
              <w:rPr>
                <w:sz w:val="20"/>
                <w:szCs w:val="20"/>
                <w:color w:val="auto"/>
              </w:rPr>
            </w:pPr>
            <w:r>
              <w:rPr>
                <w:rFonts w:ascii="Arial" w:cs="Arial" w:eastAsia="Arial" w:hAnsi="Arial"/>
                <w:sz w:val="17"/>
                <w:szCs w:val="17"/>
                <w:b w:val="1"/>
                <w:bCs w:val="1"/>
                <w:color w:val="auto"/>
              </w:rPr>
              <w:t>Announced M&amp;A Transactions: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Global:</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0" w:type="dxa"/>
            <w:vAlign w:val="bottom"/>
          </w:tcPr>
          <w:p>
            <w:pPr>
              <w:ind w:left="840"/>
              <w:spacing w:after="0"/>
              <w:rPr>
                <w:sz w:val="20"/>
                <w:szCs w:val="20"/>
                <w:color w:val="auto"/>
              </w:rPr>
            </w:pPr>
            <w:r>
              <w:rPr>
                <w:rFonts w:ascii="Arial" w:cs="Arial" w:eastAsia="Arial" w:hAnsi="Arial"/>
                <w:sz w:val="17"/>
                <w:szCs w:val="17"/>
                <w:color w:val="auto"/>
              </w:rPr>
              <w:t>Value</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$2,317</w:t>
            </w:r>
          </w:p>
        </w:tc>
        <w:tc>
          <w:tcPr>
            <w:tcW w:w="1480" w:type="dxa"/>
            <w:vAlign w:val="bottom"/>
            <w:gridSpan w:val="3"/>
          </w:tcPr>
          <w:p>
            <w:pPr>
              <w:jc w:val="right"/>
              <w:ind w:right="520"/>
              <w:spacing w:after="0"/>
              <w:rPr>
                <w:sz w:val="20"/>
                <w:szCs w:val="20"/>
                <w:color w:val="auto"/>
              </w:rPr>
            </w:pPr>
            <w:r>
              <w:rPr>
                <w:rFonts w:ascii="Arial" w:cs="Arial" w:eastAsia="Arial" w:hAnsi="Arial"/>
                <w:sz w:val="17"/>
                <w:szCs w:val="17"/>
                <w:color w:val="auto"/>
              </w:rPr>
              <w:t>$1,909</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Number</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40,544</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39,241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9"/>
        </w:trPr>
        <w:tc>
          <w:tcPr>
            <w:tcW w:w="8400" w:type="dxa"/>
            <w:vAlign w:val="bottom"/>
          </w:tcPr>
          <w:p>
            <w:pPr>
              <w:ind w:left="420"/>
              <w:spacing w:after="0"/>
              <w:rPr>
                <w:sz w:val="20"/>
                <w:szCs w:val="20"/>
                <w:color w:val="auto"/>
              </w:rPr>
            </w:pPr>
            <w:r>
              <w:rPr>
                <w:rFonts w:ascii="Arial" w:cs="Arial" w:eastAsia="Arial" w:hAnsi="Arial"/>
                <w:sz w:val="17"/>
                <w:szCs w:val="17"/>
                <w:color w:val="auto"/>
              </w:rPr>
              <w:t>Trans-Atlantic:</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Value</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  198</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  133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5"/>
        </w:trPr>
        <w:tc>
          <w:tcPr>
            <w:tcW w:w="8400" w:type="dxa"/>
            <w:vAlign w:val="bottom"/>
          </w:tcPr>
          <w:p>
            <w:pPr>
              <w:ind w:left="840"/>
              <w:spacing w:after="0"/>
              <w:rPr>
                <w:sz w:val="20"/>
                <w:szCs w:val="20"/>
                <w:color w:val="auto"/>
              </w:rPr>
            </w:pPr>
            <w:r>
              <w:rPr>
                <w:rFonts w:ascii="Arial" w:cs="Arial" w:eastAsia="Arial" w:hAnsi="Arial"/>
                <w:sz w:val="17"/>
                <w:szCs w:val="17"/>
                <w:color w:val="auto"/>
              </w:rPr>
              <w:t>Number</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1,329</w:t>
            </w:r>
          </w:p>
        </w:tc>
        <w:tc>
          <w:tcPr>
            <w:tcW w:w="1480" w:type="dxa"/>
            <w:vAlign w:val="bottom"/>
            <w:gridSpan w:val="3"/>
          </w:tcPr>
          <w:p>
            <w:pPr>
              <w:jc w:val="right"/>
              <w:ind w:right="520"/>
              <w:spacing w:after="0"/>
              <w:rPr>
                <w:sz w:val="20"/>
                <w:szCs w:val="20"/>
                <w:color w:val="auto"/>
              </w:rPr>
            </w:pPr>
            <w:r>
              <w:rPr>
                <w:rFonts w:ascii="Arial" w:cs="Arial" w:eastAsia="Arial" w:hAnsi="Arial"/>
                <w:sz w:val="17"/>
                <w:szCs w:val="17"/>
                <w:color w:val="auto"/>
              </w:rPr>
              <w:t>1,121</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89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Source:Thomson Financial as of January 7, 2011</w:t>
      </w:r>
      <w:r>
        <w:rPr>
          <w:rFonts w:ascii="Arial" w:cs="Arial" w:eastAsia="Arial" w:hAnsi="Arial"/>
          <w:sz w:val="17"/>
          <w:szCs w:val="17"/>
          <w:color w:val="auto"/>
        </w:rPr>
        <w:t>.</w:t>
      </w:r>
    </w:p>
    <w:p>
      <w:pPr>
        <w:spacing w:after="0" w:line="157" w:lineRule="exact"/>
        <w:rPr>
          <w:sz w:val="20"/>
          <w:szCs w:val="20"/>
          <w:color w:val="auto"/>
        </w:rPr>
      </w:pPr>
    </w:p>
    <w:p>
      <w:pPr>
        <w:ind w:right="180" w:firstLine="457"/>
        <w:spacing w:after="0" w:line="280" w:lineRule="auto"/>
        <w:rPr>
          <w:sz w:val="20"/>
          <w:szCs w:val="20"/>
          <w:color w:val="auto"/>
        </w:rPr>
      </w:pPr>
      <w:r>
        <w:rPr>
          <w:rFonts w:ascii="Arial" w:cs="Arial" w:eastAsia="Arial" w:hAnsi="Arial"/>
          <w:sz w:val="17"/>
          <w:szCs w:val="17"/>
          <w:color w:val="auto"/>
        </w:rPr>
        <w:t>We continue to believe that we are relatively well positioned as our clients refinance, restructure and reposition their asset portfolios for growth. Overall M&amp;A statistics regarding the number and size of announced transactions increased significantly in 2010 as compared to 2009.</w:t>
      </w:r>
    </w:p>
    <w:p>
      <w:pPr>
        <w:spacing w:after="0" w:line="105" w:lineRule="exact"/>
        <w:rPr>
          <w:sz w:val="20"/>
          <w:szCs w:val="20"/>
          <w:color w:val="auto"/>
        </w:rPr>
      </w:pPr>
    </w:p>
    <w:p>
      <w:pPr>
        <w:ind w:right="240" w:firstLine="457"/>
        <w:spacing w:after="0" w:line="305" w:lineRule="auto"/>
        <w:rPr>
          <w:sz w:val="20"/>
          <w:szCs w:val="20"/>
          <w:color w:val="auto"/>
        </w:rPr>
      </w:pPr>
      <w:r>
        <w:rPr>
          <w:rFonts w:ascii="Arial" w:cs="Arial" w:eastAsia="Arial" w:hAnsi="Arial"/>
          <w:sz w:val="15"/>
          <w:szCs w:val="15"/>
          <w:color w:val="auto"/>
        </w:rPr>
        <w:t>Global restructuring activity during 2010 decreased from record levels in 2009 due to the decelerating pace of corporate debt defaults, partially resulting from the strengthening of the high yield and leveraged loan markets. According to Moody’s Investors Service, Inc., in 2010, a total of 59 issuers defaulted as compared to 266 in 2009. We believe that the number and value of corporate defaults in 2011 will be relatively flat compared to 2010, but due to our Restructuring assignments currently in progress, we expect that our Restructuring business will remain active, from advising companies during this period on matters relating to debt and financing restructuring and other on- and off-balance sheet assignments. Our Restructuring assignments are generally executed over a six- to twelve-month period.</w:t>
      </w:r>
    </w:p>
    <w:p>
      <w:pPr>
        <w:spacing w:after="0" w:line="92"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Our Private Fund Advisory Group, which is part of our Financial Advisory segment and is conducted in the U.S. through LFNY, an SEC-registered broker-dealer and municipal advisor and member of the Financial Industry Regulatory Authority (“FINRA”) and the Municipal Securities Rulemakers Board (the “MSRB”),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30, 2010,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48"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SEC approved a rule that, among other things, will prohibit investment advisors from paying a third-party placement agent for soliciting investment advisory business from a U.S. governmental entity, unless the placement agent is (i) an SEC-registered investment advisor or (ii) an SEC-registered broker-dealer that is a member of FINRA and thus subject to FINRA’s forthcoming “pay-to-play” rule. On November 19, 2010, the SEC released a proposed amendment to that rule that, if approved, will prohibit investment advisors from paying a third-party placement agent for soliciting investment advisory business from a U.S. governmental entity, unless the placement agent is a “municipal advisor” that is registered with the SEC under Section 15B of the Securities Exchange Act of 1934, as amended, and subject to the “pay-to-play” rules that will be adopted by the MSRB. We are continuing to evaluate the potential impact of state, local and other restrictions on our Private Fund Advisory business.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Asset Management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shown in the table below, major global market indices at December 31, 2010 increased in most markets as compared to such indices at December 31, 2009.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10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Percentage Change</w:t>
            </w:r>
          </w:p>
        </w:tc>
      </w:tr>
      <w:tr>
        <w:trPr>
          <w:trHeight w:val="144"/>
        </w:trPr>
        <w:tc>
          <w:tcPr>
            <w:tcW w:w="10100" w:type="dxa"/>
            <w:vAlign w:val="bottom"/>
          </w:tcPr>
          <w:p>
            <w:pPr>
              <w:spacing w:after="0"/>
              <w:rPr>
                <w:sz w:val="12"/>
                <w:szCs w:val="12"/>
                <w:color w:val="auto"/>
              </w:rPr>
            </w:pPr>
          </w:p>
        </w:tc>
        <w:tc>
          <w:tcPr>
            <w:tcW w:w="13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December 31,</w:t>
            </w:r>
          </w:p>
        </w:tc>
      </w:tr>
      <w:tr>
        <w:trPr>
          <w:trHeight w:val="156"/>
        </w:trPr>
        <w:tc>
          <w:tcPr>
            <w:tcW w:w="1010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2010 vs. 2009</w:t>
            </w:r>
          </w:p>
        </w:tc>
        <w:tc>
          <w:tcPr>
            <w:tcW w:w="240" w:type="dxa"/>
            <w:vAlign w:val="bottom"/>
          </w:tcPr>
          <w:p>
            <w:pPr>
              <w:spacing w:after="0"/>
              <w:rPr>
                <w:sz w:val="13"/>
                <w:szCs w:val="13"/>
                <w:color w:val="auto"/>
              </w:rPr>
            </w:pPr>
          </w:p>
        </w:tc>
      </w:tr>
      <w:tr>
        <w:trPr>
          <w:trHeight w:val="202"/>
        </w:trPr>
        <w:tc>
          <w:tcPr>
            <w:tcW w:w="10100" w:type="dxa"/>
            <w:vAlign w:val="bottom"/>
            <w:shd w:val="clear" w:color="auto" w:fill="CCEEFF"/>
          </w:tcPr>
          <w:p>
            <w:pPr>
              <w:spacing w:after="0"/>
              <w:rPr>
                <w:sz w:val="20"/>
                <w:szCs w:val="20"/>
                <w:color w:val="auto"/>
              </w:rPr>
            </w:pPr>
            <w:r>
              <w:rPr>
                <w:rFonts w:ascii="Arial" w:cs="Arial" w:eastAsia="Arial" w:hAnsi="Arial"/>
                <w:sz w:val="17"/>
                <w:szCs w:val="17"/>
                <w:color w:val="auto"/>
              </w:rPr>
              <w:t>MSCI World Index</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9"/>
        </w:trPr>
        <w:tc>
          <w:tcPr>
            <w:tcW w:w="10100" w:type="dxa"/>
            <w:vAlign w:val="bottom"/>
          </w:tcPr>
          <w:p>
            <w:pPr>
              <w:spacing w:after="0"/>
              <w:rPr>
                <w:sz w:val="20"/>
                <w:szCs w:val="20"/>
                <w:color w:val="auto"/>
              </w:rPr>
            </w:pPr>
            <w:r>
              <w:rPr>
                <w:rFonts w:ascii="Arial" w:cs="Arial" w:eastAsia="Arial" w:hAnsi="Arial"/>
                <w:sz w:val="17"/>
                <w:szCs w:val="17"/>
                <w:color w:val="auto"/>
              </w:rPr>
              <w:t>CAC 40</w:t>
            </w: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9"/>
        </w:trPr>
        <w:tc>
          <w:tcPr>
            <w:tcW w:w="10100" w:type="dxa"/>
            <w:vAlign w:val="bottom"/>
            <w:shd w:val="clear" w:color="auto" w:fill="CCEEFF"/>
          </w:tcPr>
          <w:p>
            <w:pPr>
              <w:spacing w:after="0"/>
              <w:rPr>
                <w:sz w:val="20"/>
                <w:szCs w:val="20"/>
                <w:color w:val="auto"/>
              </w:rPr>
            </w:pPr>
            <w:r>
              <w:rPr>
                <w:rFonts w:ascii="Arial" w:cs="Arial" w:eastAsia="Arial" w:hAnsi="Arial"/>
                <w:sz w:val="17"/>
                <w:szCs w:val="17"/>
                <w:color w:val="auto"/>
              </w:rPr>
              <w:t>DAX</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r>
      <w:tr>
        <w:trPr>
          <w:trHeight w:val="209"/>
        </w:trPr>
        <w:tc>
          <w:tcPr>
            <w:tcW w:w="10100" w:type="dxa"/>
            <w:vAlign w:val="bottom"/>
          </w:tcPr>
          <w:p>
            <w:pPr>
              <w:spacing w:after="0"/>
              <w:rPr>
                <w:sz w:val="20"/>
                <w:szCs w:val="20"/>
                <w:color w:val="auto"/>
              </w:rPr>
            </w:pPr>
            <w:r>
              <w:rPr>
                <w:rFonts w:ascii="Arial" w:cs="Arial" w:eastAsia="Arial" w:hAnsi="Arial"/>
                <w:sz w:val="17"/>
                <w:szCs w:val="17"/>
                <w:color w:val="auto"/>
              </w:rPr>
              <w:t>FTSE 100</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r>
      <w:tr>
        <w:trPr>
          <w:trHeight w:val="209"/>
        </w:trPr>
        <w:tc>
          <w:tcPr>
            <w:tcW w:w="10100" w:type="dxa"/>
            <w:vAlign w:val="bottom"/>
            <w:shd w:val="clear" w:color="auto" w:fill="CCEEFF"/>
          </w:tcPr>
          <w:p>
            <w:pPr>
              <w:spacing w:after="0"/>
              <w:rPr>
                <w:sz w:val="20"/>
                <w:szCs w:val="20"/>
                <w:color w:val="auto"/>
              </w:rPr>
            </w:pPr>
            <w:r>
              <w:rPr>
                <w:rFonts w:ascii="Arial" w:cs="Arial" w:eastAsia="Arial" w:hAnsi="Arial"/>
                <w:sz w:val="17"/>
                <w:szCs w:val="17"/>
                <w:color w:val="auto"/>
              </w:rPr>
              <w:t>TOPIX 100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9"/>
        </w:trPr>
        <w:tc>
          <w:tcPr>
            <w:tcW w:w="10100" w:type="dxa"/>
            <w:vAlign w:val="bottom"/>
          </w:tcPr>
          <w:p>
            <w:pPr>
              <w:spacing w:after="0"/>
              <w:rPr>
                <w:sz w:val="20"/>
                <w:szCs w:val="20"/>
                <w:color w:val="auto"/>
              </w:rPr>
            </w:pPr>
            <w:r>
              <w:rPr>
                <w:rFonts w:ascii="Arial" w:cs="Arial" w:eastAsia="Arial" w:hAnsi="Arial"/>
                <w:sz w:val="17"/>
                <w:szCs w:val="17"/>
                <w:color w:val="auto"/>
              </w:rPr>
              <w:t>MSCI Emerging Market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r>
      <w:tr>
        <w:trPr>
          <w:trHeight w:val="209"/>
        </w:trPr>
        <w:tc>
          <w:tcPr>
            <w:tcW w:w="10100" w:type="dxa"/>
            <w:vAlign w:val="bottom"/>
            <w:shd w:val="clear" w:color="auto" w:fill="CCEEFF"/>
          </w:tcPr>
          <w:p>
            <w:pPr>
              <w:spacing w:after="0"/>
              <w:rPr>
                <w:sz w:val="20"/>
                <w:szCs w:val="20"/>
                <w:color w:val="auto"/>
              </w:rPr>
            </w:pPr>
            <w:r>
              <w:rPr>
                <w:rFonts w:ascii="Arial" w:cs="Arial" w:eastAsia="Arial" w:hAnsi="Arial"/>
                <w:sz w:val="17"/>
                <w:szCs w:val="17"/>
                <w:color w:val="auto"/>
              </w:rPr>
              <w:t>Dow Jones Industrial Average</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r>
      <w:tr>
        <w:trPr>
          <w:trHeight w:val="209"/>
        </w:trPr>
        <w:tc>
          <w:tcPr>
            <w:tcW w:w="10100" w:type="dxa"/>
            <w:vAlign w:val="bottom"/>
          </w:tcPr>
          <w:p>
            <w:pPr>
              <w:spacing w:after="0"/>
              <w:rPr>
                <w:sz w:val="20"/>
                <w:szCs w:val="20"/>
                <w:color w:val="auto"/>
              </w:rPr>
            </w:pPr>
            <w:r>
              <w:rPr>
                <w:rFonts w:ascii="Arial" w:cs="Arial" w:eastAsia="Arial" w:hAnsi="Arial"/>
                <w:sz w:val="17"/>
                <w:szCs w:val="17"/>
                <w:color w:val="auto"/>
              </w:rPr>
              <w:t>NASDAQ</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17%</w:t>
            </w:r>
          </w:p>
        </w:tc>
      </w:tr>
      <w:tr>
        <w:trPr>
          <w:trHeight w:val="209"/>
        </w:trPr>
        <w:tc>
          <w:tcPr>
            <w:tcW w:w="10100" w:type="dxa"/>
            <w:vAlign w:val="bottom"/>
            <w:shd w:val="clear" w:color="auto" w:fill="CCEEFF"/>
          </w:tcPr>
          <w:p>
            <w:pPr>
              <w:spacing w:after="0"/>
              <w:rPr>
                <w:sz w:val="20"/>
                <w:szCs w:val="20"/>
                <w:color w:val="auto"/>
              </w:rPr>
            </w:pPr>
            <w:r>
              <w:rPr>
                <w:rFonts w:ascii="Arial" w:cs="Arial" w:eastAsia="Arial" w:hAnsi="Arial"/>
                <w:sz w:val="17"/>
                <w:szCs w:val="17"/>
                <w:color w:val="auto"/>
              </w:rPr>
              <w:t>S&amp;P 500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bl>
    <w:p>
      <w:pPr>
        <w:spacing w:after="0" w:line="13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Our AUM at December 31, 2010 increased 20% versus AUM at December 31, 2009, with average AUM for 2010 increasing 32% as compared to our average AUM for 2009, reflecting significant market appreciation as well as net inflows during 2010. Such increased AUM contributed to significantly higher management fee revenues in 2010.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Net Revenue</w:t>
      </w:r>
    </w:p>
    <w:p>
      <w:pPr>
        <w:spacing w:after="0" w:line="7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from public and private securities offerings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48"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Lazard’s Asset Management segment principally includes LAM, Lazard Frères Gestion SAS (“LFG”), Edgewater (commencing July 15, 2009), FPG (through its disposition on September 30, 2009) and Lazard Wealth Management LLC.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02" w:lineRule="exact"/>
        <w:rPr>
          <w:sz w:val="20"/>
          <w:szCs w:val="20"/>
          <w:color w:val="auto"/>
        </w:rPr>
      </w:pPr>
    </w:p>
    <w:p>
      <w:pPr>
        <w:ind w:right="200" w:firstLine="457"/>
        <w:spacing w:after="0" w:line="280" w:lineRule="auto"/>
        <w:rPr>
          <w:sz w:val="20"/>
          <w:szCs w:val="20"/>
          <w:color w:val="auto"/>
        </w:rPr>
      </w:pPr>
      <w:r>
        <w:rPr>
          <w:rFonts w:ascii="Arial" w:cs="Arial" w:eastAsia="Arial" w:hAnsi="Arial"/>
          <w:sz w:val="17"/>
          <w:szCs w:val="17"/>
          <w:color w:val="auto"/>
        </w:rPr>
        <w:t>The Company earns performance-based incentive fees on various investment products, including traditional products and alternative investment funds such as hedge funds and private equity funds.</w:t>
      </w:r>
    </w:p>
    <w:p>
      <w:pPr>
        <w:spacing w:after="0" w:line="105" w:lineRule="exact"/>
        <w:rPr>
          <w:sz w:val="20"/>
          <w:szCs w:val="20"/>
          <w:color w:val="auto"/>
        </w:rPr>
      </w:pPr>
    </w:p>
    <w:p>
      <w:pPr>
        <w:ind w:right="40" w:firstLine="457"/>
        <w:spacing w:after="0" w:line="302"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4"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19"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Corporate segment net revenue consists primarily of net interest income, including amounts earned at LFB, and investment gains and losses on the Company’s investment portfolio of LAM-managed equity funds and principal investments in equities, investments at LFB and alternative investment funds. Interest expense is also included in Corporate net revenue. Corporate net revenue can fluctuate due to changes in the fair value of investments classified as “trading”, and with respect to “available-for-sale”, when realized, or, with respect to “available-for-sale” and “held-to-maturity” investments, when a decline is determined to be other than temporary, as well as due to changes in interest and currency exchange rates and in the levels of cash, investments and indebtedness. Corporate net revenue also includes “equity method” investments, including, in 2009, the write-off of the Company’s investment in the Sapphire warrants (see Note 5 of Notes to Consolidated Financial Statements). As of December 31, 2010, the Company no longer holds “available-for-sale” or “held-to-maturity” investments.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448" w:right="2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right="120" w:firstLine="457"/>
        <w:spacing w:after="0" w:line="292" w:lineRule="auto"/>
        <w:rPr>
          <w:sz w:val="20"/>
          <w:szCs w:val="20"/>
          <w:color w:val="auto"/>
        </w:rPr>
      </w:pPr>
      <w:r>
        <w:rPr>
          <w:rFonts w:ascii="Arial" w:cs="Arial" w:eastAsia="Arial" w:hAnsi="Arial"/>
          <w:sz w:val="15"/>
          <w:szCs w:val="15"/>
          <w:color w:val="auto"/>
        </w:rPr>
        <w:t>Effective July 1, 2008, as permitted by accounting principles generally accepted in the U.S (“U.S. GAAP”), the portion of LFB’s corporate debt portfolio that had been previously designated as “trading” was re- designated to “available-for-sale.” During the fourth quarter of 2010, all of LFB’s remaining “available-for-sale” portfolio was sold, with net realized losses on a pre-tax basis reclassified from “accumulated other comprehensive income (loss), net of tax” (“AOCI”) to “investment gains (losses)”. For the years ended December 31, 2010, 2009 and 2008, the Company recorded net investment gains (losses) of $13 million, $29 million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$(41) million, respectively, in AOCI.</w:t>
      </w:r>
    </w:p>
    <w:p>
      <w:pPr>
        <w:spacing w:after="0" w:line="151" w:lineRule="exact"/>
        <w:rPr>
          <w:sz w:val="20"/>
          <w:szCs w:val="20"/>
          <w:color w:val="auto"/>
        </w:rPr>
      </w:pPr>
    </w:p>
    <w:p>
      <w:pPr>
        <w:ind w:right="100" w:firstLine="457"/>
        <w:spacing w:after="0" w:line="268" w:lineRule="auto"/>
        <w:rPr>
          <w:sz w:val="20"/>
          <w:szCs w:val="20"/>
          <w:color w:val="auto"/>
        </w:rPr>
      </w:pPr>
      <w:r>
        <w:rPr>
          <w:rFonts w:ascii="Arial" w:cs="Arial" w:eastAsia="Arial" w:hAnsi="Arial"/>
          <w:sz w:val="17"/>
          <w:szCs w:val="17"/>
          <w:color w:val="auto"/>
        </w:rPr>
        <w:t>Although Corporate segment net revenue during the year ended December 31, 2010 represented (4)% of Lazard’s net revenue, total assets in Corporate represented 57% of Lazard’s consolidated total assets as of December 31, 2010, which is attributable to assets associated with LFB, investments in government bonds, fixed income funds, LAM-managed funds and other securities, private equity investments and cash.</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79"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The majority of Lazard’s operating expenses relate to compensation and benefits for employees and managing directors. Our compensation and benefits expense includes amortization of the relevant portion of the share-based incentive compensation under the Lazard Ltd 2005 Equity Incentive Plan (“2005 Plan”) and the Lazard Ltd 2008 Incentive Compensation Plan (the “2008 Plan”), with such amortization generally determined on a straight-line basis over the vesting periods and not on the basis of revenue recognition (see Note 16 of Notes to Consolidated Financial Statements). Compensation expense in any given year is dependent on many factors, including general economic and market conditions, our operating and financial performance, staffing levels, and competitive pay conditions, the nature of revenues earned, as well as the mix between current and deferred compensation. Our compensation expense-to-operating revenue ratio for the years ended December 31, 2010, 2009 and 2008 was 59.1%, 71.8% and 55.6%, respectively, (with such ratios excluding, (i) in 2010, the compensation charge of approximately $25 million in connection with the accelerated vesting of share-based incentive awards related to the Company’s change in retirement policy, (ii) in 2009, the compensation charges of approximately $87 million related to the acceleration of amortization expense relating to the vesting of share-based incentive awards held by Lazard’s former Chairman and Chief Executive Officer as a result of his death in October 2009 and approximately $61 million relating to the accelerated vesting of the unamortized portion of previously awarded deferred cash incentive awards and (iii) in 2008, the compensation charge of approximately $197 million relating to the LAM Merger).</w:t>
      </w:r>
    </w:p>
    <w:p>
      <w:pPr>
        <w:spacing w:after="0" w:line="100" w:lineRule="exact"/>
        <w:rPr>
          <w:sz w:val="20"/>
          <w:szCs w:val="20"/>
          <w:color w:val="auto"/>
        </w:rPr>
      </w:pPr>
    </w:p>
    <w:p>
      <w:pPr>
        <w:ind w:right="200" w:firstLine="457"/>
        <w:spacing w:after="0" w:line="279"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the provision (benefit) pursuant to a tax receivable agreement with LFCM Holdings, amortization of intangible assets related to acquisitions and, in 2010 and 2009, restructuring expense. Amortization of intangible assets related to acquisitions relates primarily to the July 2009 acquisition of Edgewater. Restructuring expense relates to certain staff reductions and realignment of personnel in the first quarters of 2010 and 2009, and includes severance and related benefits expense, the acceleration of unrecognized expense pertaining to restricted stock unit awards denominated in shares of Lazard Ltd Class A common stock (“RSUs”) previously granted to individuals who were terminated and certain other costs related to these initiatives.</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79"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related to non-U.S. entities and to New York City Unincorporated Business Tax (“UBT”) attributable to Lazard’s operations apportioned to New York City. The Company’s provision for income taxes also includes a U.S. income tax provision attributable to Lazard Ltd’s ownership interest in Lazard Group’s operating income.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448" w:right="2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Noncontrolling Interests</w:t>
      </w:r>
    </w:p>
    <w:p>
      <w:pPr>
        <w:spacing w:after="0" w:line="79" w:lineRule="exact"/>
        <w:rPr>
          <w:sz w:val="20"/>
          <w:szCs w:val="20"/>
          <w:color w:val="auto"/>
        </w:rPr>
      </w:pPr>
    </w:p>
    <w:p>
      <w:pPr>
        <w:ind w:firstLine="457"/>
        <w:spacing w:after="0" w:line="292" w:lineRule="auto"/>
        <w:rPr>
          <w:sz w:val="20"/>
          <w:szCs w:val="20"/>
          <w:color w:val="auto"/>
        </w:rPr>
      </w:pPr>
      <w:r>
        <w:rPr>
          <w:rFonts w:ascii="Arial" w:cs="Arial" w:eastAsia="Arial" w:hAnsi="Arial"/>
          <w:sz w:val="16"/>
          <w:szCs w:val="16"/>
          <w:color w:val="auto"/>
        </w:rPr>
        <w:t>Noncontrolling interests primarily relate to the charge (credit) attributable to LAZ-MD Holdings’ ownership interest in the net income (loss) attributable to Lazard Group, amounts related to Edgewater and various LAM-related general partnership interests (“GPs”) in limited partnerships held directly by certain of our LAM managing directors. See Note 15 of Notes to Consolidated Financial Statements for information regarding the Company’s noncontrolling interests.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83" w:lineRule="exact"/>
        <w:rPr>
          <w:sz w:val="20"/>
          <w:szCs w:val="20"/>
          <w:color w:val="auto"/>
        </w:rPr>
      </w:pPr>
    </w:p>
    <w:p>
      <w:pPr>
        <w:ind w:right="220" w:firstLine="457"/>
        <w:spacing w:after="0" w:line="280"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9" w:lineRule="exact"/>
        <w:rPr>
          <w:sz w:val="20"/>
          <w:szCs w:val="20"/>
          <w:color w:val="auto"/>
        </w:rPr>
      </w:pPr>
    </w:p>
    <w:p>
      <w:pPr>
        <w:jc w:val="both"/>
        <w:ind w:firstLine="457"/>
        <w:spacing w:after="0" w:line="268" w:lineRule="auto"/>
        <w:rPr>
          <w:sz w:val="20"/>
          <w:szCs w:val="20"/>
          <w:color w:val="auto"/>
        </w:rPr>
      </w:pPr>
      <w:r>
        <w:rPr>
          <w:rFonts w:ascii="Arial" w:cs="Arial" w:eastAsia="Arial" w:hAnsi="Arial"/>
          <w:sz w:val="17"/>
          <w:szCs w:val="17"/>
          <w:color w:val="auto"/>
        </w:rPr>
        <w:t>During 2010, 2009 and 2008 the Company reported certain charges (the “2010 special items”, the “2009 special items” and the “2008 special item,” respectively, and collectively, the “2010, 2009 and 2008 special items”) that adversely impacted operating results for such years. The impact of such special items on the Company’s consolidated statements of operations for the respective years is described in more detail in the tables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Year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4"/>
          </w:tcPr>
          <w:p>
            <w:pPr>
              <w:jc w:val="right"/>
              <w:ind w:right="360"/>
              <w:spacing w:after="0" w:line="144"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right"/>
              <w:ind w:right="15"/>
              <w:spacing w:after="0" w:line="144" w:lineRule="exact"/>
              <w:rPr>
                <w:sz w:val="20"/>
                <w:szCs w:val="20"/>
                <w:color w:val="auto"/>
              </w:rPr>
            </w:pPr>
            <w:r>
              <w:rPr>
                <w:rFonts w:ascii="Arial" w:cs="Arial" w:eastAsia="Arial" w:hAnsi="Arial"/>
                <w:sz w:val="13"/>
                <w:szCs w:val="13"/>
                <w:b w:val="1"/>
                <w:bCs w:val="1"/>
                <w:color w:val="auto"/>
              </w:rPr>
              <w:t>Year Ended</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w w:val="90"/>
              </w:rPr>
              <w:t>December 31, 2010</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3"/>
                <w:szCs w:val="13"/>
                <w:b w:val="1"/>
                <w:bCs w:val="1"/>
                <w:color w:val="auto"/>
                <w:w w:val="97"/>
              </w:rPr>
              <w:t>December 31, 2009</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360"/>
              <w:spacing w:after="0" w:line="124" w:lineRule="exact"/>
              <w:rPr>
                <w:sz w:val="20"/>
                <w:szCs w:val="20"/>
                <w:color w:val="auto"/>
              </w:rPr>
            </w:pPr>
            <w:r>
              <w:rPr>
                <w:rFonts w:ascii="Arial" w:cs="Arial" w:eastAsia="Arial" w:hAnsi="Arial"/>
                <w:sz w:val="13"/>
                <w:szCs w:val="13"/>
                <w:b w:val="1"/>
                <w:bCs w:val="1"/>
                <w:color w:val="auto"/>
                <w:w w:val="94"/>
              </w:rPr>
              <w:t>RSU</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300"/>
              <w:spacing w:after="0" w:line="124" w:lineRule="exact"/>
              <w:rPr>
                <w:sz w:val="20"/>
                <w:szCs w:val="20"/>
                <w:color w:val="auto"/>
              </w:rPr>
            </w:pPr>
            <w:r>
              <w:rPr>
                <w:rFonts w:ascii="Arial" w:cs="Arial" w:eastAsia="Arial" w:hAnsi="Arial"/>
                <w:sz w:val="13"/>
                <w:szCs w:val="13"/>
                <w:b w:val="1"/>
                <w:bCs w:val="1"/>
                <w:color w:val="auto"/>
                <w:w w:val="89"/>
              </w:rPr>
              <w:t>Deferred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91"/>
              </w:rPr>
              <w:t>Retirement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600"/>
              <w:spacing w:after="0" w:line="144" w:lineRule="exact"/>
              <w:rPr>
                <w:sz w:val="20"/>
                <w:szCs w:val="20"/>
                <w:color w:val="auto"/>
              </w:rPr>
            </w:pPr>
            <w:r>
              <w:rPr>
                <w:rFonts w:ascii="Arial" w:cs="Arial" w:eastAsia="Arial" w:hAnsi="Arial"/>
                <w:sz w:val="13"/>
                <w:szCs w:val="13"/>
                <w:b w:val="1"/>
                <w:bCs w:val="1"/>
                <w:color w:val="auto"/>
              </w:rPr>
              <w:t>RSU</w:t>
            </w: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7"/>
              </w:rPr>
              <w:t>Cash</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6"/>
              </w:rPr>
              <w:t>Restructuring</w:t>
            </w:r>
          </w:p>
        </w:tc>
        <w:tc>
          <w:tcPr>
            <w:tcW w:w="320" w:type="dxa"/>
            <w:vAlign w:val="bottom"/>
          </w:tcPr>
          <w:p>
            <w:pPr>
              <w:spacing w:after="0"/>
              <w:rPr>
                <w:sz w:val="12"/>
                <w:szCs w:val="12"/>
                <w:color w:val="auto"/>
              </w:rPr>
            </w:pPr>
          </w:p>
        </w:tc>
        <w:tc>
          <w:tcPr>
            <w:tcW w:w="92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93"/>
              </w:rPr>
              <w:t>Amendment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Restructuring</w:t>
            </w:r>
          </w:p>
        </w:tc>
        <w:tc>
          <w:tcPr>
            <w:tcW w:w="10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Acceleration</w:t>
            </w:r>
          </w:p>
        </w:tc>
        <w:tc>
          <w:tcPr>
            <w:tcW w:w="92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Acceleration</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(a)</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6"/>
              </w:rPr>
              <w:t>(b)</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(c)</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(d)</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rPr>
              <w:t>(e)</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LAM Merger</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 in</w:t>
            </w:r>
          </w:p>
        </w:tc>
        <w:tc>
          <w:tcPr>
            <w:tcW w:w="1100" w:type="dxa"/>
            <w:vAlign w:val="bottom"/>
            <w:gridSpan w:val="3"/>
          </w:tcPr>
          <w:p>
            <w:pPr>
              <w:jc w:val="right"/>
              <w:ind w:right="415"/>
              <w:spacing w:after="0"/>
              <w:rPr>
                <w:sz w:val="20"/>
                <w:szCs w:val="20"/>
                <w:color w:val="auto"/>
              </w:rPr>
            </w:pPr>
            <w:r>
              <w:rPr>
                <w:rFonts w:ascii="Arial" w:cs="Arial" w:eastAsia="Arial" w:hAnsi="Arial"/>
                <w:sz w:val="13"/>
                <w:szCs w:val="13"/>
                <w:b w:val="1"/>
                <w:bCs w:val="1"/>
                <w:color w:val="auto"/>
                <w:w w:val="85"/>
              </w:rPr>
              <w:t>thousands)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Compensation</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24,860</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24,860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86,514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60,512</w:t>
            </w:r>
          </w:p>
        </w:tc>
        <w:tc>
          <w:tcPr>
            <w:tcW w:w="7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$ 147,026</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197,550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line="144" w:lineRule="exact"/>
              <w:rPr>
                <w:sz w:val="20"/>
                <w:szCs w:val="20"/>
                <w:color w:val="auto"/>
              </w:rPr>
            </w:pPr>
            <w:r>
              <w:rPr>
                <w:rFonts w:ascii="Arial" w:cs="Arial" w:eastAsia="Arial" w:hAnsi="Arial"/>
                <w:sz w:val="13"/>
                <w:szCs w:val="13"/>
                <w:color w:val="auto"/>
              </w:rPr>
              <w:t>Non-Compensation</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2,000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Restructuring</w:t>
            </w:r>
          </w:p>
        </w:tc>
        <w:tc>
          <w:tcPr>
            <w:tcW w:w="1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87,108</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87,108</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62,550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62,550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line="144" w:lineRule="exact"/>
              <w:rPr>
                <w:sz w:val="20"/>
                <w:szCs w:val="20"/>
                <w:color w:val="auto"/>
              </w:rPr>
            </w:pPr>
            <w:r>
              <w:rPr>
                <w:rFonts w:ascii="Arial" w:cs="Arial" w:eastAsia="Arial" w:hAnsi="Arial"/>
                <w:sz w:val="13"/>
                <w:szCs w:val="13"/>
                <w:color w:val="auto"/>
              </w:rPr>
              <w:t>Benefit Pursuant to Tax Receivable Agreement (f)</w:t>
            </w:r>
          </w:p>
        </w:tc>
        <w:tc>
          <w:tcPr>
            <w:tcW w:w="180" w:type="dxa"/>
            <w:vAlign w:val="bottom"/>
          </w:tcPr>
          <w:p>
            <w:pPr>
              <w:spacing w:after="0"/>
              <w:rPr>
                <w:sz w:val="12"/>
                <w:szCs w:val="12"/>
                <w:color w:val="auto"/>
              </w:rPr>
            </w:pPr>
          </w:p>
        </w:tc>
        <w:tc>
          <w:tcPr>
            <w:tcW w:w="66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(4,495)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(4,339)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0"/>
              <w:spacing w:after="0" w:line="144" w:lineRule="exact"/>
              <w:rPr>
                <w:sz w:val="20"/>
                <w:szCs w:val="20"/>
                <w:color w:val="auto"/>
              </w:rPr>
            </w:pPr>
            <w:r>
              <w:rPr>
                <w:rFonts w:ascii="Arial" w:cs="Arial" w:eastAsia="Arial" w:hAnsi="Arial"/>
                <w:sz w:val="13"/>
                <w:szCs w:val="13"/>
                <w:color w:val="auto"/>
              </w:rPr>
              <w:t>(8,834)</w:t>
            </w:r>
          </w:p>
        </w:tc>
        <w:tc>
          <w:tcPr>
            <w:tcW w:w="180" w:type="dxa"/>
            <w:vAlign w:val="bottom"/>
          </w:tcPr>
          <w:p>
            <w:pPr>
              <w:spacing w:after="0"/>
              <w:rPr>
                <w:sz w:val="12"/>
                <w:szCs w:val="12"/>
                <w:color w:val="auto"/>
              </w:rPr>
            </w:pPr>
          </w:p>
        </w:tc>
        <w:tc>
          <w:tcPr>
            <w:tcW w:w="1000" w:type="dxa"/>
            <w:vAlign w:val="bottom"/>
            <w:gridSpan w:val="2"/>
          </w:tcPr>
          <w:p>
            <w:pPr>
              <w:jc w:val="right"/>
              <w:ind w:right="395"/>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4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28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Operating Loss</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(82,613)</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(20,521)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4" w:lineRule="exact"/>
              <w:rPr>
                <w:sz w:val="20"/>
                <w:szCs w:val="20"/>
                <w:color w:val="auto"/>
              </w:rPr>
            </w:pPr>
            <w:r>
              <w:rPr>
                <w:rFonts w:ascii="Arial" w:cs="Arial" w:eastAsia="Arial" w:hAnsi="Arial"/>
                <w:sz w:val="13"/>
                <w:szCs w:val="13"/>
                <w:color w:val="auto"/>
                <w:w w:val="86"/>
              </w:rPr>
              <w:t>(103,134)</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95"/>
              <w:spacing w:after="0" w:line="144" w:lineRule="exact"/>
              <w:rPr>
                <w:sz w:val="20"/>
                <w:szCs w:val="20"/>
                <w:color w:val="auto"/>
              </w:rPr>
            </w:pPr>
            <w:r>
              <w:rPr>
                <w:rFonts w:ascii="Arial" w:cs="Arial" w:eastAsia="Arial" w:hAnsi="Arial"/>
                <w:sz w:val="13"/>
                <w:szCs w:val="13"/>
                <w:color w:val="auto"/>
              </w:rPr>
              <w:t>(62,550)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4" w:lineRule="exact"/>
              <w:rPr>
                <w:sz w:val="20"/>
                <w:szCs w:val="20"/>
                <w:color w:val="auto"/>
              </w:rPr>
            </w:pPr>
            <w:r>
              <w:rPr>
                <w:rFonts w:ascii="Arial" w:cs="Arial" w:eastAsia="Arial" w:hAnsi="Arial"/>
                <w:sz w:val="13"/>
                <w:szCs w:val="13"/>
                <w:color w:val="auto"/>
              </w:rPr>
              <w:t>(86,514)</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(60,512)</w:t>
            </w:r>
          </w:p>
        </w:tc>
        <w:tc>
          <w:tcPr>
            <w:tcW w:w="940" w:type="dxa"/>
            <w:vAlign w:val="bottom"/>
            <w:gridSpan w:val="3"/>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(209,576)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(199,550)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line="144" w:lineRule="exact"/>
              <w:rPr>
                <w:sz w:val="20"/>
                <w:szCs w:val="20"/>
                <w:color w:val="auto"/>
              </w:rPr>
            </w:pPr>
            <w:r>
              <w:rPr>
                <w:rFonts w:ascii="Arial" w:cs="Arial" w:eastAsia="Arial" w:hAnsi="Arial"/>
                <w:sz w:val="13"/>
                <w:szCs w:val="13"/>
                <w:color w:val="auto"/>
              </w:rPr>
              <w:t>Income Tax Benefit</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5,680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1,363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7,043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auto"/>
              </w:rPr>
              <w:t>6,401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2,566</w:t>
            </w:r>
          </w:p>
        </w:tc>
        <w:tc>
          <w:tcPr>
            <w:tcW w:w="7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8,967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7,427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Noncontrolling Interest Benefit</w:t>
            </w: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18,400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5,988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24,388</w:t>
            </w:r>
          </w:p>
        </w:tc>
        <w:tc>
          <w:tcPr>
            <w:tcW w:w="4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21,075</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22,048</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14,767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57,890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83,495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080" w:type="dxa"/>
            <w:vAlign w:val="bottom"/>
            <w:gridSpan w:val="2"/>
          </w:tcPr>
          <w:p>
            <w:pPr>
              <w:spacing w:after="0"/>
              <w:rPr>
                <w:sz w:val="20"/>
                <w:szCs w:val="20"/>
                <w:color w:val="auto"/>
              </w:rPr>
            </w:pPr>
            <w:r>
              <w:rPr>
                <w:rFonts w:ascii="Arial" w:cs="Arial" w:eastAsia="Arial" w:hAnsi="Arial"/>
                <w:sz w:val="13"/>
                <w:szCs w:val="13"/>
                <w:color w:val="auto"/>
              </w:rPr>
              <w:t>Net Loss Attributable to Lazard Ltd.</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(58,533)</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(13,170)</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(71,703)</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95"/>
              <w:spacing w:after="0"/>
              <w:rPr>
                <w:sz w:val="20"/>
                <w:szCs w:val="20"/>
                <w:color w:val="auto"/>
              </w:rPr>
            </w:pPr>
            <w:r>
              <w:rPr>
                <w:rFonts w:ascii="Arial" w:cs="Arial" w:eastAsia="Arial" w:hAnsi="Arial"/>
                <w:sz w:val="13"/>
                <w:szCs w:val="13"/>
                <w:color w:val="auto"/>
              </w:rPr>
              <w:t>(35,074)</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(64,466)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(43,179)</w:t>
            </w:r>
          </w:p>
        </w:tc>
        <w:tc>
          <w:tcPr>
            <w:tcW w:w="940" w:type="dxa"/>
            <w:vAlign w:val="bottom"/>
            <w:gridSpan w:val="3"/>
          </w:tcPr>
          <w:p>
            <w:pPr>
              <w:jc w:val="right"/>
              <w:ind w:right="18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(142,719)</w:t>
            </w:r>
          </w:p>
        </w:tc>
        <w:tc>
          <w:tcPr>
            <w:tcW w:w="240" w:type="dxa"/>
            <w:vAlign w:val="bottom"/>
            <w:gridSpan w:val="2"/>
          </w:tcPr>
          <w:p>
            <w:pPr>
              <w:ind w:left="16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(108,628)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289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28" w:lineRule="exact"/>
        <w:rPr>
          <w:sz w:val="20"/>
          <w:szCs w:val="20"/>
          <w:color w:val="auto"/>
        </w:rPr>
      </w:pPr>
    </w:p>
    <w:p>
      <w:pPr>
        <w:ind w:left="460" w:hanging="456"/>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Restructuring plan announced in the first quarter of 2010.</w:t>
      </w:r>
    </w:p>
    <w:p>
      <w:pPr>
        <w:spacing w:after="0" w:line="19" w:lineRule="exact"/>
        <w:rPr>
          <w:rFonts w:ascii="Arial" w:cs="Arial" w:eastAsia="Arial" w:hAnsi="Arial"/>
          <w:sz w:val="17"/>
          <w:szCs w:val="17"/>
          <w:color w:val="auto"/>
        </w:rPr>
      </w:pPr>
    </w:p>
    <w:p>
      <w:pPr>
        <w:ind w:left="460" w:right="560" w:hanging="456"/>
        <w:spacing w:after="0" w:line="256"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Accelerated amortization expense recognized in connection with the vesting of share-based incentive awards related to the amendment of the Company’s retirement policy.</w:t>
      </w:r>
    </w:p>
    <w:p>
      <w:pPr>
        <w:ind w:left="460" w:hanging="456"/>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Restructuring plan announced in the first quarter of 2009.</w:t>
      </w:r>
    </w:p>
    <w:p>
      <w:pPr>
        <w:spacing w:after="0" w:line="13" w:lineRule="exact"/>
        <w:rPr>
          <w:rFonts w:ascii="Arial" w:cs="Arial" w:eastAsia="Arial" w:hAnsi="Arial"/>
          <w:sz w:val="17"/>
          <w:szCs w:val="17"/>
          <w:color w:val="auto"/>
        </w:rPr>
      </w:pPr>
    </w:p>
    <w:p>
      <w:pPr>
        <w:ind w:left="460" w:right="240" w:hanging="456"/>
        <w:spacing w:after="0" w:line="256"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Acceleration of amortization expense recognized in connection with the vesting of share-based incentive awards held by Lazard’s former Chairman and Chief Executive Officer as a result of his death in October 2009.</w:t>
      </w:r>
    </w:p>
    <w:p>
      <w:pPr>
        <w:ind w:left="460" w:right="120" w:hanging="456"/>
        <w:spacing w:after="0" w:line="256"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Accelerated vesting of the unamortized portion of previously awarded deferred cash incentive awards (no portion of which relates to Lazard’s former Chairman and Chief Executive Officer).</w:t>
      </w:r>
    </w:p>
    <w:p>
      <w:pPr>
        <w:ind w:left="460" w:hanging="456"/>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There was no benefit pursuant to the tax receivable agreement related to the 2009 and 2008 special items.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48"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A discussion of the Company’s consolidated results of operations for the years ended December 31, 2010, 2009 and 2008 is set forth below, followed by a more detailed discussion of business segment results. For comparability purposes in the discussion that follows, the respective year results are shown in tables below, as applicable, on both an “as reported” U.S. GAAP and “excluding special items” non-U.S. GAAP basis that management believes provides the most meaningful comparison between historical, present and future periods.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90"/>
              </w:rPr>
              <w:t>Year Ended December 31, 2010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19"/>
              <w:spacing w:after="0" w:line="124" w:lineRule="exact"/>
              <w:rPr>
                <w:sz w:val="20"/>
                <w:szCs w:val="20"/>
                <w:color w:val="auto"/>
              </w:rPr>
            </w:pPr>
            <w:r>
              <w:rPr>
                <w:rFonts w:ascii="Arial" w:cs="Arial" w:eastAsia="Arial" w:hAnsi="Arial"/>
                <w:sz w:val="13"/>
                <w:szCs w:val="13"/>
                <w:b w:val="1"/>
                <w:bCs w:val="1"/>
                <w:color w:val="auto"/>
                <w:w w:val="91"/>
              </w:rPr>
              <w:t>Non-U.S.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2"/>
          </w:tcPr>
          <w:p>
            <w:pPr>
              <w:jc w:val="center"/>
              <w:ind w:right="560"/>
              <w:spacing w:after="0" w:line="144" w:lineRule="exact"/>
              <w:rPr>
                <w:sz w:val="20"/>
                <w:szCs w:val="20"/>
                <w:color w:val="auto"/>
              </w:rPr>
            </w:pPr>
            <w:r>
              <w:rPr>
                <w:rFonts w:ascii="Arial" w:cs="Arial" w:eastAsia="Arial" w:hAnsi="Arial"/>
                <w:sz w:val="13"/>
                <w:szCs w:val="13"/>
                <w:b w:val="1"/>
                <w:bCs w:val="1"/>
                <w:color w:val="auto"/>
                <w:w w:val="93"/>
              </w:rPr>
              <w:t>Impact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5"/>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96"/>
              </w:rPr>
              <w:t>U.S. GAAP</w:t>
            </w:r>
          </w:p>
        </w:tc>
        <w:tc>
          <w:tcPr>
            <w:tcW w:w="600" w:type="dxa"/>
            <w:vAlign w:val="bottom"/>
          </w:tcPr>
          <w:p>
            <w:pPr>
              <w:spacing w:after="0"/>
              <w:rPr>
                <w:sz w:val="12"/>
                <w:szCs w:val="12"/>
                <w:color w:val="auto"/>
              </w:rPr>
            </w:pPr>
          </w:p>
        </w:tc>
        <w:tc>
          <w:tcPr>
            <w:tcW w:w="1180" w:type="dxa"/>
            <w:vAlign w:val="bottom"/>
            <w:gridSpan w:val="2"/>
          </w:tcPr>
          <w:p>
            <w:pPr>
              <w:jc w:val="center"/>
              <w:ind w:right="560"/>
              <w:spacing w:after="0" w:line="144" w:lineRule="exact"/>
              <w:rPr>
                <w:sz w:val="20"/>
                <w:szCs w:val="20"/>
                <w:color w:val="auto"/>
              </w:rPr>
            </w:pPr>
            <w:r>
              <w:rPr>
                <w:rFonts w:ascii="Arial" w:cs="Arial" w:eastAsia="Arial" w:hAnsi="Arial"/>
                <w:sz w:val="13"/>
                <w:szCs w:val="13"/>
                <w:b w:val="1"/>
                <w:bCs w:val="1"/>
                <w:color w:val="auto"/>
                <w:w w:val="83"/>
              </w:rPr>
              <w:t>Special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Excluding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As Reported</w:t>
            </w: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3"/>
              </w:rPr>
              <w:t>Items (a)</w:t>
            </w:r>
          </w:p>
        </w:tc>
        <w:tc>
          <w:tcPr>
            <w:tcW w:w="20" w:type="dxa"/>
            <w:vAlign w:val="bottom"/>
          </w:tcPr>
          <w:p>
            <w:pPr>
              <w:spacing w:after="0"/>
              <w:rPr>
                <w:sz w:val="13"/>
                <w:szCs w:val="13"/>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8"/>
              </w:rPr>
              <w:t>Special Items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72"/>
              </w:rPr>
              <w:t>in thousands)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140" w:type="dxa"/>
            <w:vAlign w:val="bottom"/>
          </w:tcPr>
          <w:p>
            <w:pPr>
              <w:spacing w:after="0"/>
              <w:rPr>
                <w:sz w:val="3"/>
                <w:szCs w:val="3"/>
                <w:color w:val="auto"/>
              </w:rPr>
            </w:pPr>
          </w:p>
        </w:tc>
        <w:tc>
          <w:tcPr>
            <w:tcW w:w="50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Revenue</w:t>
            </w: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1,905,368</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1,905,368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22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Operating Expenses:</w:t>
            </w:r>
          </w:p>
        </w:tc>
        <w:tc>
          <w:tcPr>
            <w:tcW w:w="16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Compensation and benefits</w:t>
            </w: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1,194,168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$ 24,860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1,169,308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gridSpan w:val="2"/>
          </w:tcPr>
          <w:p>
            <w:pPr>
              <w:ind w:left="400"/>
              <w:spacing w:after="0"/>
              <w:rPr>
                <w:sz w:val="20"/>
                <w:szCs w:val="20"/>
                <w:color w:val="auto"/>
              </w:rPr>
            </w:pPr>
            <w:r>
              <w:rPr>
                <w:rFonts w:ascii="Arial" w:cs="Arial" w:eastAsia="Arial" w:hAnsi="Arial"/>
                <w:sz w:val="17"/>
                <w:szCs w:val="17"/>
                <w:color w:val="auto"/>
              </w:rPr>
              <w:t>Non-compensation expense</w:t>
            </w:r>
          </w:p>
        </w:tc>
        <w:tc>
          <w:tcPr>
            <w:tcW w:w="2440" w:type="dxa"/>
            <w:vAlign w:val="bottom"/>
            <w:gridSpan w:val="3"/>
          </w:tcPr>
          <w:p>
            <w:pPr>
              <w:jc w:val="right"/>
              <w:ind w:right="20"/>
              <w:spacing w:after="0"/>
              <w:rPr>
                <w:sz w:val="20"/>
                <w:szCs w:val="20"/>
                <w:color w:val="auto"/>
              </w:rPr>
            </w:pPr>
            <w:r>
              <w:rPr>
                <w:rFonts w:ascii="Arial" w:cs="Arial" w:eastAsia="Arial" w:hAnsi="Arial"/>
                <w:sz w:val="17"/>
                <w:szCs w:val="17"/>
                <w:color w:val="auto"/>
              </w:rPr>
              <w:t>370,214</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370,214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Amortization of intangible assets related to acquisitions</w:t>
            </w: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7,867</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gridSpan w:val="2"/>
          </w:tcPr>
          <w:p>
            <w:pPr>
              <w:ind w:left="400"/>
              <w:spacing w:after="0"/>
              <w:rPr>
                <w:sz w:val="20"/>
                <w:szCs w:val="20"/>
                <w:color w:val="auto"/>
              </w:rPr>
            </w:pPr>
            <w:r>
              <w:rPr>
                <w:rFonts w:ascii="Arial" w:cs="Arial" w:eastAsia="Arial" w:hAnsi="Arial"/>
                <w:sz w:val="17"/>
                <w:szCs w:val="17"/>
                <w:color w:val="auto"/>
              </w:rPr>
              <w:t>Restructuring</w:t>
            </w:r>
          </w:p>
        </w:tc>
        <w:tc>
          <w:tcPr>
            <w:tcW w:w="2440" w:type="dxa"/>
            <w:vAlign w:val="bottom"/>
            <w:gridSpan w:val="3"/>
          </w:tcPr>
          <w:p>
            <w:pPr>
              <w:jc w:val="right"/>
              <w:ind w:right="20"/>
              <w:spacing w:after="0"/>
              <w:rPr>
                <w:sz w:val="20"/>
                <w:szCs w:val="20"/>
                <w:color w:val="auto"/>
              </w:rPr>
            </w:pPr>
            <w:r>
              <w:rPr>
                <w:rFonts w:ascii="Arial" w:cs="Arial" w:eastAsia="Arial" w:hAnsi="Arial"/>
                <w:sz w:val="17"/>
                <w:szCs w:val="17"/>
                <w:color w:val="auto"/>
              </w:rPr>
              <w:t>87,108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87,108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Provision (benefit) pursuant to tax receivable agreement</w:t>
            </w:r>
          </w:p>
        </w:tc>
        <w:tc>
          <w:tcPr>
            <w:tcW w:w="16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2,361</w:t>
            </w:r>
          </w:p>
        </w:tc>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(8,834)</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0" w:type="dxa"/>
            <w:vAlign w:val="bottom"/>
            <w:gridSpan w:val="2"/>
          </w:tcPr>
          <w:p>
            <w:pPr>
              <w:ind w:left="820"/>
              <w:spacing w:after="0"/>
              <w:rPr>
                <w:sz w:val="20"/>
                <w:szCs w:val="20"/>
                <w:color w:val="auto"/>
              </w:rPr>
            </w:pPr>
            <w:r>
              <w:rPr>
                <w:rFonts w:ascii="Arial" w:cs="Arial" w:eastAsia="Arial" w:hAnsi="Arial"/>
                <w:sz w:val="17"/>
                <w:szCs w:val="17"/>
                <w:color w:val="auto"/>
              </w:rPr>
              <w:t>Total operating expenses</w:t>
            </w:r>
          </w:p>
        </w:tc>
        <w:tc>
          <w:tcPr>
            <w:tcW w:w="16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1,661,718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1,558,584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Operating Income</w:t>
            </w: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243,650</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346,784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00" w:type="dxa"/>
            <w:vAlign w:val="bottom"/>
            <w:gridSpan w:val="2"/>
          </w:tcPr>
          <w:p>
            <w:pPr>
              <w:ind w:left="400"/>
              <w:spacing w:after="0"/>
              <w:rPr>
                <w:sz w:val="20"/>
                <w:szCs w:val="20"/>
                <w:color w:val="auto"/>
              </w:rPr>
            </w:pPr>
            <w:r>
              <w:rPr>
                <w:rFonts w:ascii="Arial" w:cs="Arial" w:eastAsia="Arial" w:hAnsi="Arial"/>
                <w:sz w:val="17"/>
                <w:szCs w:val="17"/>
                <w:color w:val="auto"/>
              </w:rPr>
              <w:t>Provision (benefit) for income taxes</w:t>
            </w:r>
          </w:p>
        </w:tc>
        <w:tc>
          <w:tcPr>
            <w:tcW w:w="16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49,227</w:t>
            </w:r>
          </w:p>
        </w:tc>
        <w:tc>
          <w:tcPr>
            <w:tcW w:w="20" w:type="dxa"/>
            <w:vAlign w:val="bottom"/>
          </w:tcPr>
          <w:p>
            <w:pPr>
              <w:spacing w:after="0"/>
              <w:rPr>
                <w:sz w:val="18"/>
                <w:szCs w:val="18"/>
                <w:color w:val="auto"/>
              </w:rPr>
            </w:pPr>
          </w:p>
        </w:tc>
        <w:tc>
          <w:tcPr>
            <w:tcW w:w="1780" w:type="dxa"/>
            <w:vAlign w:val="bottom"/>
            <w:gridSpan w:val="3"/>
          </w:tcPr>
          <w:p>
            <w:pPr>
              <w:jc w:val="right"/>
              <w:ind w:right="500"/>
              <w:spacing w:after="0"/>
              <w:rPr>
                <w:sz w:val="20"/>
                <w:szCs w:val="20"/>
                <w:color w:val="auto"/>
              </w:rPr>
            </w:pPr>
            <w:r>
              <w:rPr>
                <w:rFonts w:ascii="Arial" w:cs="Arial" w:eastAsia="Arial" w:hAnsi="Arial"/>
                <w:sz w:val="17"/>
                <w:szCs w:val="17"/>
                <w:color w:val="auto"/>
              </w:rPr>
              <w:t>(7,043)</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Income</w:t>
            </w: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194,423</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Less – Net Income (Loss) Attributable to Noncontrolling Interests</w:t>
            </w:r>
          </w:p>
        </w:tc>
        <w:tc>
          <w:tcPr>
            <w:tcW w:w="16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19,444</w:t>
            </w:r>
          </w:p>
        </w:tc>
        <w:tc>
          <w:tcPr>
            <w:tcW w:w="20" w:type="dxa"/>
            <w:vAlign w:val="bottom"/>
          </w:tcPr>
          <w:p>
            <w:pPr>
              <w:spacing w:after="0"/>
              <w:rPr>
                <w:sz w:val="18"/>
                <w:szCs w:val="18"/>
                <w:color w:val="auto"/>
              </w:rPr>
            </w:pPr>
          </w:p>
        </w:tc>
        <w:tc>
          <w:tcPr>
            <w:tcW w:w="1780" w:type="dxa"/>
            <w:vAlign w:val="bottom"/>
            <w:gridSpan w:val="3"/>
          </w:tcPr>
          <w:p>
            <w:pPr>
              <w:jc w:val="right"/>
              <w:ind w:right="500"/>
              <w:spacing w:after="0"/>
              <w:rPr>
                <w:sz w:val="20"/>
                <w:szCs w:val="20"/>
                <w:color w:val="auto"/>
              </w:rPr>
            </w:pPr>
            <w:r>
              <w:rPr>
                <w:rFonts w:ascii="Arial" w:cs="Arial" w:eastAsia="Arial" w:hAnsi="Arial"/>
                <w:sz w:val="17"/>
                <w:szCs w:val="17"/>
                <w:color w:val="auto"/>
              </w:rPr>
              <w:t>(24,388)</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Income Attributable to Lazard Ltd</w:t>
            </w:r>
          </w:p>
        </w:tc>
        <w:tc>
          <w:tcPr>
            <w:tcW w:w="16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  174,979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246,682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7"/>
                <w:szCs w:val="17"/>
                <w:b w:val="1"/>
                <w:bCs w:val="1"/>
                <w:i w:val="1"/>
                <w:iCs w:val="1"/>
                <w:color w:val="auto"/>
              </w:rPr>
              <w:t>Operating Income, As A % Of Net Revenue</w:t>
            </w:r>
          </w:p>
        </w:tc>
        <w:tc>
          <w:tcPr>
            <w:tcW w:w="1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220" w:type="dxa"/>
            <w:vAlign w:val="bottom"/>
            <w:gridSpan w:val="3"/>
            <w:vMerge w:val="continue"/>
          </w:tcPr>
          <w:p>
            <w:pPr>
              <w:spacing w:after="0"/>
              <w:rPr>
                <w:sz w:val="17"/>
                <w:szCs w:val="17"/>
                <w:color w:val="auto"/>
              </w:rPr>
            </w:pPr>
          </w:p>
        </w:tc>
        <w:tc>
          <w:tcPr>
            <w:tcW w:w="3040" w:type="dxa"/>
            <w:vAlign w:val="bottom"/>
            <w:gridSpan w:val="4"/>
          </w:tcPr>
          <w:p>
            <w:pPr>
              <w:jc w:val="right"/>
              <w:ind w:right="401"/>
              <w:spacing w:after="0"/>
              <w:rPr>
                <w:sz w:val="20"/>
                <w:szCs w:val="20"/>
                <w:color w:val="auto"/>
              </w:rPr>
            </w:pPr>
            <w:r>
              <w:rPr>
                <w:rFonts w:ascii="Arial" w:cs="Arial" w:eastAsia="Arial" w:hAnsi="Arial"/>
                <w:sz w:val="17"/>
                <w:szCs w:val="17"/>
                <w:color w:val="auto"/>
              </w:rPr>
              <w:t>13%</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hanging="456"/>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charges related to the previously described special items. See Notes 16, 18 and 23 of Notes to Consolidated Financial Statements.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90"/>
              </w:rPr>
              <w:t>Year Ended December 31, 2009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39"/>
              <w:spacing w:after="0" w:line="124" w:lineRule="exact"/>
              <w:rPr>
                <w:sz w:val="20"/>
                <w:szCs w:val="20"/>
                <w:color w:val="auto"/>
              </w:rPr>
            </w:pPr>
            <w:r>
              <w:rPr>
                <w:rFonts w:ascii="Arial" w:cs="Arial" w:eastAsia="Arial" w:hAnsi="Arial"/>
                <w:sz w:val="13"/>
                <w:szCs w:val="13"/>
                <w:b w:val="1"/>
                <w:bCs w:val="1"/>
                <w:color w:val="auto"/>
                <w:w w:val="94"/>
              </w:rPr>
              <w:t>Non-U.S.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gridSpan w:val="2"/>
          </w:tcPr>
          <w:p>
            <w:pPr>
              <w:jc w:val="center"/>
              <w:ind w:right="500"/>
              <w:spacing w:after="0" w:line="144" w:lineRule="exact"/>
              <w:rPr>
                <w:sz w:val="20"/>
                <w:szCs w:val="20"/>
                <w:color w:val="auto"/>
              </w:rPr>
            </w:pPr>
            <w:r>
              <w:rPr>
                <w:rFonts w:ascii="Arial" w:cs="Arial" w:eastAsia="Arial" w:hAnsi="Arial"/>
                <w:sz w:val="13"/>
                <w:szCs w:val="13"/>
                <w:b w:val="1"/>
                <w:bCs w:val="1"/>
                <w:color w:val="auto"/>
                <w:w w:val="93"/>
              </w:rPr>
              <w:t>Impact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5"/>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40" w:type="dxa"/>
            <w:vAlign w:val="bottom"/>
            <w:gridSpan w:val="2"/>
          </w:tcPr>
          <w:p>
            <w:pPr>
              <w:jc w:val="right"/>
              <w:ind w:right="120"/>
              <w:spacing w:after="0" w:line="144" w:lineRule="exact"/>
              <w:rPr>
                <w:sz w:val="20"/>
                <w:szCs w:val="20"/>
                <w:color w:val="auto"/>
              </w:rPr>
            </w:pPr>
            <w:r>
              <w:rPr>
                <w:rFonts w:ascii="Arial" w:cs="Arial" w:eastAsia="Arial" w:hAnsi="Arial"/>
                <w:sz w:val="13"/>
                <w:szCs w:val="13"/>
                <w:b w:val="1"/>
                <w:bCs w:val="1"/>
                <w:color w:val="auto"/>
              </w:rPr>
              <w:t>U.S. GAAP</w:t>
            </w:r>
          </w:p>
        </w:tc>
        <w:tc>
          <w:tcPr>
            <w:tcW w:w="620" w:type="dxa"/>
            <w:vAlign w:val="bottom"/>
          </w:tcPr>
          <w:p>
            <w:pPr>
              <w:spacing w:after="0"/>
              <w:rPr>
                <w:sz w:val="12"/>
                <w:szCs w:val="12"/>
                <w:color w:val="auto"/>
              </w:rPr>
            </w:pPr>
          </w:p>
        </w:tc>
        <w:tc>
          <w:tcPr>
            <w:tcW w:w="1160" w:type="dxa"/>
            <w:vAlign w:val="bottom"/>
            <w:gridSpan w:val="2"/>
          </w:tcPr>
          <w:p>
            <w:pPr>
              <w:jc w:val="center"/>
              <w:ind w:right="520"/>
              <w:spacing w:after="0" w:line="144" w:lineRule="exact"/>
              <w:rPr>
                <w:sz w:val="20"/>
                <w:szCs w:val="20"/>
                <w:color w:val="auto"/>
              </w:rPr>
            </w:pPr>
            <w:r>
              <w:rPr>
                <w:rFonts w:ascii="Arial" w:cs="Arial" w:eastAsia="Arial" w:hAnsi="Arial"/>
                <w:sz w:val="13"/>
                <w:szCs w:val="13"/>
                <w:b w:val="1"/>
                <w:bCs w:val="1"/>
                <w:color w:val="auto"/>
                <w:w w:val="87"/>
              </w:rPr>
              <w:t>Special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Excluding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As Reported</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Items (a)</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1"/>
              </w:rPr>
              <w:t>Special Items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440"/>
              <w:spacing w:after="0" w:line="137" w:lineRule="exact"/>
              <w:rPr>
                <w:sz w:val="20"/>
                <w:szCs w:val="20"/>
                <w:color w:val="auto"/>
              </w:rPr>
            </w:pPr>
            <w:r>
              <w:rPr>
                <w:rFonts w:ascii="Arial" w:cs="Arial" w:eastAsia="Arial" w:hAnsi="Arial"/>
                <w:sz w:val="13"/>
                <w:szCs w:val="13"/>
                <w:b w:val="1"/>
                <w:bCs w:val="1"/>
                <w:color w:val="auto"/>
                <w:w w:val="79"/>
              </w:rPr>
              <w:t>($ in thousands)</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Revenue</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1,530,518</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1,530,518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620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Operating Expenses:</w:t>
            </w:r>
          </w:p>
        </w:tc>
        <w:tc>
          <w:tcPr>
            <w:tcW w:w="16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Compensation and benefits</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1,309,240</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$147,026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1,162,214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2"/>
          </w:tcPr>
          <w:p>
            <w:pPr>
              <w:ind w:left="400"/>
              <w:spacing w:after="0"/>
              <w:rPr>
                <w:sz w:val="20"/>
                <w:szCs w:val="20"/>
                <w:color w:val="auto"/>
              </w:rPr>
            </w:pPr>
            <w:r>
              <w:rPr>
                <w:rFonts w:ascii="Arial" w:cs="Arial" w:eastAsia="Arial" w:hAnsi="Arial"/>
                <w:sz w:val="17"/>
                <w:szCs w:val="17"/>
                <w:color w:val="auto"/>
              </w:rPr>
              <w:t>Non-compensation expense</w:t>
            </w:r>
          </w:p>
        </w:tc>
        <w:tc>
          <w:tcPr>
            <w:tcW w:w="2440" w:type="dxa"/>
            <w:vAlign w:val="bottom"/>
            <w:gridSpan w:val="3"/>
          </w:tcPr>
          <w:p>
            <w:pPr>
              <w:jc w:val="right"/>
              <w:ind w:right="60"/>
              <w:spacing w:after="0"/>
              <w:rPr>
                <w:sz w:val="20"/>
                <w:szCs w:val="20"/>
                <w:color w:val="auto"/>
              </w:rPr>
            </w:pPr>
            <w:r>
              <w:rPr>
                <w:rFonts w:ascii="Arial" w:cs="Arial" w:eastAsia="Arial" w:hAnsi="Arial"/>
                <w:sz w:val="17"/>
                <w:szCs w:val="17"/>
                <w:color w:val="auto"/>
              </w:rPr>
              <w:t>337,230</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337,230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Amortization of intangible assets related to acquisitions</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4,990</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2"/>
          </w:tcPr>
          <w:p>
            <w:pPr>
              <w:ind w:left="400"/>
              <w:spacing w:after="0"/>
              <w:rPr>
                <w:sz w:val="20"/>
                <w:szCs w:val="20"/>
                <w:color w:val="auto"/>
              </w:rPr>
            </w:pPr>
            <w:r>
              <w:rPr>
                <w:rFonts w:ascii="Arial" w:cs="Arial" w:eastAsia="Arial" w:hAnsi="Arial"/>
                <w:sz w:val="17"/>
                <w:szCs w:val="17"/>
                <w:color w:val="auto"/>
              </w:rPr>
              <w:t>Restructuring</w:t>
            </w:r>
          </w:p>
        </w:tc>
        <w:tc>
          <w:tcPr>
            <w:tcW w:w="2440" w:type="dxa"/>
            <w:vAlign w:val="bottom"/>
            <w:gridSpan w:val="3"/>
          </w:tcPr>
          <w:p>
            <w:pPr>
              <w:jc w:val="right"/>
              <w:ind w:right="60"/>
              <w:spacing w:after="0"/>
              <w:rPr>
                <w:sz w:val="20"/>
                <w:szCs w:val="20"/>
                <w:color w:val="auto"/>
              </w:rPr>
            </w:pPr>
            <w:r>
              <w:rPr>
                <w:rFonts w:ascii="Arial" w:cs="Arial" w:eastAsia="Arial" w:hAnsi="Arial"/>
                <w:sz w:val="17"/>
                <w:szCs w:val="17"/>
                <w:color w:val="auto"/>
              </w:rPr>
              <w:t>62,550</w:t>
            </w:r>
          </w:p>
        </w:tc>
        <w:tc>
          <w:tcPr>
            <w:tcW w:w="1780" w:type="dxa"/>
            <w:vAlign w:val="bottom"/>
            <w:gridSpan w:val="3"/>
          </w:tcPr>
          <w:p>
            <w:pPr>
              <w:jc w:val="right"/>
              <w:ind w:right="520"/>
              <w:spacing w:after="0"/>
              <w:rPr>
                <w:sz w:val="20"/>
                <w:szCs w:val="20"/>
                <w:color w:val="auto"/>
              </w:rPr>
            </w:pPr>
            <w:r>
              <w:rPr>
                <w:rFonts w:ascii="Arial" w:cs="Arial" w:eastAsia="Arial" w:hAnsi="Arial"/>
                <w:sz w:val="17"/>
                <w:szCs w:val="17"/>
                <w:color w:val="auto"/>
              </w:rPr>
              <w:t>62,550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Provision (benefit) pursuant to tax receivable agreement</w:t>
            </w:r>
          </w:p>
        </w:tc>
        <w:tc>
          <w:tcPr>
            <w:tcW w:w="1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(1,258)</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(1,258)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80" w:type="dxa"/>
            <w:vAlign w:val="bottom"/>
            <w:gridSpan w:val="2"/>
          </w:tcPr>
          <w:p>
            <w:pPr>
              <w:ind w:left="820"/>
              <w:spacing w:after="0"/>
              <w:rPr>
                <w:sz w:val="20"/>
                <w:szCs w:val="20"/>
                <w:color w:val="auto"/>
              </w:rPr>
            </w:pPr>
            <w:r>
              <w:rPr>
                <w:rFonts w:ascii="Arial" w:cs="Arial" w:eastAsia="Arial" w:hAnsi="Arial"/>
                <w:sz w:val="17"/>
                <w:szCs w:val="17"/>
                <w:color w:val="auto"/>
              </w:rPr>
              <w:t>Total operating expenses</w:t>
            </w:r>
          </w:p>
        </w:tc>
        <w:tc>
          <w:tcPr>
            <w:tcW w:w="16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1,712,752</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1,503,176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Operating Income (Loss)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(182,234)</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gridSpan w:val="2"/>
          </w:tcPr>
          <w:p>
            <w:pPr>
              <w:ind w:left="400"/>
              <w:spacing w:after="0"/>
              <w:rPr>
                <w:sz w:val="20"/>
                <w:szCs w:val="20"/>
                <w:color w:val="auto"/>
              </w:rPr>
            </w:pPr>
            <w:r>
              <w:rPr>
                <w:rFonts w:ascii="Arial" w:cs="Arial" w:eastAsia="Arial" w:hAnsi="Arial"/>
                <w:sz w:val="17"/>
                <w:szCs w:val="17"/>
                <w:color w:val="auto"/>
              </w:rPr>
              <w:t>Provision (benefit) for income taxes</w:t>
            </w:r>
          </w:p>
        </w:tc>
        <w:tc>
          <w:tcPr>
            <w:tcW w:w="16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6,011</w:t>
            </w:r>
          </w:p>
        </w:tc>
        <w:tc>
          <w:tcPr>
            <w:tcW w:w="60" w:type="dxa"/>
            <w:vAlign w:val="bottom"/>
          </w:tcPr>
          <w:p>
            <w:pPr>
              <w:spacing w:after="0"/>
              <w:rPr>
                <w:sz w:val="18"/>
                <w:szCs w:val="18"/>
                <w:color w:val="auto"/>
              </w:rPr>
            </w:pPr>
          </w:p>
        </w:tc>
        <w:tc>
          <w:tcPr>
            <w:tcW w:w="1780" w:type="dxa"/>
            <w:vAlign w:val="bottom"/>
            <w:gridSpan w:val="3"/>
          </w:tcPr>
          <w:p>
            <w:pPr>
              <w:jc w:val="right"/>
              <w:ind w:right="460"/>
              <w:spacing w:after="0"/>
              <w:rPr>
                <w:sz w:val="20"/>
                <w:szCs w:val="20"/>
                <w:color w:val="auto"/>
              </w:rPr>
            </w:pPr>
            <w:r>
              <w:rPr>
                <w:rFonts w:ascii="Arial" w:cs="Arial" w:eastAsia="Arial" w:hAnsi="Arial"/>
                <w:sz w:val="17"/>
                <w:szCs w:val="17"/>
                <w:color w:val="auto"/>
              </w:rPr>
              <w:t>(8,967)</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Income (Loss)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(188,245)</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Less – Net Income (Loss) Attributable to Noncontrolling Interests</w:t>
            </w:r>
          </w:p>
        </w:tc>
        <w:tc>
          <w:tcPr>
            <w:tcW w:w="16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(58,003)</w:t>
            </w:r>
          </w:p>
        </w:tc>
        <w:tc>
          <w:tcPr>
            <w:tcW w:w="1780" w:type="dxa"/>
            <w:vAlign w:val="bottom"/>
            <w:gridSpan w:val="3"/>
          </w:tcPr>
          <w:p>
            <w:pPr>
              <w:jc w:val="right"/>
              <w:ind w:right="460"/>
              <w:spacing w:after="0"/>
              <w:rPr>
                <w:sz w:val="20"/>
                <w:szCs w:val="20"/>
                <w:color w:val="auto"/>
              </w:rPr>
            </w:pPr>
            <w:r>
              <w:rPr>
                <w:rFonts w:ascii="Arial" w:cs="Arial" w:eastAsia="Arial" w:hAnsi="Arial"/>
                <w:sz w:val="17"/>
                <w:szCs w:val="17"/>
                <w:color w:val="auto"/>
              </w:rPr>
              <w:t>(57,890)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Income (Loss) Attributable to Lazard Ltd</w:t>
            </w:r>
          </w:p>
        </w:tc>
        <w:tc>
          <w:tcPr>
            <w:tcW w:w="1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4"/>
              </w:rPr>
              <w:t>$ (130,242)</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7"/>
                <w:szCs w:val="17"/>
                <w:b w:val="1"/>
                <w:bCs w:val="1"/>
                <w:i w:val="1"/>
                <w:iCs w:val="1"/>
                <w:color w:val="auto"/>
              </w:rPr>
              <w:t>Operating Income (Loss), As A % Of Net Revenue</w:t>
            </w:r>
          </w:p>
        </w:tc>
        <w:tc>
          <w:tcPr>
            <w:tcW w:w="1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200" w:type="dxa"/>
            <w:vAlign w:val="bottom"/>
            <w:gridSpan w:val="3"/>
            <w:vMerge w:val="continue"/>
          </w:tcPr>
          <w:p>
            <w:pPr>
              <w:spacing w:after="0"/>
              <w:rPr>
                <w:sz w:val="18"/>
                <w:szCs w:val="18"/>
                <w:color w:val="auto"/>
              </w:rPr>
            </w:pPr>
          </w:p>
        </w:tc>
        <w:tc>
          <w:tcPr>
            <w:tcW w:w="3060" w:type="dxa"/>
            <w:vAlign w:val="bottom"/>
            <w:gridSpan w:val="4"/>
          </w:tcPr>
          <w:p>
            <w:pPr>
              <w:jc w:val="right"/>
              <w:ind w:right="402"/>
              <w:spacing w:after="0"/>
              <w:rPr>
                <w:sz w:val="20"/>
                <w:szCs w:val="20"/>
                <w:color w:val="auto"/>
              </w:rPr>
            </w:pPr>
            <w:r>
              <w:rPr>
                <w:rFonts w:ascii="Arial" w:cs="Arial" w:eastAsia="Arial" w:hAnsi="Arial"/>
                <w:sz w:val="17"/>
                <w:szCs w:val="17"/>
                <w:color w:val="auto"/>
              </w:rPr>
              <w:t>(12)%</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5620" w:right="1380" w:hanging="5616"/>
        <w:spacing w:after="0" w:line="456" w:lineRule="auto"/>
        <w:tabs>
          <w:tab w:leader="none" w:pos="4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charges related to the previously described special items. See Notes 16, 18 and 23 of Notes to Consolidated Financial Statements. 43</w:t>
      </w:r>
    </w:p>
    <w:p>
      <w:pPr>
        <w:sectPr>
          <w:pgSz w:w="11900" w:h="16838" w:orient="portrait"/>
          <w:cols w:equalWidth="0" w:num="1">
            <w:col w:w="11420"/>
          </w:cols>
          <w:pgMar w:left="240" w:top="448"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2540" w:type="dxa"/>
            <w:vAlign w:val="bottom"/>
            <w:tcBorders>
              <w:bottom w:val="single" w:sz="8" w:color="auto"/>
            </w:tcBorders>
            <w:gridSpan w:val="6"/>
          </w:tcPr>
          <w:p>
            <w:pPr>
              <w:ind w:left="780"/>
              <w:spacing w:after="0"/>
              <w:rPr>
                <w:sz w:val="20"/>
                <w:szCs w:val="20"/>
                <w:color w:val="auto"/>
              </w:rPr>
            </w:pPr>
            <w:r>
              <w:rPr>
                <w:rFonts w:ascii="Arial" w:cs="Arial" w:eastAsia="Arial" w:hAnsi="Arial"/>
                <w:sz w:val="13"/>
                <w:szCs w:val="13"/>
                <w:b w:val="1"/>
                <w:bCs w:val="1"/>
                <w:color w:val="auto"/>
                <w:w w:val="90"/>
              </w:rPr>
              <w:t>Year Ended December 31, 2008</w:t>
            </w: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6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Non-</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520"/>
              <w:spacing w:after="0" w:line="144" w:lineRule="exact"/>
              <w:rPr>
                <w:sz w:val="20"/>
                <w:szCs w:val="20"/>
                <w:color w:val="auto"/>
              </w:rPr>
            </w:pPr>
            <w:r>
              <w:rPr>
                <w:rFonts w:ascii="Arial" w:cs="Arial" w:eastAsia="Arial" w:hAnsi="Arial"/>
                <w:sz w:val="13"/>
                <w:szCs w:val="13"/>
                <w:b w:val="1"/>
                <w:bCs w:val="1"/>
                <w:color w:val="auto"/>
                <w:w w:val="93"/>
              </w:rPr>
              <w:t>Impact of</w:t>
            </w: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6"/>
              </w:rPr>
              <w:t>U.S. GAAP</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80" w:type="dxa"/>
            <w:vAlign w:val="bottom"/>
            <w:gridSpan w:val="2"/>
          </w:tcPr>
          <w:p>
            <w:pPr>
              <w:jc w:val="right"/>
              <w:ind w:right="360"/>
              <w:spacing w:after="0" w:line="144" w:lineRule="exact"/>
              <w:rPr>
                <w:sz w:val="20"/>
                <w:szCs w:val="20"/>
                <w:color w:val="auto"/>
              </w:rPr>
            </w:pPr>
            <w:r>
              <w:rPr>
                <w:rFonts w:ascii="Arial" w:cs="Arial" w:eastAsia="Arial" w:hAnsi="Arial"/>
                <w:sz w:val="13"/>
                <w:szCs w:val="13"/>
                <w:b w:val="1"/>
                <w:bCs w:val="1"/>
                <w:color w:val="auto"/>
              </w:rPr>
              <w:t>U.S. GAAP</w:t>
            </w:r>
          </w:p>
        </w:tc>
        <w:tc>
          <w:tcPr>
            <w:tcW w:w="280" w:type="dxa"/>
            <w:vAlign w:val="bottom"/>
          </w:tcPr>
          <w:p>
            <w:pPr>
              <w:spacing w:after="0"/>
              <w:rPr>
                <w:sz w:val="12"/>
                <w:szCs w:val="12"/>
                <w:color w:val="auto"/>
              </w:rPr>
            </w:pPr>
          </w:p>
        </w:tc>
        <w:tc>
          <w:tcPr>
            <w:tcW w:w="1180" w:type="dxa"/>
            <w:vAlign w:val="bottom"/>
            <w:gridSpan w:val="3"/>
          </w:tcPr>
          <w:p>
            <w:pPr>
              <w:jc w:val="center"/>
              <w:ind w:right="500"/>
              <w:spacing w:after="0" w:line="144" w:lineRule="exact"/>
              <w:rPr>
                <w:sz w:val="20"/>
                <w:szCs w:val="20"/>
                <w:color w:val="auto"/>
              </w:rPr>
            </w:pPr>
            <w:r>
              <w:rPr>
                <w:rFonts w:ascii="Arial" w:cs="Arial" w:eastAsia="Arial" w:hAnsi="Arial"/>
                <w:sz w:val="13"/>
                <w:szCs w:val="13"/>
                <w:b w:val="1"/>
                <w:bCs w:val="1"/>
                <w:color w:val="auto"/>
                <w:w w:val="87"/>
              </w:rPr>
              <w:t>Special</w:t>
            </w: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Excluding</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5"/>
              </w:rPr>
              <w:t>As Reported</w:t>
            </w:r>
          </w:p>
        </w:tc>
        <w:tc>
          <w:tcPr>
            <w:tcW w:w="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5"/>
              </w:rPr>
              <w:t>Item (a)</w:t>
            </w: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Special Item</w:t>
            </w: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79"/>
              </w:rPr>
              <w:t>in thousands)</w:t>
            </w:r>
          </w:p>
        </w:tc>
        <w:tc>
          <w:tcPr>
            <w:tcW w:w="4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Revenue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1,557,207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1,557,207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79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Operating Expenses:</w:t>
            </w: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Compensation and benefits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1,128,253</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$197,550</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930,703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gridSpan w:val="2"/>
          </w:tcPr>
          <w:p>
            <w:pPr>
              <w:ind w:left="420"/>
              <w:spacing w:after="0"/>
              <w:rPr>
                <w:sz w:val="20"/>
                <w:szCs w:val="20"/>
                <w:color w:val="auto"/>
              </w:rPr>
            </w:pPr>
            <w:r>
              <w:rPr>
                <w:rFonts w:ascii="Arial" w:cs="Arial" w:eastAsia="Arial" w:hAnsi="Arial"/>
                <w:sz w:val="17"/>
                <w:szCs w:val="17"/>
                <w:color w:val="auto"/>
              </w:rPr>
              <w:t>Non-compensation expense</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382,134</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2,000</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380,134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Amortization of intangible assets related to acquisitions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4,596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20" w:type="dxa"/>
            <w:vAlign w:val="bottom"/>
            <w:gridSpan w:val="2"/>
          </w:tcPr>
          <w:p>
            <w:pPr>
              <w:ind w:left="420"/>
              <w:spacing w:after="0"/>
              <w:rPr>
                <w:sz w:val="20"/>
                <w:szCs w:val="20"/>
                <w:color w:val="auto"/>
              </w:rPr>
            </w:pPr>
            <w:r>
              <w:rPr>
                <w:rFonts w:ascii="Arial" w:cs="Arial" w:eastAsia="Arial" w:hAnsi="Arial"/>
                <w:sz w:val="17"/>
                <w:szCs w:val="17"/>
                <w:color w:val="auto"/>
              </w:rPr>
              <w:t>Provision pursuant to tax receivable agreement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17,084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Total operating expenses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1,532,067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1,332,517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Operating Income</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25,140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224,690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Provision (benefit) for income taxes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25,379</w:t>
            </w: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(7,427)</w:t>
            </w:r>
          </w:p>
        </w:tc>
        <w:tc>
          <w:tcPr>
            <w:tcW w:w="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Net Income (Loss)</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(239)</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191,884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Less – Net Income (Loss) Attributable to Noncontrolling Interests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(3,377)</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(83,495)</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Net Income Attributable to Lazard Ltd</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$111,766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Operating Income (Loss), As A % Of Net Revenue</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6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hanging="456"/>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charges related to the previously described special item. See Notes 8 and 23 of Notes to Consolidated Financial Statements.</w:t>
      </w:r>
    </w:p>
    <w:p>
      <w:pPr>
        <w:spacing w:after="0" w:line="157" w:lineRule="exact"/>
        <w:rPr>
          <w:sz w:val="20"/>
          <w:szCs w:val="20"/>
          <w:color w:val="auto"/>
        </w:rPr>
      </w:pPr>
    </w:p>
    <w:p>
      <w:pPr>
        <w:ind w:right="80" w:firstLine="457"/>
        <w:spacing w:after="0" w:line="268" w:lineRule="auto"/>
        <w:rPr>
          <w:sz w:val="20"/>
          <w:szCs w:val="20"/>
          <w:color w:val="auto"/>
        </w:rPr>
      </w:pPr>
      <w:r>
        <w:rPr>
          <w:rFonts w:ascii="Arial" w:cs="Arial" w:eastAsia="Arial" w:hAnsi="Arial"/>
          <w:sz w:val="17"/>
          <w:szCs w:val="17"/>
          <w:color w:val="auto"/>
        </w:rPr>
        <w:t>The table below describes the components of operating revenue, a non-U.S. 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0"/>
              </w:rPr>
              <w:t>Year Ended December 31,</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900" w:type="dxa"/>
            <w:vAlign w:val="bottom"/>
          </w:tcPr>
          <w:p>
            <w:pPr>
              <w:jc w:val="right"/>
              <w:ind w:right="239"/>
              <w:spacing w:after="0" w:line="137" w:lineRule="exact"/>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1"/>
                <w:szCs w:val="11"/>
                <w:color w:val="auto"/>
              </w:rPr>
            </w:pPr>
          </w:p>
        </w:tc>
        <w:tc>
          <w:tcPr>
            <w:tcW w:w="1160" w:type="dxa"/>
            <w:vAlign w:val="bottom"/>
            <w:gridSpan w:val="2"/>
          </w:tcPr>
          <w:p>
            <w:pPr>
              <w:jc w:val="center"/>
              <w:ind w:left="183"/>
              <w:spacing w:after="0" w:line="137" w:lineRule="exact"/>
              <w:rPr>
                <w:sz w:val="20"/>
                <w:szCs w:val="20"/>
                <w:color w:val="auto"/>
              </w:rPr>
            </w:pPr>
            <w:r>
              <w:rPr>
                <w:rFonts w:ascii="Arial" w:cs="Arial" w:eastAsia="Arial" w:hAnsi="Arial"/>
                <w:sz w:val="13"/>
                <w:szCs w:val="13"/>
                <w:b w:val="1"/>
                <w:bCs w:val="1"/>
                <w:color w:val="auto"/>
                <w:w w:val="89"/>
              </w:rPr>
              <w:t>2009</w:t>
            </w:r>
          </w:p>
        </w:tc>
        <w:tc>
          <w:tcPr>
            <w:tcW w:w="340" w:type="dxa"/>
            <w:vAlign w:val="bottom"/>
          </w:tcPr>
          <w:p>
            <w:pPr>
              <w:spacing w:after="0"/>
              <w:rPr>
                <w:sz w:val="11"/>
                <w:szCs w:val="11"/>
                <w:color w:val="auto"/>
              </w:rPr>
            </w:pPr>
          </w:p>
        </w:tc>
        <w:tc>
          <w:tcPr>
            <w:tcW w:w="940" w:type="dxa"/>
            <w:vAlign w:val="bottom"/>
          </w:tcPr>
          <w:p>
            <w:pPr>
              <w:jc w:val="right"/>
              <w:ind w:right="259"/>
              <w:spacing w:after="0" w:line="137" w:lineRule="exact"/>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 in thousands)</w:t>
            </w:r>
          </w:p>
        </w:tc>
        <w:tc>
          <w:tcPr>
            <w:tcW w:w="3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Operating revenue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gridSpan w:val="2"/>
          </w:tcPr>
          <w:p>
            <w:pPr>
              <w:spacing w:after="0"/>
              <w:rPr>
                <w:sz w:val="20"/>
                <w:szCs w:val="20"/>
                <w:color w:val="auto"/>
              </w:rPr>
            </w:pPr>
            <w:r>
              <w:rPr>
                <w:rFonts w:ascii="Arial" w:cs="Arial" w:eastAsia="Arial" w:hAnsi="Arial"/>
                <w:sz w:val="17"/>
                <w:szCs w:val="17"/>
                <w:color w:val="auto"/>
              </w:rPr>
              <w:t>Total revenue</w:t>
            </w:r>
          </w:p>
        </w:tc>
        <w:tc>
          <w:tcPr>
            <w:tcW w:w="900" w:type="dxa"/>
            <w:vAlign w:val="bottom"/>
          </w:tcPr>
          <w:p>
            <w:pPr>
              <w:jc w:val="right"/>
              <w:spacing w:after="0"/>
              <w:rPr>
                <w:sz w:val="20"/>
                <w:szCs w:val="20"/>
                <w:color w:val="auto"/>
              </w:rPr>
            </w:pPr>
            <w:r>
              <w:rPr>
                <w:rFonts w:ascii="Arial" w:cs="Arial" w:eastAsia="Arial" w:hAnsi="Arial"/>
                <w:sz w:val="17"/>
                <w:szCs w:val="17"/>
                <w:color w:val="auto"/>
              </w:rPr>
              <w:t>$2,003,077</w:t>
            </w:r>
          </w:p>
        </w:tc>
        <w:tc>
          <w:tcPr>
            <w:tcW w:w="8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7"/>
                <w:szCs w:val="17"/>
                <w:color w:val="auto"/>
              </w:rPr>
              <w:t>$1,638,408</w:t>
            </w:r>
          </w:p>
        </w:tc>
        <w:tc>
          <w:tcPr>
            <w:tcW w:w="940" w:type="dxa"/>
            <w:vAlign w:val="bottom"/>
          </w:tcPr>
          <w:p>
            <w:pPr>
              <w:jc w:val="right"/>
              <w:spacing w:after="0"/>
              <w:rPr>
                <w:sz w:val="20"/>
                <w:szCs w:val="20"/>
                <w:color w:val="auto"/>
              </w:rPr>
            </w:pPr>
            <w:r>
              <w:rPr>
                <w:rFonts w:ascii="Arial" w:cs="Arial" w:eastAsia="Arial" w:hAnsi="Arial"/>
                <w:sz w:val="17"/>
                <w:szCs w:val="17"/>
                <w:color w:val="auto"/>
              </w:rPr>
              <w:t>$1,697,106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 (deduct):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gridSpan w:val="2"/>
          </w:tcPr>
          <w:p>
            <w:pPr>
              <w:ind w:left="420"/>
              <w:spacing w:after="0"/>
              <w:rPr>
                <w:sz w:val="20"/>
                <w:szCs w:val="20"/>
                <w:color w:val="auto"/>
              </w:rPr>
            </w:pPr>
            <w:r>
              <w:rPr>
                <w:rFonts w:ascii="Arial" w:cs="Arial" w:eastAsia="Arial" w:hAnsi="Arial"/>
                <w:sz w:val="17"/>
                <w:szCs w:val="17"/>
                <w:color w:val="auto"/>
              </w:rPr>
              <w:t>LFB interest expense (a)</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(8,277)</w:t>
            </w:r>
          </w:p>
        </w:tc>
        <w:tc>
          <w:tcPr>
            <w:tcW w:w="1500" w:type="dxa"/>
            <w:vAlign w:val="bottom"/>
            <w:gridSpan w:val="3"/>
          </w:tcPr>
          <w:p>
            <w:pPr>
              <w:jc w:val="right"/>
              <w:ind w:right="280"/>
              <w:spacing w:after="0"/>
              <w:rPr>
                <w:sz w:val="20"/>
                <w:szCs w:val="20"/>
                <w:color w:val="auto"/>
              </w:rPr>
            </w:pPr>
            <w:r>
              <w:rPr>
                <w:rFonts w:ascii="Arial" w:cs="Arial" w:eastAsia="Arial" w:hAnsi="Arial"/>
                <w:sz w:val="17"/>
                <w:szCs w:val="17"/>
                <w:color w:val="auto"/>
              </w:rPr>
              <w:t>(13,815)</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(35,358)</w:t>
            </w:r>
          </w:p>
        </w:tc>
        <w:tc>
          <w:tcPr>
            <w:tcW w:w="0" w:type="dxa"/>
            <w:vAlign w:val="bottom"/>
          </w:tcPr>
          <w:p>
            <w:pPr>
              <w:spacing w:after="0"/>
              <w:rPr>
                <w:sz w:val="1"/>
                <w:szCs w:val="1"/>
                <w:color w:val="auto"/>
              </w:rPr>
            </w:pPr>
          </w:p>
        </w:tc>
      </w:tr>
      <w:tr>
        <w:trPr>
          <w:trHeight w:val="209"/>
        </w:trPr>
        <w:tc>
          <w:tcPr>
            <w:tcW w:w="78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Revenue related to noncontrolling interests (b)</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(16,277)</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(6,965)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7"/>
                <w:szCs w:val="17"/>
                <w:color w:val="auto"/>
              </w:rPr>
              <w:t>Operating revenue</w:t>
            </w: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880" w:type="dxa"/>
            <w:vAlign w:val="bottom"/>
            <w:gridSpan w:val="2"/>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$1,978,523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$1,617,628</w:t>
            </w:r>
          </w:p>
        </w:tc>
        <w:tc>
          <w:tcPr>
            <w:tcW w:w="940" w:type="dxa"/>
            <w:vAlign w:val="bottom"/>
          </w:tcPr>
          <w:p>
            <w:pPr>
              <w:jc w:val="right"/>
              <w:spacing w:after="0"/>
              <w:rPr>
                <w:sz w:val="20"/>
                <w:szCs w:val="20"/>
                <w:color w:val="auto"/>
              </w:rPr>
            </w:pPr>
            <w:r>
              <w:rPr>
                <w:rFonts w:ascii="Arial" w:cs="Arial" w:eastAsia="Arial" w:hAnsi="Arial"/>
                <w:sz w:val="17"/>
                <w:szCs w:val="17"/>
                <w:color w:val="auto"/>
              </w:rPr>
              <w:t>$1,675,096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16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right="220" w:hanging="456"/>
        <w:spacing w:after="0" w:line="260"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interest expense incurred by LFB is reported as a charge in determining operating revenue because LFB is a commercial bank and we consider its interest expense to be a cost directly related to the revenues of its business.</w:t>
      </w:r>
    </w:p>
    <w:p>
      <w:pPr>
        <w:ind w:left="460" w:right="420" w:hanging="456"/>
        <w:spacing w:after="0" w:line="272"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Revenue related to the consolidation of noncontrolling interests is excluded from operating revenue because the Company has no economic interest in such amount. Further, such results are offset by a charge or credit to noncontrolling interests.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48"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key ratios, statistics and headcount information for the years ended December 31, 2010, 2009 and 2008 are set forth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3"/>
                <w:szCs w:val="13"/>
                <w:b w:val="1"/>
                <w:bCs w:val="1"/>
                <w:color w:val="auto"/>
                <w:w w:val="91"/>
              </w:rPr>
              <w:t>Year Ended December 31,</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280" w:type="dxa"/>
            <w:vAlign w:val="bottom"/>
            <w:vMerge w:val="restart"/>
          </w:tcPr>
          <w:p>
            <w:pPr>
              <w:spacing w:after="0"/>
              <w:rPr>
                <w:sz w:val="20"/>
                <w:szCs w:val="20"/>
                <w:color w:val="auto"/>
              </w:rPr>
            </w:pPr>
            <w:r>
              <w:rPr>
                <w:rFonts w:ascii="Arial" w:cs="Arial" w:eastAsia="Arial" w:hAnsi="Arial"/>
                <w:sz w:val="17"/>
                <w:szCs w:val="17"/>
                <w:b w:val="1"/>
                <w:bCs w:val="1"/>
                <w:color w:val="auto"/>
              </w:rPr>
              <w:t>As a % of Net Revenue, by Revenue Category:</w:t>
            </w:r>
          </w:p>
        </w:tc>
        <w:tc>
          <w:tcPr>
            <w:tcW w:w="320" w:type="dxa"/>
            <w:vAlign w:val="bottom"/>
          </w:tcPr>
          <w:p>
            <w:pPr>
              <w:jc w:val="right"/>
              <w:spacing w:after="0" w:line="137" w:lineRule="exact"/>
              <w:rPr>
                <w:sz w:val="20"/>
                <w:szCs w:val="20"/>
                <w:color w:val="auto"/>
              </w:rPr>
            </w:pPr>
            <w:r>
              <w:rPr>
                <w:rFonts w:ascii="Arial" w:cs="Arial" w:eastAsia="Arial" w:hAnsi="Arial"/>
                <w:sz w:val="13"/>
                <w:szCs w:val="13"/>
                <w:b w:val="1"/>
                <w:bCs w:val="1"/>
                <w:color w:val="auto"/>
                <w:w w:val="89"/>
              </w:rPr>
              <w:t>2010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jc w:val="right"/>
              <w:spacing w:after="0" w:line="137" w:lineRule="exact"/>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7" w:lineRule="exact"/>
              <w:rPr>
                <w:sz w:val="20"/>
                <w:szCs w:val="20"/>
                <w:color w:val="auto"/>
              </w:rPr>
            </w:pPr>
            <w:r>
              <w:rPr>
                <w:rFonts w:ascii="Arial" w:cs="Arial" w:eastAsia="Arial" w:hAnsi="Arial"/>
                <w:sz w:val="13"/>
                <w:szCs w:val="13"/>
                <w:b w:val="1"/>
                <w:bCs w:val="1"/>
                <w:color w:val="auto"/>
                <w:w w:val="89"/>
              </w:rPr>
              <w:t>2008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8280" w:type="dxa"/>
            <w:vAlign w:val="bottom"/>
            <w:vMerge w:val="continue"/>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Investment banking and other advisory fees</w:t>
            </w:r>
          </w:p>
        </w:tc>
        <w:tc>
          <w:tcPr>
            <w:tcW w:w="860" w:type="dxa"/>
            <w:vAlign w:val="bottom"/>
            <w:gridSpan w:val="3"/>
            <w:shd w:val="clear" w:color="auto" w:fill="CCEEFF"/>
          </w:tcPr>
          <w:p>
            <w:pPr>
              <w:jc w:val="right"/>
              <w:ind w:right="328"/>
              <w:spacing w:after="0"/>
              <w:rPr>
                <w:sz w:val="20"/>
                <w:szCs w:val="20"/>
                <w:color w:val="auto"/>
              </w:rPr>
            </w:pPr>
            <w:r>
              <w:rPr>
                <w:rFonts w:ascii="Arial" w:cs="Arial" w:eastAsia="Arial" w:hAnsi="Arial"/>
                <w:sz w:val="17"/>
                <w:szCs w:val="17"/>
                <w:color w:val="auto"/>
              </w:rPr>
              <w:t>58%</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62%</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9"/>
        </w:trPr>
        <w:tc>
          <w:tcPr>
            <w:tcW w:w="8280" w:type="dxa"/>
            <w:vAlign w:val="bottom"/>
          </w:tcPr>
          <w:p>
            <w:pPr>
              <w:ind w:left="220"/>
              <w:spacing w:after="0"/>
              <w:rPr>
                <w:sz w:val="20"/>
                <w:szCs w:val="20"/>
                <w:color w:val="auto"/>
              </w:rPr>
            </w:pPr>
            <w:r>
              <w:rPr>
                <w:rFonts w:ascii="Arial" w:cs="Arial" w:eastAsia="Arial" w:hAnsi="Arial"/>
                <w:sz w:val="17"/>
                <w:szCs w:val="17"/>
                <w:color w:val="auto"/>
              </w:rPr>
              <w:t>Money management fees</w:t>
            </w:r>
          </w:p>
        </w:tc>
        <w:tc>
          <w:tcPr>
            <w:tcW w:w="32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340"/>
              <w:spacing w:after="0"/>
              <w:rPr>
                <w:sz w:val="20"/>
                <w:szCs w:val="20"/>
                <w:color w:val="auto"/>
              </w:rPr>
            </w:pPr>
            <w:r>
              <w:rPr>
                <w:rFonts w:ascii="Arial" w:cs="Arial" w:eastAsia="Arial" w:hAnsi="Arial"/>
                <w:sz w:val="17"/>
                <w:szCs w:val="17"/>
                <w:color w:val="auto"/>
              </w:rPr>
              <w:t>37</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20"/>
              <w:spacing w:after="0"/>
              <w:rPr>
                <w:sz w:val="20"/>
                <w:szCs w:val="20"/>
                <w:color w:val="auto"/>
              </w:rPr>
            </w:pPr>
            <w:r>
              <w:rPr>
                <w:rFonts w:ascii="Arial" w:cs="Arial" w:eastAsia="Arial" w:hAnsi="Arial"/>
                <w:sz w:val="17"/>
                <w:szCs w:val="17"/>
                <w:color w:val="auto"/>
              </w:rPr>
              <w:t>Other</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340"/>
              <w:spacing w:after="0"/>
              <w:rPr>
                <w:sz w:val="20"/>
                <w:szCs w:val="20"/>
                <w:color w:val="auto"/>
              </w:rPr>
            </w:pPr>
            <w:r>
              <w:rPr>
                <w:rFonts w:ascii="Arial" w:cs="Arial" w:eastAsia="Arial" w:hAnsi="Arial"/>
                <w:sz w:val="17"/>
                <w:szCs w:val="17"/>
                <w:color w:val="auto"/>
              </w:rPr>
              <w:t>6</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(7)</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ind w:left="420"/>
              <w:spacing w:after="0"/>
              <w:rPr>
                <w:sz w:val="20"/>
                <w:szCs w:val="20"/>
                <w:color w:val="auto"/>
              </w:rPr>
            </w:pPr>
            <w:r>
              <w:rPr>
                <w:rFonts w:ascii="Arial" w:cs="Arial" w:eastAsia="Arial" w:hAnsi="Arial"/>
                <w:sz w:val="17"/>
                <w:szCs w:val="17"/>
                <w:color w:val="auto"/>
              </w:rPr>
              <w:t>Net Revenue</w:t>
            </w: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280" w:type="dxa"/>
            <w:vAlign w:val="bottom"/>
            <w:vMerge w:val="continue"/>
          </w:tcPr>
          <w:p>
            <w:pPr>
              <w:spacing w:after="0"/>
              <w:rPr>
                <w:sz w:val="18"/>
                <w:szCs w:val="18"/>
                <w:color w:val="auto"/>
              </w:rPr>
            </w:pPr>
          </w:p>
        </w:tc>
        <w:tc>
          <w:tcPr>
            <w:tcW w:w="860" w:type="dxa"/>
            <w:vAlign w:val="bottom"/>
            <w:gridSpan w:val="3"/>
          </w:tcPr>
          <w:p>
            <w:pPr>
              <w:jc w:val="right"/>
              <w:ind w:right="328"/>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7"/>
                <w:szCs w:val="17"/>
                <w:color w:val="auto"/>
              </w:rPr>
              <w:t>100%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7"/>
                <w:szCs w:val="17"/>
                <w:color w:val="auto"/>
                <w:w w:val="96"/>
              </w:rPr>
              <w:t>100%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300" w:type="dxa"/>
            <w:vAlign w:val="bottom"/>
            <w:gridSpan w:val="5"/>
          </w:tcPr>
          <w:p>
            <w:pPr>
              <w:ind w:left="460"/>
              <w:spacing w:after="0"/>
              <w:rPr>
                <w:sz w:val="20"/>
                <w:szCs w:val="20"/>
                <w:color w:val="auto"/>
              </w:rPr>
            </w:pPr>
            <w:r>
              <w:rPr>
                <w:rFonts w:ascii="Arial" w:cs="Arial" w:eastAsia="Arial" w:hAnsi="Arial"/>
                <w:sz w:val="17"/>
                <w:szCs w:val="17"/>
                <w:color w:val="auto"/>
                <w:w w:val="99"/>
              </w:rPr>
              <w:t>See Note 23 of Notes to Consolidated Financial Statements for additional financial information on a geographic basis.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ind w:left="180"/>
              <w:spacing w:after="0"/>
              <w:rPr>
                <w:sz w:val="20"/>
                <w:szCs w:val="20"/>
                <w:color w:val="auto"/>
              </w:rPr>
            </w:pPr>
            <w:r>
              <w:rPr>
                <w:rFonts w:ascii="Arial" w:cs="Arial" w:eastAsia="Arial" w:hAnsi="Arial"/>
                <w:sz w:val="13"/>
                <w:szCs w:val="13"/>
                <w:b w:val="1"/>
                <w:bCs w:val="1"/>
                <w:color w:val="auto"/>
              </w:rPr>
              <w:t>As of December 31,</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280" w:type="dxa"/>
            <w:vAlign w:val="bottom"/>
            <w:vMerge w:val="restart"/>
          </w:tcPr>
          <w:p>
            <w:pPr>
              <w:spacing w:after="0"/>
              <w:rPr>
                <w:sz w:val="20"/>
                <w:szCs w:val="20"/>
                <w:color w:val="auto"/>
              </w:rPr>
            </w:pPr>
            <w:r>
              <w:rPr>
                <w:rFonts w:ascii="Arial" w:cs="Arial" w:eastAsia="Arial" w:hAnsi="Arial"/>
                <w:sz w:val="17"/>
                <w:szCs w:val="17"/>
                <w:b w:val="1"/>
                <w:bCs w:val="1"/>
                <w:color w:val="auto"/>
              </w:rPr>
              <w:t>Headcount:</w:t>
            </w:r>
          </w:p>
        </w:tc>
        <w:tc>
          <w:tcPr>
            <w:tcW w:w="420" w:type="dxa"/>
            <w:vAlign w:val="bottom"/>
            <w:gridSpan w:val="2"/>
          </w:tcPr>
          <w:p>
            <w:pPr>
              <w:spacing w:after="0"/>
              <w:rPr>
                <w:sz w:val="11"/>
                <w:szCs w:val="11"/>
                <w:color w:val="auto"/>
              </w:rPr>
            </w:pPr>
          </w:p>
        </w:tc>
        <w:tc>
          <w:tcPr>
            <w:tcW w:w="440" w:type="dxa"/>
            <w:vAlign w:val="bottom"/>
          </w:tcPr>
          <w:p>
            <w:pPr>
              <w:jc w:val="right"/>
              <w:ind w:right="28"/>
              <w:spacing w:after="0" w:line="137"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940" w:type="dxa"/>
            <w:vAlign w:val="bottom"/>
            <w:gridSpan w:val="4"/>
          </w:tcPr>
          <w:p>
            <w:pPr>
              <w:jc w:val="right"/>
              <w:ind w:right="100"/>
              <w:spacing w:after="0" w:line="137" w:lineRule="exact"/>
              <w:rPr>
                <w:sz w:val="20"/>
                <w:szCs w:val="20"/>
                <w:color w:val="auto"/>
              </w:rPr>
            </w:pPr>
            <w:r>
              <w:rPr>
                <w:rFonts w:ascii="Arial" w:cs="Arial" w:eastAsia="Arial" w:hAnsi="Arial"/>
                <w:sz w:val="13"/>
                <w:szCs w:val="13"/>
                <w:b w:val="1"/>
                <w:bCs w:val="1"/>
                <w:color w:val="auto"/>
              </w:rPr>
              <w:t>2009</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jc w:val="right"/>
              <w:ind w:right="100"/>
              <w:spacing w:after="0" w:line="137" w:lineRule="exact"/>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2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20"/>
              <w:spacing w:after="0"/>
              <w:rPr>
                <w:sz w:val="20"/>
                <w:szCs w:val="20"/>
                <w:color w:val="auto"/>
              </w:rPr>
            </w:pPr>
            <w:r>
              <w:rPr>
                <w:rFonts w:ascii="Arial" w:cs="Arial" w:eastAsia="Arial" w:hAnsi="Arial"/>
                <w:sz w:val="17"/>
                <w:szCs w:val="17"/>
                <w:color w:val="auto"/>
              </w:rPr>
              <w:t>Managing Directors: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Financial Advisory</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129</w:t>
            </w:r>
          </w:p>
        </w:tc>
        <w:tc>
          <w:tcPr>
            <w:tcW w:w="1580" w:type="dxa"/>
            <w:vAlign w:val="bottom"/>
            <w:gridSpan w:val="5"/>
            <w:shd w:val="clear" w:color="auto" w:fill="CCEEFF"/>
          </w:tcPr>
          <w:p>
            <w:pPr>
              <w:jc w:val="right"/>
              <w:ind w:right="640"/>
              <w:spacing w:after="0"/>
              <w:rPr>
                <w:sz w:val="20"/>
                <w:szCs w:val="20"/>
                <w:color w:val="auto"/>
              </w:rPr>
            </w:pPr>
            <w:r>
              <w:rPr>
                <w:rFonts w:ascii="Arial" w:cs="Arial" w:eastAsia="Arial" w:hAnsi="Arial"/>
                <w:sz w:val="17"/>
                <w:szCs w:val="17"/>
                <w:color w:val="auto"/>
              </w:rPr>
              <w:t>150</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420"/>
              <w:spacing w:after="0"/>
              <w:rPr>
                <w:sz w:val="20"/>
                <w:szCs w:val="20"/>
                <w:color w:val="auto"/>
              </w:rPr>
            </w:pPr>
            <w:r>
              <w:rPr>
                <w:rFonts w:ascii="Arial" w:cs="Arial" w:eastAsia="Arial" w:hAnsi="Arial"/>
                <w:sz w:val="17"/>
                <w:szCs w:val="17"/>
                <w:color w:val="auto"/>
              </w:rPr>
              <w:t>Asset Management</w:t>
            </w:r>
          </w:p>
        </w:tc>
        <w:tc>
          <w:tcPr>
            <w:tcW w:w="1020" w:type="dxa"/>
            <w:vAlign w:val="bottom"/>
            <w:gridSpan w:val="4"/>
          </w:tcPr>
          <w:p>
            <w:pPr>
              <w:jc w:val="right"/>
              <w:ind w:right="160"/>
              <w:spacing w:after="0"/>
              <w:rPr>
                <w:sz w:val="20"/>
                <w:szCs w:val="20"/>
                <w:color w:val="auto"/>
              </w:rPr>
            </w:pPr>
            <w:r>
              <w:rPr>
                <w:rFonts w:ascii="Arial" w:cs="Arial" w:eastAsia="Arial" w:hAnsi="Arial"/>
                <w:sz w:val="17"/>
                <w:szCs w:val="17"/>
                <w:color w:val="auto"/>
              </w:rPr>
              <w:t>64</w:t>
            </w:r>
          </w:p>
        </w:tc>
        <w:tc>
          <w:tcPr>
            <w:tcW w:w="1580" w:type="dxa"/>
            <w:vAlign w:val="bottom"/>
            <w:gridSpan w:val="5"/>
          </w:tcPr>
          <w:p>
            <w:pPr>
              <w:jc w:val="right"/>
              <w:ind w:right="640"/>
              <w:spacing w:after="0"/>
              <w:rPr>
                <w:sz w:val="20"/>
                <w:szCs w:val="20"/>
                <w:color w:val="auto"/>
              </w:rPr>
            </w:pPr>
            <w:r>
              <w:rPr>
                <w:rFonts w:ascii="Arial" w:cs="Arial" w:eastAsia="Arial" w:hAnsi="Arial"/>
                <w:sz w:val="17"/>
                <w:szCs w:val="17"/>
                <w:color w:val="auto"/>
              </w:rPr>
              <w:t>56</w:t>
            </w: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Corporate</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1580" w:type="dxa"/>
            <w:vAlign w:val="bottom"/>
            <w:gridSpan w:val="5"/>
            <w:shd w:val="clear" w:color="auto" w:fill="CCEEFF"/>
          </w:tcPr>
          <w:p>
            <w:pPr>
              <w:jc w:val="right"/>
              <w:ind w:right="640"/>
              <w:spacing w:after="0"/>
              <w:rPr>
                <w:sz w:val="20"/>
                <w:szCs w:val="20"/>
                <w:color w:val="auto"/>
              </w:rPr>
            </w:pPr>
            <w:r>
              <w:rPr>
                <w:rFonts w:ascii="Arial" w:cs="Arial" w:eastAsia="Arial" w:hAnsi="Arial"/>
                <w:sz w:val="17"/>
                <w:szCs w:val="17"/>
                <w:color w:val="auto"/>
              </w:rPr>
              <w:t>7</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20"/>
              <w:spacing w:after="0"/>
              <w:rPr>
                <w:sz w:val="20"/>
                <w:szCs w:val="20"/>
                <w:color w:val="auto"/>
              </w:rPr>
            </w:pPr>
            <w:r>
              <w:rPr>
                <w:rFonts w:ascii="Arial" w:cs="Arial" w:eastAsia="Arial" w:hAnsi="Arial"/>
                <w:sz w:val="17"/>
                <w:szCs w:val="17"/>
                <w:color w:val="auto"/>
              </w:rPr>
              <w:t>Other Employees: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Business segment professionals</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999</w:t>
            </w:r>
          </w:p>
        </w:tc>
        <w:tc>
          <w:tcPr>
            <w:tcW w:w="1580" w:type="dxa"/>
            <w:vAlign w:val="bottom"/>
            <w:gridSpan w:val="5"/>
            <w:shd w:val="clear" w:color="auto" w:fill="CCEEFF"/>
          </w:tcPr>
          <w:p>
            <w:pPr>
              <w:jc w:val="right"/>
              <w:ind w:right="640"/>
              <w:spacing w:after="0"/>
              <w:rPr>
                <w:sz w:val="20"/>
                <w:szCs w:val="20"/>
                <w:color w:val="auto"/>
              </w:rPr>
            </w:pPr>
            <w:r>
              <w:rPr>
                <w:rFonts w:ascii="Arial" w:cs="Arial" w:eastAsia="Arial" w:hAnsi="Arial"/>
                <w:sz w:val="17"/>
                <w:szCs w:val="17"/>
                <w:color w:val="auto"/>
              </w:rPr>
              <w:t>990</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80" w:type="dxa"/>
            <w:vAlign w:val="bottom"/>
          </w:tcPr>
          <w:p>
            <w:pPr>
              <w:ind w:left="420"/>
              <w:spacing w:after="0"/>
              <w:rPr>
                <w:sz w:val="20"/>
                <w:szCs w:val="20"/>
                <w:color w:val="auto"/>
              </w:rPr>
            </w:pPr>
            <w:r>
              <w:rPr>
                <w:rFonts w:ascii="Arial" w:cs="Arial" w:eastAsia="Arial" w:hAnsi="Arial"/>
                <w:sz w:val="17"/>
                <w:szCs w:val="17"/>
                <w:color w:val="auto"/>
              </w:rPr>
              <w:t>All other professionals and support staff</w:t>
            </w:r>
          </w:p>
        </w:tc>
        <w:tc>
          <w:tcPr>
            <w:tcW w:w="420" w:type="dxa"/>
            <w:vAlign w:val="bottom"/>
            <w:gridSpan w:val="2"/>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1,131</w:t>
            </w:r>
          </w:p>
        </w:tc>
        <w:tc>
          <w:tcPr>
            <w:tcW w:w="1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1,091</w:t>
            </w:r>
          </w:p>
        </w:tc>
        <w:tc>
          <w:tcPr>
            <w:tcW w:w="6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3"/>
              </w:rPr>
              <w:t>1,187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2,332</w:t>
            </w:r>
          </w:p>
        </w:tc>
        <w:tc>
          <w:tcPr>
            <w:tcW w:w="1580" w:type="dxa"/>
            <w:vAlign w:val="bottom"/>
            <w:gridSpan w:val="5"/>
            <w:shd w:val="clear" w:color="auto" w:fill="CCEEFF"/>
          </w:tcPr>
          <w:p>
            <w:pPr>
              <w:jc w:val="right"/>
              <w:ind w:right="640"/>
              <w:spacing w:after="0"/>
              <w:rPr>
                <w:sz w:val="20"/>
                <w:szCs w:val="20"/>
                <w:color w:val="auto"/>
              </w:rPr>
            </w:pPr>
            <w:r>
              <w:rPr>
                <w:rFonts w:ascii="Arial" w:cs="Arial" w:eastAsia="Arial" w:hAnsi="Arial"/>
                <w:sz w:val="17"/>
                <w:szCs w:val="17"/>
                <w:color w:val="auto"/>
              </w:rPr>
              <w:t>2,294</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2,434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Results</w:t>
      </w:r>
    </w:p>
    <w:p>
      <w:pPr>
        <w:spacing w:after="0" w:line="83" w:lineRule="exact"/>
        <w:rPr>
          <w:sz w:val="20"/>
          <w:szCs w:val="20"/>
          <w:color w:val="auto"/>
        </w:rPr>
      </w:pPr>
    </w:p>
    <w:p>
      <w:pPr>
        <w:ind w:right="260" w:firstLine="457"/>
        <w:spacing w:after="0" w:line="349" w:lineRule="auto"/>
        <w:rPr>
          <w:sz w:val="20"/>
          <w:szCs w:val="20"/>
          <w:color w:val="auto"/>
        </w:rPr>
      </w:pPr>
      <w:r>
        <w:rPr>
          <w:rFonts w:ascii="Arial" w:cs="Arial" w:eastAsia="Arial" w:hAnsi="Arial"/>
          <w:sz w:val="15"/>
          <w:szCs w:val="15"/>
          <w:color w:val="auto"/>
        </w:rPr>
        <w:t>As reflected in the tables of consolidated results of operations above, charges related to the 2010, 2009 and 2008 special items had a significant impact on the Company’s reported operating results. Lazard management believes that comparisons between years are most meaningful after excluding the impact of such items.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2010 versus December 31, 2009</w:t>
      </w:r>
    </w:p>
    <w:p>
      <w:pPr>
        <w:spacing w:after="0" w:line="79" w:lineRule="exact"/>
        <w:rPr>
          <w:sz w:val="20"/>
          <w:szCs w:val="20"/>
          <w:color w:val="auto"/>
        </w:rPr>
      </w:pPr>
    </w:p>
    <w:p>
      <w:pPr>
        <w:ind w:right="60" w:firstLine="457"/>
        <w:spacing w:after="0" w:line="310" w:lineRule="auto"/>
        <w:rPr>
          <w:sz w:val="20"/>
          <w:szCs w:val="20"/>
          <w:color w:val="auto"/>
        </w:rPr>
      </w:pPr>
      <w:r>
        <w:rPr>
          <w:rFonts w:ascii="Arial" w:cs="Arial" w:eastAsia="Arial" w:hAnsi="Arial"/>
          <w:sz w:val="15"/>
          <w:szCs w:val="15"/>
          <w:color w:val="auto"/>
        </w:rPr>
        <w:t>The Company reported net income attributable to Lazard Ltd of $175 million, as compared to a net loss of $130 million in 2009. In both years these results were adversely affected by the 2010 and the 2009 special items, which served to reduce the net income attributable to Lazard Ltd in 2010 and 2009 by $72 million and $143 million, respectively. Excluding the after-tax impact of the 2010 and 2009 special items in each year, net income attributable to Lazard Ltd in 2010 was $247 million, an increase of $234 million as compared to the prior year. The changes in the Company’s operating results during these years are described below.</w:t>
      </w:r>
    </w:p>
    <w:p>
      <w:pPr>
        <w:spacing w:after="0" w:line="88" w:lineRule="exact"/>
        <w:rPr>
          <w:sz w:val="20"/>
          <w:szCs w:val="20"/>
          <w:color w:val="auto"/>
        </w:rPr>
      </w:pPr>
    </w:p>
    <w:p>
      <w:pPr>
        <w:ind w:right="140" w:firstLine="457"/>
        <w:spacing w:after="0" w:line="280" w:lineRule="auto"/>
        <w:rPr>
          <w:sz w:val="20"/>
          <w:szCs w:val="20"/>
          <w:color w:val="auto"/>
        </w:rPr>
      </w:pPr>
      <w:r>
        <w:rPr>
          <w:rFonts w:ascii="Arial" w:cs="Arial" w:eastAsia="Arial" w:hAnsi="Arial"/>
          <w:sz w:val="16"/>
          <w:szCs w:val="16"/>
          <w:color w:val="auto"/>
        </w:rPr>
        <w:t>Net revenue increased $375 million, or 24%, as compared to 2009, with operating revenue increasing $361 million, or 22%. Fees from investment banking and other advisory activities increased $149 million, or 16%, including increases of $188 million, or 36%, in M&amp;A and Strategic Advisory fees, as well as higher Capital Markets and Other Advisory fees, principally from our Private Fund Advisory Group business, with the latter due to an increase in the value and number of fund closings, which in the aggregate was partially offset by a $83 million, or 22%, decline in Restructuring fee revenues reflecting a reduction in restructuring activity as the economy improved and the number of corporate debt defaults declined. Money management fees, including incentive fees, increased $249 million, or 44%, principally due to a $33 billion, or 32%, increase in average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48"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AUM for 2010, the result of market appreciation and net inflows during the last twelve months, a favorable change in the mix of AUM into higher margin equity products, and higher incentive fees earned in 2010. Interest income decreased $8 million, or 28%, due primarily to the lower interest rate environment. Other revenue decreased $25 million, or 28%, primarily due to a $17 million, or 59%, decline in underwriting fees as a result of a lower level of equity capital markets transactions, and foreign exchange losses, as compared to gains in 2009. Other revenue in 2010 includes investment gains of $19 million, as compared to gains of $20 million in 2009. The investment gains in 2010 are net of realized losses of $14 million in connection with the sale in the fourth quarter of LFB’s portfolio, while the gains in 2009 are net of a $13 million write-off of the Company’s investment in warrants of Sapphire Industrials Corp. (“Sapphire”), a special purpose acquisition company sponsored by Lazard. Interest expense decreased $10 million, or 9%, due to the lower interest rate environment and reduced levels of LFB’s customer deposits.</w:t>
      </w:r>
    </w:p>
    <w:p>
      <w:pPr>
        <w:spacing w:after="0" w:line="96"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Compensation and benefits expense, including the 2010 and 2009 special items of $25 million and $147 million, respectively, decreased $115 million in 2010, or 9%. When excluding the 2010 and 2009 special items, compensation and benefits expense increased $7 million, or 1%, which includes an increase in base salaries, the provision for discretionary compensation and profit pools directly related to the increase in operating revenue and principally offset by a reduction in the amortization of share-based and deferred cash incentive awards. Compensation and benefits expense, excluding the 2010 and 2009 special items, was 59.1% and 71.8% of operating revenue for 2010 and 2009, respectively. The reduction in the compensation ratio for 2010 is due primarily to operating revenue leverage and the execution of our previously announced goal to grow annual compensation expense at a slower rate than operating revenue.</w:t>
      </w:r>
    </w:p>
    <w:p>
      <w:pPr>
        <w:spacing w:after="0" w:line="109"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Non-compensation expense increased $33 million, or 10%. Factors contributing to this increase include higher spending on travel and other business development activities, technology and fund administration expenses related to a higher level of business activity and AUM. The ratio of non-compensation expense to operating revenue was 18.7% as compared to 20.8% of operating revenue for 2009.</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Amortization of intangible assets increased $3 million, principally due to the Edgewater acquisition in July 2009.</w:t>
      </w:r>
    </w:p>
    <w:p>
      <w:pPr>
        <w:spacing w:after="0" w:line="157"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In the first quarters of 2010 and 2009, the Company announced plans to reduce certain staff and realign personnel. As a result, the 2010 and 2009 special items include restructuring charges of $87 million and $63 million, respectively, in connection with severance and benefit payments, the acceleration of unrecognized expense pertaining to share-based incentive compensation previously granted to individuals who were terminated and certain other costs related to the restructuring initiatives.</w:t>
      </w:r>
    </w:p>
    <w:p>
      <w:pPr>
        <w:spacing w:after="0" w:line="119" w:lineRule="exact"/>
        <w:rPr>
          <w:sz w:val="20"/>
          <w:szCs w:val="20"/>
          <w:color w:val="auto"/>
        </w:rPr>
      </w:pPr>
    </w:p>
    <w:p>
      <w:pPr>
        <w:jc w:val="both"/>
        <w:ind w:right="120" w:firstLine="457"/>
        <w:spacing w:after="0" w:line="268" w:lineRule="auto"/>
        <w:rPr>
          <w:sz w:val="20"/>
          <w:szCs w:val="20"/>
          <w:color w:val="auto"/>
        </w:rPr>
      </w:pPr>
      <w:r>
        <w:rPr>
          <w:rFonts w:ascii="Arial" w:cs="Arial" w:eastAsia="Arial" w:hAnsi="Arial"/>
          <w:sz w:val="17"/>
          <w:szCs w:val="17"/>
          <w:color w:val="auto"/>
        </w:rPr>
        <w:t>The provision pursuant to the tax receivable agreement was $2 million as compared to a benefit of $1 million for 2009. When excluding the impact of the 2010 special items, such provision was $11 million, due to a higher level of taxable income in 2010, with a corresponding increase in the level of tax savings attributable to the amortization of tax basis increases.</w:t>
      </w:r>
    </w:p>
    <w:p>
      <w:pPr>
        <w:spacing w:after="0" w:line="115"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Operating income for 2010 was $244 million, as compared to an operating loss of $182 million in the prior year (with such amounts including the impact of the 2010 and 2009 special items) and, as a percentage of net revenue, was 13% as compared to (12)% in 2009. Excluding the impact of the 2010 and 2009 special items in each year, operating income was $347 million, an increase of $319 million, as compared to operating income of $27 million in 2009, and, as a percentage of net revenue, was 18%, as compared to 2%, respectively.</w:t>
      </w:r>
    </w:p>
    <w:p>
      <w:pPr>
        <w:spacing w:after="0" w:line="1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The provision for income taxes was $49 million and $6 million in 2010 and 2009, respectively, representing effective tax rates of 20.2% and (3.3)% in 2010 and 2009, respectively. When excluding the tax benefits of $7 million and $9 million relating to the 2010 and 2009 special items, respectively, the income tax provision was $56 million in 2010 compared to $15 million in 2009, representing effective tax rates of 16.2% and 54.8% in 2010 and 2009, respectively. The reduction in the effective tax rate in 2010 is principally due to a change in the geographic mix of operating income between the respective years.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448" w:right="2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right="80" w:firstLine="457"/>
        <w:spacing w:after="0" w:line="264" w:lineRule="auto"/>
        <w:rPr>
          <w:sz w:val="20"/>
          <w:szCs w:val="20"/>
          <w:color w:val="auto"/>
        </w:rPr>
      </w:pPr>
      <w:r>
        <w:rPr>
          <w:rFonts w:ascii="Arial" w:cs="Arial" w:eastAsia="Arial" w:hAnsi="Arial"/>
          <w:sz w:val="17"/>
          <w:szCs w:val="17"/>
          <w:color w:val="auto"/>
        </w:rPr>
        <w:t>Net income attributable to noncontrolling interests, including the 2010 and 2009 special items, increased $77 million, as compared to 2009. When excluding the impact of the 2010 and 2009 special items of $24 million and $58 million, respectively, net income attributable to noncontrolling interests increased $44 million, with such increase principally reflecting LAZ-MD Holdings’ ownership interest in the increased net income of Lazard Group, partially offset by a decrease in its ownership interest.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2009 versus December 31, 2008</w:t>
      </w:r>
    </w:p>
    <w:p>
      <w:pPr>
        <w:spacing w:after="0" w:line="79"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The Company reported a net loss attributable to Lazard Ltd of $130 million for the year ended December 31, 2009, a decrease of $133 million, as compared to net income of $3 million in 2008. Such decrease was, in part, the result of the 2009 special items, which in the aggregate served to reduce net income attributable to Lazard Ltd by $143 million. Partially offsetting such items was the impact in 2008 of the 2008 special item, which reduced net income attributable to Lazard Ltd in that year by $109 million. Excluding the after-tax impact of the 2009 and 2008 special items, net income attributable to Lazard Ltd in the year ended December 31, 2009 was $12 million, a decrease of $99 million, or 89%, as compared to 2008. Such reduction in net income attributable to Lazard Ltd in 2009 was primarily affected by higher amounts relating to compensation and benefits expense due to (i) a change in the Company’s compensation policy, which resulted in an increase in the cash component of compensation (which is expensed currently), and a decrease in the aggregate amount of compensation amortizable over future periods, and (ii) an increased amount of amortization expense related to previously granted equity-based incentive compensation and the current year portion of the previously awarded deferred cash incentive awards, partially offset by reductions in non-compensation expense, income taxes and net income attributable to noncontrolling interests. The change in the Company’s compensation policy was designed to reduce future amortization expense associated with the equity-based compensation component, to allow greater flexibility in the future to address competitive conditions, to more closely align the current pay cycle with reported compensation and revenues, and to maintain significant retention mechanisms by focusing stock grant awards at the more senior levels, where they are more highly effective and valued.</w:t>
      </w:r>
    </w:p>
    <w:p>
      <w:pPr>
        <w:spacing w:after="0" w:line="105"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Net revenue decreased $27 million, or 2%, for the year ended December 31, 2009, as compared to 2008, with operating revenue decreasing $57 million, or 3%, as compared to 2008. Fees from investment banking and other advisory activities decreased $35 million, or 4%, as compared to 2008, principally reflecting a change in the composition of advisory activities as a $288 million, or 35%, decline in M&amp;A and Strategic Advisory revenue, was partially offset by a $257 million, or 216%, increase in Restructuring revenue, which includes fees for advising on distressed asset sales. Money management fees in 2009, including incentive fees, decreased $40 million, or 7%, as compared to 2008, due to a $19 billion, or 15%, decline in average AUM for the year ended December 31, 2009 versus 2008, primarily as the result of market depreciation experienced in 2008 and the first quarter of 2009, partially offset by higher incentive fees earned in 2009. Interest income decreased $53 million, or 64%, due primarily to a lower interest rate environment, combined with lower average cash balances and deposits with banks. Other revenue increased $69 million in the year ended December 31, 2009, as compared to 2008, principally due to investment income of $18 million in the Company’s investment portfolio, versus an aggregate loss of $53 million in LFB’s corporate debt portfolio (redesignated as “available-for-sale” effective July 1, 2008) and the Company’s investment portfolio in 2008. With respect to the latter, during 2009, the Company had in place a hedging strategy to minimize its risks associated with volatility in the equity markets. Partially offsetting the increase in other revenue in 2009 was a $13 million write-off relating to the Company’s investment in warrants of Sapphire. Interest expense for the year ended December 31, 2009 decreased $32 million, or 23%, primarily related to the Company’s May 2008 repurchase of $437 million aggregate principal amount of its 6.12% senior notes in connection with the remarketing of such notes, the partial repurchases of other senior notes, as well as a lower interest rate environment and reduced levels of LFB’s customer deposits.</w:t>
      </w:r>
    </w:p>
    <w:p>
      <w:pPr>
        <w:spacing w:after="0" w:line="11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Compensation and benefits expense for the year ended December 31, 2009 increased $181 million, as compared to 2008. Compensation and benefits expense in 2009 included special items aggregating $147 million, whereas the 2008 special item included a charge of approximately $197 million. When excluding the 2009 and 2008 special items, compensation and benefits expense increased $232 million, reflecting a change in the Company’s compensation policy as previously described, and the impact of an increase in the amortization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8"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expense associated with previously granted share-based incentive awards and the current year portion of the previously awarded deferred cash incentive awards. Compensation and benefits expense, excluding the 2009 and 2008 special items, was 71.8% and 55.6% of operating revenue in the years ended December 31, 2009 and 2008, respectively.</w:t>
      </w:r>
    </w:p>
    <w:p>
      <w:pPr>
        <w:spacing w:after="0" w:line="115" w:lineRule="exact"/>
        <w:rPr>
          <w:sz w:val="20"/>
          <w:szCs w:val="20"/>
          <w:color w:val="auto"/>
        </w:rPr>
      </w:pPr>
    </w:p>
    <w:p>
      <w:pPr>
        <w:ind w:right="200" w:firstLine="457"/>
        <w:spacing w:after="0" w:line="282" w:lineRule="auto"/>
        <w:rPr>
          <w:sz w:val="20"/>
          <w:szCs w:val="20"/>
          <w:color w:val="auto"/>
        </w:rPr>
      </w:pPr>
      <w:r>
        <w:rPr>
          <w:rFonts w:ascii="Arial" w:cs="Arial" w:eastAsia="Arial" w:hAnsi="Arial"/>
          <w:sz w:val="16"/>
          <w:szCs w:val="16"/>
          <w:color w:val="auto"/>
        </w:rPr>
        <w:t>Non-compensation expense for the year ended December 31, 2009 decreased $45 million, or 12%, as compared to 2008. Factors contributing to the decrease were (i) charges in 2008 comprised of the $12 million provision for losses from counterparty defaults related primarily to the bankruptcy filing of one of our prime brokers and the $2 million charge relating to the 2008 special item, (ii) lower spending on travel and other business development activities, lower consulting and recruiting fees and (iii) the strengthening of the U.S. dollar versus foreign currencies. The ratio of non-compensation expense to operating revenue was 20.8% for the year ended December 31, 2009, as compared to 22.7% of operating revenue for 2008.</w:t>
      </w:r>
    </w:p>
    <w:p>
      <w:pPr>
        <w:spacing w:after="0" w:line="107"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Amortization of intangible assets for the year ended December 31, 2009 was essentially unchanged principally due to lower amortization of intangibles related to the acquisitions of Goldsmith, Agio, Helms &amp; Lynner and Carnegie, Wylie &amp; Company (Holdings) PTY LTD, partially offset by the increase related to the Edgewater Acquisition.</w:t>
      </w:r>
    </w:p>
    <w:p>
      <w:pPr>
        <w:spacing w:after="0" w:line="11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As announced in the first quarter of 2009, we continued to redeploy our banking professionals into growth areas and reduced staffing in other areas to further optimize our mix of personnel. As a result, the 2009 special items include a pre-tax restructuring charge of $63 million in connection with severance and benefit payments, the acceleration of unrecognized expense pertaining to share-based incentive awards previously granted to individuals who were terminated and certain other costs related to the restructuring initiative.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provision pursuant to the tax receivable agreement decreased $18 million due to a lower level of taxable income in 2009.</w:t>
      </w:r>
    </w:p>
    <w:p>
      <w:pPr>
        <w:spacing w:after="0" w:line="157"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Operating loss for the year ended December 31, 2009 was $182 million, a decrease of $207 million as compared to an operating income of $25 million in 2008 (with such amounts including the impact of the 2009 and 2008 special items) and, as a percentage of net revenue, was (12)% as compared to operating income of 2% in 2008. Excluding the impact of the 2009 and 2008 special items, operating income in 2009 was $27 million, a decline of $197 million, or 88%, as compared to operating income in 2008 of $225 million, and, as a percentage of net revenue, was 2% in 2009, as compared to 14% in 2008.</w:t>
      </w:r>
    </w:p>
    <w:p>
      <w:pPr>
        <w:spacing w:after="0" w:line="105" w:lineRule="exact"/>
        <w:rPr>
          <w:sz w:val="20"/>
          <w:szCs w:val="20"/>
          <w:color w:val="auto"/>
        </w:rPr>
      </w:pPr>
    </w:p>
    <w:p>
      <w:pPr>
        <w:ind w:right="120" w:firstLine="457"/>
        <w:spacing w:after="0" w:line="282" w:lineRule="auto"/>
        <w:rPr>
          <w:sz w:val="20"/>
          <w:szCs w:val="20"/>
          <w:color w:val="auto"/>
        </w:rPr>
      </w:pPr>
      <w:r>
        <w:rPr>
          <w:rFonts w:ascii="Arial" w:cs="Arial" w:eastAsia="Arial" w:hAnsi="Arial"/>
          <w:sz w:val="16"/>
          <w:szCs w:val="16"/>
          <w:color w:val="auto"/>
        </w:rPr>
        <w:t>The provision for income taxes for the year ended December 31, 2009 was $6 million, a decrease of $19 million, as compared to a tax provision of $25 million in 2008. When excluding the tax benefits of $9 million and $7 million relating to the 2009 and 2008 special items, respectively, the income tax provision in 2009 decreased $18 million, with such decrease principally due to the decline in operating income in 2009 as compared to 2008 and valuation allowance changes affecting the provision for income taxes. The Company’s effective tax rate was (3.3)% for the year ended December 31, 2009, as compared to 101.0% in 2008. When excluding the 2009 and 2008 special items, the effective tax rate was 54.8% in 2009, as compared to 14.6% in 2008.</w:t>
      </w:r>
    </w:p>
    <w:p>
      <w:pPr>
        <w:spacing w:after="0" w:line="107"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Net loss attributable to noncontrolling interests for the year ended December 31, 2009 increased $55 million, as compared to 2008. When excluding the impact of the 2009 and 2008 special items, net income attributable to noncontrolling interests in 2009 decreased $80 million as compared to 2008, with such decrease principally reflecting a reduction in Lazard Group’s net income. During the years ended December 31, 2009 and 2008, LAZ-MD Holdings ownership interests averaged 28% and 43%,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83" w:lineRule="exact"/>
        <w:rPr>
          <w:sz w:val="20"/>
          <w:szCs w:val="20"/>
          <w:color w:val="auto"/>
        </w:rPr>
      </w:pPr>
    </w:p>
    <w:p>
      <w:pPr>
        <w:ind w:right="600" w:firstLine="457"/>
        <w:spacing w:after="0" w:line="268" w:lineRule="auto"/>
        <w:rPr>
          <w:sz w:val="20"/>
          <w:szCs w:val="20"/>
          <w:color w:val="auto"/>
        </w:rPr>
      </w:pPr>
      <w:r>
        <w:rPr>
          <w:rFonts w:ascii="Arial" w:cs="Arial" w:eastAsia="Arial" w:hAnsi="Arial"/>
          <w:sz w:val="17"/>
          <w:szCs w:val="17"/>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8"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80"/>
        <w:spacing w:after="0" w:line="280" w:lineRule="auto"/>
        <w:rPr>
          <w:sz w:val="20"/>
          <w:szCs w:val="20"/>
          <w:color w:val="auto"/>
        </w:rPr>
      </w:pPr>
      <w:r>
        <w:rPr>
          <w:rFonts w:ascii="Arial" w:cs="Arial" w:eastAsia="Arial" w:hAnsi="Arial"/>
          <w:sz w:val="16"/>
          <w:szCs w:val="16"/>
          <w:color w:val="auto"/>
        </w:rPr>
        <w:t>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are presented, as applicable, on an “as reported” and “excluding special items” basis (see Note 23 of Notes to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Advisory</w:t>
      </w:r>
    </w:p>
    <w:p>
      <w:pPr>
        <w:spacing w:after="0" w:line="83" w:lineRule="exact"/>
        <w:rPr>
          <w:sz w:val="20"/>
          <w:szCs w:val="20"/>
          <w:color w:val="auto"/>
        </w:rPr>
      </w:pPr>
    </w:p>
    <w:p>
      <w:pPr>
        <w:ind w:right="380" w:firstLine="457"/>
        <w:spacing w:after="0" w:line="349" w:lineRule="auto"/>
        <w:rPr>
          <w:sz w:val="20"/>
          <w:szCs w:val="20"/>
          <w:color w:val="auto"/>
        </w:rPr>
      </w:pPr>
      <w:r>
        <w:rPr>
          <w:rFonts w:ascii="Arial" w:cs="Arial" w:eastAsia="Arial" w:hAnsi="Arial"/>
          <w:sz w:val="15"/>
          <w:szCs w:val="15"/>
          <w:color w:val="auto"/>
        </w:rPr>
        <w:t>The following tables summarize the operating results of the Financial Advisory segment for the years ended December 31, 2010, 2009 and 2008. Operating results for 2010 and 2009 are shown before and after the charges attributable to the Financial Advisory segment related to the 2010 and 2009 special items.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2"/>
              </w:rPr>
              <w:t>Year Ended</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Year Ended</w:t>
            </w: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3"/>
              </w:rPr>
              <w:t>December 31, 2010</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December 31, 2009</w:t>
            </w: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December 31, 2008</w:t>
            </w:r>
          </w:p>
        </w:tc>
        <w:tc>
          <w:tcPr>
            <w:tcW w:w="0" w:type="dxa"/>
            <w:vAlign w:val="bottom"/>
          </w:tcPr>
          <w:p>
            <w:pPr>
              <w:spacing w:after="0"/>
              <w:rPr>
                <w:sz w:val="1"/>
                <w:szCs w:val="1"/>
                <w:color w:val="auto"/>
              </w:rPr>
            </w:pPr>
          </w:p>
        </w:tc>
      </w:tr>
      <w:tr>
        <w:trPr>
          <w:trHeight w:val="124"/>
        </w:trPr>
        <w:tc>
          <w:tcPr>
            <w:tcW w:w="38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7"/>
              </w:rPr>
              <w:t>Non-</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4"/>
              </w:rPr>
              <w:t>Non-</w:t>
            </w:r>
          </w:p>
        </w:tc>
        <w:tc>
          <w:tcPr>
            <w:tcW w:w="4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U.S. GAAP</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420"/>
              <w:spacing w:after="0" w:line="144" w:lineRule="exact"/>
              <w:rPr>
                <w:sz w:val="20"/>
                <w:szCs w:val="20"/>
                <w:color w:val="auto"/>
              </w:rPr>
            </w:pPr>
            <w:r>
              <w:rPr>
                <w:rFonts w:ascii="Arial" w:cs="Arial" w:eastAsia="Arial" w:hAnsi="Arial"/>
                <w:sz w:val="13"/>
                <w:szCs w:val="13"/>
                <w:b w:val="1"/>
                <w:bCs w:val="1"/>
                <w:color w:val="auto"/>
                <w:w w:val="95"/>
              </w:rPr>
              <w:t>Impact</w:t>
            </w:r>
          </w:p>
        </w:tc>
        <w:tc>
          <w:tcPr>
            <w:tcW w:w="112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6"/>
              </w:rPr>
              <w:t>U.S. GAAP</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7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U.S. GAAP</w:t>
            </w:r>
          </w:p>
        </w:tc>
        <w:tc>
          <w:tcPr>
            <w:tcW w:w="380" w:type="dxa"/>
            <w:vAlign w:val="bottom"/>
          </w:tcPr>
          <w:p>
            <w:pPr>
              <w:spacing w:after="0"/>
              <w:rPr>
                <w:sz w:val="12"/>
                <w:szCs w:val="12"/>
                <w:color w:val="auto"/>
              </w:rPr>
            </w:pPr>
          </w:p>
        </w:tc>
        <w:tc>
          <w:tcPr>
            <w:tcW w:w="960" w:type="dxa"/>
            <w:vAlign w:val="bottom"/>
            <w:gridSpan w:val="2"/>
          </w:tcPr>
          <w:p>
            <w:pPr>
              <w:jc w:val="center"/>
              <w:ind w:right="420"/>
              <w:spacing w:after="0" w:line="144" w:lineRule="exact"/>
              <w:rPr>
                <w:sz w:val="20"/>
                <w:szCs w:val="20"/>
                <w:color w:val="auto"/>
              </w:rPr>
            </w:pPr>
            <w:r>
              <w:rPr>
                <w:rFonts w:ascii="Arial" w:cs="Arial" w:eastAsia="Arial" w:hAnsi="Arial"/>
                <w:sz w:val="13"/>
                <w:szCs w:val="13"/>
                <w:b w:val="1"/>
                <w:bCs w:val="1"/>
                <w:color w:val="auto"/>
                <w:w w:val="93"/>
              </w:rPr>
              <w:t>Impact of</w:t>
            </w:r>
          </w:p>
        </w:tc>
        <w:tc>
          <w:tcPr>
            <w:tcW w:w="9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Excluding</w:t>
            </w:r>
          </w:p>
        </w:tc>
        <w:tc>
          <w:tcPr>
            <w:tcW w:w="240" w:type="dxa"/>
            <w:vAlign w:val="bottom"/>
          </w:tcPr>
          <w:p>
            <w:pPr>
              <w:spacing w:after="0"/>
              <w:rPr>
                <w:sz w:val="12"/>
                <w:szCs w:val="12"/>
                <w:color w:val="auto"/>
              </w:rPr>
            </w:pPr>
          </w:p>
        </w:tc>
        <w:tc>
          <w:tcPr>
            <w:tcW w:w="7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U.S. GAAP</w:t>
            </w:r>
          </w:p>
        </w:tc>
        <w:tc>
          <w:tcPr>
            <w:tcW w:w="320" w:type="dxa"/>
            <w:vAlign w:val="bottom"/>
          </w:tcPr>
          <w:p>
            <w:pPr>
              <w:spacing w:after="0"/>
              <w:rPr>
                <w:sz w:val="12"/>
                <w:szCs w:val="12"/>
                <w:color w:val="auto"/>
              </w:rPr>
            </w:pPr>
          </w:p>
        </w:tc>
        <w:tc>
          <w:tcPr>
            <w:tcW w:w="90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81"/>
              </w:rPr>
              <w:t>of</w:t>
            </w:r>
          </w:p>
        </w:tc>
        <w:tc>
          <w:tcPr>
            <w:tcW w:w="112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0"/>
              </w:rPr>
              <w:t>Excluding</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7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3"/>
              </w:rPr>
              <w:t>As</w:t>
            </w:r>
          </w:p>
        </w:tc>
        <w:tc>
          <w:tcPr>
            <w:tcW w:w="380" w:type="dxa"/>
            <w:vAlign w:val="bottom"/>
          </w:tcPr>
          <w:p>
            <w:pPr>
              <w:spacing w:after="0"/>
              <w:rPr>
                <w:sz w:val="12"/>
                <w:szCs w:val="12"/>
                <w:color w:val="auto"/>
              </w:rPr>
            </w:pPr>
          </w:p>
        </w:tc>
        <w:tc>
          <w:tcPr>
            <w:tcW w:w="9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87"/>
              </w:rPr>
              <w:t>Special</w:t>
            </w:r>
          </w:p>
        </w:tc>
        <w:tc>
          <w:tcPr>
            <w:tcW w:w="9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Special Item</w:t>
            </w:r>
          </w:p>
        </w:tc>
        <w:tc>
          <w:tcPr>
            <w:tcW w:w="240" w:type="dxa"/>
            <w:vAlign w:val="bottom"/>
          </w:tcPr>
          <w:p>
            <w:pPr>
              <w:spacing w:after="0"/>
              <w:rPr>
                <w:sz w:val="12"/>
                <w:szCs w:val="12"/>
                <w:color w:val="auto"/>
              </w:rPr>
            </w:pPr>
          </w:p>
        </w:tc>
        <w:tc>
          <w:tcPr>
            <w:tcW w:w="7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3"/>
              </w:rPr>
              <w:t>As</w:t>
            </w:r>
          </w:p>
        </w:tc>
        <w:tc>
          <w:tcPr>
            <w:tcW w:w="320" w:type="dxa"/>
            <w:vAlign w:val="bottom"/>
          </w:tcPr>
          <w:p>
            <w:pPr>
              <w:spacing w:after="0"/>
              <w:rPr>
                <w:sz w:val="12"/>
                <w:szCs w:val="12"/>
                <w:color w:val="auto"/>
              </w:rPr>
            </w:pPr>
          </w:p>
        </w:tc>
        <w:tc>
          <w:tcPr>
            <w:tcW w:w="900" w:type="dxa"/>
            <w:vAlign w:val="bottom"/>
            <w:gridSpan w:val="2"/>
          </w:tcPr>
          <w:p>
            <w:pPr>
              <w:jc w:val="center"/>
              <w:ind w:right="420"/>
              <w:spacing w:after="0" w:line="144" w:lineRule="exact"/>
              <w:rPr>
                <w:sz w:val="20"/>
                <w:szCs w:val="20"/>
                <w:color w:val="auto"/>
              </w:rPr>
            </w:pPr>
            <w:r>
              <w:rPr>
                <w:rFonts w:ascii="Arial" w:cs="Arial" w:eastAsia="Arial" w:hAnsi="Arial"/>
                <w:sz w:val="13"/>
                <w:szCs w:val="13"/>
                <w:b w:val="1"/>
                <w:bCs w:val="1"/>
                <w:color w:val="auto"/>
                <w:w w:val="87"/>
              </w:rPr>
              <w:t>Special</w:t>
            </w:r>
          </w:p>
        </w:tc>
        <w:tc>
          <w:tcPr>
            <w:tcW w:w="112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89"/>
              </w:rPr>
              <w:t>Special Item</w:t>
            </w:r>
          </w:p>
        </w:tc>
        <w:tc>
          <w:tcPr>
            <w:tcW w:w="12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U.S. GAAP</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Reported</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Item (a)</w:t>
            </w:r>
          </w:p>
        </w:tc>
        <w:tc>
          <w:tcPr>
            <w:tcW w:w="40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Reported</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Item (a)</w:t>
            </w:r>
          </w:p>
        </w:tc>
        <w:tc>
          <w:tcPr>
            <w:tcW w:w="4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40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As Reported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gridSpan w:val="5"/>
          </w:tcPr>
          <w:p>
            <w:pPr>
              <w:spacing w:after="0" w:line="137" w:lineRule="exact"/>
              <w:rPr>
                <w:sz w:val="20"/>
                <w:szCs w:val="20"/>
                <w:color w:val="auto"/>
              </w:rPr>
            </w:pPr>
            <w:r>
              <w:rPr>
                <w:rFonts w:ascii="Arial" w:cs="Arial" w:eastAsia="Arial" w:hAnsi="Arial"/>
                <w:sz w:val="13"/>
                <w:szCs w:val="13"/>
                <w:b w:val="1"/>
                <w:bCs w:val="1"/>
                <w:color w:val="auto"/>
              </w:rPr>
              <w:t>($ in thousands)</w:t>
            </w: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M&amp;A and Strategic Advisory</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$714,059</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3"/>
                <w:szCs w:val="13"/>
                <w:color w:val="auto"/>
              </w:rPr>
              <w:t>$714,059</w:t>
            </w:r>
          </w:p>
        </w:tc>
        <w:tc>
          <w:tcPr>
            <w:tcW w:w="9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$526,225</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4" w:lineRule="exact"/>
              <w:rPr>
                <w:sz w:val="20"/>
                <w:szCs w:val="20"/>
                <w:color w:val="auto"/>
              </w:rPr>
            </w:pPr>
            <w:r>
              <w:rPr>
                <w:rFonts w:ascii="Arial" w:cs="Arial" w:eastAsia="Arial" w:hAnsi="Arial"/>
                <w:sz w:val="13"/>
                <w:szCs w:val="13"/>
                <w:color w:val="auto"/>
              </w:rPr>
              <w:t>$526,225</w:t>
            </w:r>
          </w:p>
        </w:tc>
        <w:tc>
          <w:tcPr>
            <w:tcW w:w="10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$ 814,660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line="144" w:lineRule="exact"/>
              <w:rPr>
                <w:sz w:val="20"/>
                <w:szCs w:val="20"/>
                <w:color w:val="auto"/>
              </w:rPr>
            </w:pPr>
            <w:r>
              <w:rPr>
                <w:rFonts w:ascii="Arial" w:cs="Arial" w:eastAsia="Arial" w:hAnsi="Arial"/>
                <w:sz w:val="13"/>
                <w:szCs w:val="13"/>
                <w:color w:val="auto"/>
              </w:rPr>
              <w:t>Restructuring</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293,875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40"/>
              <w:spacing w:after="0" w:line="144" w:lineRule="exact"/>
              <w:rPr>
                <w:sz w:val="20"/>
                <w:szCs w:val="20"/>
                <w:color w:val="auto"/>
              </w:rPr>
            </w:pPr>
            <w:r>
              <w:rPr>
                <w:rFonts w:ascii="Arial" w:cs="Arial" w:eastAsia="Arial" w:hAnsi="Arial"/>
                <w:sz w:val="13"/>
                <w:szCs w:val="13"/>
                <w:color w:val="auto"/>
              </w:rPr>
              <w:t>293,875</w:t>
            </w:r>
          </w:p>
        </w:tc>
        <w:tc>
          <w:tcPr>
            <w:tcW w:w="9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376,710</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right"/>
              <w:ind w:right="400"/>
              <w:spacing w:after="0" w:line="144" w:lineRule="exact"/>
              <w:rPr>
                <w:sz w:val="20"/>
                <w:szCs w:val="20"/>
                <w:color w:val="auto"/>
              </w:rPr>
            </w:pPr>
            <w:r>
              <w:rPr>
                <w:rFonts w:ascii="Arial" w:cs="Arial" w:eastAsia="Arial" w:hAnsi="Arial"/>
                <w:sz w:val="13"/>
                <w:szCs w:val="13"/>
                <w:color w:val="auto"/>
              </w:rPr>
              <w:t>376,710</w:t>
            </w:r>
          </w:p>
        </w:tc>
        <w:tc>
          <w:tcPr>
            <w:tcW w:w="1060" w:type="dxa"/>
            <w:vAlign w:val="bottom"/>
          </w:tcPr>
          <w:p>
            <w:pPr>
              <w:jc w:val="right"/>
              <w:spacing w:after="0" w:line="144" w:lineRule="exact"/>
              <w:rPr>
                <w:sz w:val="20"/>
                <w:szCs w:val="20"/>
                <w:color w:val="auto"/>
              </w:rPr>
            </w:pPr>
            <w:r>
              <w:rPr>
                <w:rFonts w:ascii="Arial" w:cs="Arial" w:eastAsia="Arial" w:hAnsi="Arial"/>
                <w:sz w:val="13"/>
                <w:szCs w:val="13"/>
                <w:color w:val="auto"/>
              </w:rPr>
              <w:t>119,283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Capital Markets and Other Advisory</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111,933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3"/>
                <w:szCs w:val="13"/>
                <w:color w:val="auto"/>
              </w:rPr>
              <w:t>111,933</w:t>
            </w:r>
          </w:p>
        </w:tc>
        <w:tc>
          <w:tcPr>
            <w:tcW w:w="9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83,885</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4" w:lineRule="exact"/>
              <w:rPr>
                <w:sz w:val="20"/>
                <w:szCs w:val="20"/>
                <w:color w:val="auto"/>
              </w:rPr>
            </w:pPr>
            <w:r>
              <w:rPr>
                <w:rFonts w:ascii="Arial" w:cs="Arial" w:eastAsia="Arial" w:hAnsi="Arial"/>
                <w:sz w:val="13"/>
                <w:szCs w:val="13"/>
                <w:color w:val="auto"/>
              </w:rPr>
              <w:t>83,885</w:t>
            </w:r>
          </w:p>
        </w:tc>
        <w:tc>
          <w:tcPr>
            <w:tcW w:w="10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88,970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420"/>
              <w:spacing w:after="0"/>
              <w:rPr>
                <w:sz w:val="20"/>
                <w:szCs w:val="20"/>
                <w:color w:val="auto"/>
              </w:rPr>
            </w:pPr>
            <w:r>
              <w:rPr>
                <w:rFonts w:ascii="Arial" w:cs="Arial" w:eastAsia="Arial" w:hAnsi="Arial"/>
                <w:sz w:val="13"/>
                <w:szCs w:val="13"/>
                <w:color w:val="auto"/>
              </w:rPr>
              <w:t>Net Revenue</w:t>
            </w: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1,119,867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1,119,867</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color w:val="auto"/>
              </w:rPr>
              <w:t>986,820</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986,820</w:t>
            </w:r>
          </w:p>
        </w:tc>
        <w:tc>
          <w:tcPr>
            <w:tcW w:w="1060" w:type="dxa"/>
            <w:vAlign w:val="bottom"/>
          </w:tcPr>
          <w:p>
            <w:pPr>
              <w:jc w:val="right"/>
              <w:spacing w:after="0"/>
              <w:rPr>
                <w:sz w:val="20"/>
                <w:szCs w:val="20"/>
                <w:color w:val="auto"/>
              </w:rPr>
            </w:pPr>
            <w:r>
              <w:rPr>
                <w:rFonts w:ascii="Arial" w:cs="Arial" w:eastAsia="Arial" w:hAnsi="Arial"/>
                <w:sz w:val="13"/>
                <w:szCs w:val="13"/>
                <w:color w:val="auto"/>
              </w:rPr>
              <w:t>1,022,913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Operating Expenses (c)</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950,968</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$19,571</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3"/>
                <w:szCs w:val="13"/>
                <w:color w:val="auto"/>
              </w:rPr>
              <w:t>931,397</w:t>
            </w:r>
          </w:p>
        </w:tc>
        <w:tc>
          <w:tcPr>
            <w:tcW w:w="9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998,727</w:t>
            </w:r>
          </w:p>
        </w:tc>
        <w:tc>
          <w:tcPr>
            <w:tcW w:w="820" w:type="dxa"/>
            <w:vAlign w:val="bottom"/>
            <w:gridSpan w:val="2"/>
            <w:shd w:val="clear" w:color="auto" w:fill="CCEEFF"/>
          </w:tcPr>
          <w:p>
            <w:pPr>
              <w:jc w:val="center"/>
              <w:ind w:left="295"/>
              <w:spacing w:after="0" w:line="144" w:lineRule="exact"/>
              <w:rPr>
                <w:sz w:val="20"/>
                <w:szCs w:val="20"/>
                <w:color w:val="auto"/>
              </w:rPr>
            </w:pPr>
            <w:r>
              <w:rPr>
                <w:rFonts w:ascii="Arial" w:cs="Arial" w:eastAsia="Arial" w:hAnsi="Arial"/>
                <w:sz w:val="13"/>
                <w:szCs w:val="13"/>
                <w:color w:val="auto"/>
                <w:w w:val="90"/>
              </w:rPr>
              <w:t>$ 48,533</w:t>
            </w:r>
          </w:p>
        </w:tc>
        <w:tc>
          <w:tcPr>
            <w:tcW w:w="4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4" w:lineRule="exact"/>
              <w:rPr>
                <w:sz w:val="20"/>
                <w:szCs w:val="20"/>
                <w:color w:val="auto"/>
              </w:rPr>
            </w:pPr>
            <w:r>
              <w:rPr>
                <w:rFonts w:ascii="Arial" w:cs="Arial" w:eastAsia="Arial" w:hAnsi="Arial"/>
                <w:sz w:val="13"/>
                <w:szCs w:val="13"/>
                <w:color w:val="auto"/>
              </w:rPr>
              <w:t>950,194</w:t>
            </w:r>
          </w:p>
        </w:tc>
        <w:tc>
          <w:tcPr>
            <w:tcW w:w="10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796,970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$168,899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$188,470</w:t>
            </w:r>
          </w:p>
        </w:tc>
        <w:tc>
          <w:tcPr>
            <w:tcW w:w="980" w:type="dxa"/>
            <w:vAlign w:val="bottom"/>
            <w:gridSpan w:val="3"/>
          </w:tcPr>
          <w:p>
            <w:pPr>
              <w:jc w:val="right"/>
              <w:ind w:right="60"/>
              <w:spacing w:after="0"/>
              <w:rPr>
                <w:sz w:val="20"/>
                <w:szCs w:val="20"/>
                <w:color w:val="auto"/>
              </w:rPr>
            </w:pPr>
            <w:r>
              <w:rPr>
                <w:rFonts w:ascii="Arial" w:cs="Arial" w:eastAsia="Arial" w:hAnsi="Arial"/>
                <w:sz w:val="13"/>
                <w:szCs w:val="13"/>
                <w:color w:val="auto"/>
              </w:rPr>
              <w:t>$(11,907)</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$ 36,626</w:t>
            </w:r>
          </w:p>
        </w:tc>
        <w:tc>
          <w:tcPr>
            <w:tcW w:w="1060" w:type="dxa"/>
            <w:vAlign w:val="bottom"/>
          </w:tcPr>
          <w:p>
            <w:pPr>
              <w:jc w:val="right"/>
              <w:spacing w:after="0"/>
              <w:rPr>
                <w:sz w:val="20"/>
                <w:szCs w:val="20"/>
                <w:color w:val="auto"/>
              </w:rPr>
            </w:pPr>
            <w:r>
              <w:rPr>
                <w:rFonts w:ascii="Arial" w:cs="Arial" w:eastAsia="Arial" w:hAnsi="Arial"/>
                <w:sz w:val="13"/>
                <w:szCs w:val="13"/>
                <w:color w:val="auto"/>
              </w:rPr>
              <w:t>$ 225,943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 As A Percentage Of Net Revenue</w:t>
            </w:r>
          </w:p>
        </w:tc>
        <w:tc>
          <w:tcPr>
            <w:tcW w:w="2080" w:type="dxa"/>
            <w:vAlign w:val="bottom"/>
            <w:gridSpan w:val="2"/>
            <w:shd w:val="clear" w:color="auto" w:fill="CCEEFF"/>
          </w:tcPr>
          <w:p>
            <w:pPr>
              <w:jc w:val="right"/>
              <w:ind w:right="1340"/>
              <w:spacing w:after="0"/>
              <w:rPr>
                <w:sz w:val="20"/>
                <w:szCs w:val="20"/>
                <w:color w:val="auto"/>
              </w:rPr>
            </w:pPr>
            <w:r>
              <w:rPr>
                <w:rFonts w:ascii="Arial" w:cs="Arial" w:eastAsia="Arial" w:hAnsi="Arial"/>
                <w:sz w:val="13"/>
                <w:szCs w:val="13"/>
                <w:color w:val="auto"/>
              </w:rPr>
              <w:t>15%</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(1)%</w:t>
            </w: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89"/>
              </w:rPr>
              <w:t>As of December 31,</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gridSpan w:val="2"/>
          </w:tcPr>
          <w:p>
            <w:pPr>
              <w:spacing w:after="0"/>
              <w:rPr>
                <w:sz w:val="11"/>
                <w:szCs w:val="11"/>
                <w:color w:val="auto"/>
              </w:rPr>
            </w:pPr>
          </w:p>
        </w:tc>
        <w:tc>
          <w:tcPr>
            <w:tcW w:w="520" w:type="dxa"/>
            <w:vAlign w:val="bottom"/>
          </w:tcPr>
          <w:p>
            <w:pPr>
              <w:jc w:val="right"/>
              <w:ind w:right="62"/>
              <w:spacing w:after="0" w:line="137" w:lineRule="exact"/>
              <w:rPr>
                <w:sz w:val="20"/>
                <w:szCs w:val="20"/>
                <w:color w:val="auto"/>
              </w:rPr>
            </w:pPr>
            <w:r>
              <w:rPr>
                <w:rFonts w:ascii="Arial" w:cs="Arial" w:eastAsia="Arial" w:hAnsi="Arial"/>
                <w:sz w:val="13"/>
                <w:szCs w:val="13"/>
                <w:b w:val="1"/>
                <w:bCs w:val="1"/>
                <w:color w:val="auto"/>
              </w:rPr>
              <w:t>2010</w:t>
            </w:r>
          </w:p>
        </w:tc>
        <w:tc>
          <w:tcPr>
            <w:tcW w:w="60" w:type="dxa"/>
            <w:vAlign w:val="bottom"/>
          </w:tcPr>
          <w:p>
            <w:pPr>
              <w:spacing w:after="0"/>
              <w:rPr>
                <w:sz w:val="11"/>
                <w:szCs w:val="11"/>
                <w:color w:val="auto"/>
              </w:rPr>
            </w:pPr>
          </w:p>
        </w:tc>
        <w:tc>
          <w:tcPr>
            <w:tcW w:w="1080" w:type="dxa"/>
            <w:vAlign w:val="bottom"/>
            <w:gridSpan w:val="3"/>
          </w:tcPr>
          <w:p>
            <w:pPr>
              <w:jc w:val="right"/>
              <w:ind w:right="120"/>
              <w:spacing w:after="0" w:line="137" w:lineRule="exact"/>
              <w:rPr>
                <w:sz w:val="20"/>
                <w:szCs w:val="20"/>
                <w:color w:val="auto"/>
              </w:rPr>
            </w:pPr>
            <w:r>
              <w:rPr>
                <w:rFonts w:ascii="Arial" w:cs="Arial" w:eastAsia="Arial" w:hAnsi="Arial"/>
                <w:sz w:val="13"/>
                <w:szCs w:val="13"/>
                <w:b w:val="1"/>
                <w:bCs w:val="1"/>
                <w:color w:val="auto"/>
              </w:rPr>
              <w:t>2009</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jc w:val="right"/>
              <w:ind w:right="2"/>
              <w:spacing w:after="0" w:line="137" w:lineRule="exact"/>
              <w:rPr>
                <w:sz w:val="20"/>
                <w:szCs w:val="20"/>
                <w:color w:val="auto"/>
              </w:rPr>
            </w:pPr>
            <w:r>
              <w:rPr>
                <w:rFonts w:ascii="Arial" w:cs="Arial" w:eastAsia="Arial" w:hAnsi="Arial"/>
                <w:sz w:val="13"/>
                <w:szCs w:val="13"/>
                <w:b w:val="1"/>
                <w:bCs w:val="1"/>
                <w:color w:val="auto"/>
              </w:rPr>
              <w:t>2008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Headcount (d):</w:t>
            </w:r>
          </w:p>
        </w:tc>
        <w:tc>
          <w:tcPr>
            <w:tcW w:w="6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80" w:type="dxa"/>
            <w:vAlign w:val="bottom"/>
            <w:gridSpan w:val="2"/>
          </w:tcPr>
          <w:p>
            <w:pPr>
              <w:ind w:left="420"/>
              <w:spacing w:after="0"/>
              <w:rPr>
                <w:sz w:val="20"/>
                <w:szCs w:val="20"/>
                <w:color w:val="auto"/>
              </w:rPr>
            </w:pPr>
            <w:r>
              <w:rPr>
                <w:rFonts w:ascii="Arial" w:cs="Arial" w:eastAsia="Arial" w:hAnsi="Arial"/>
                <w:sz w:val="17"/>
                <w:szCs w:val="17"/>
                <w:color w:val="auto"/>
              </w:rPr>
              <w:t>Managing Directors</w:t>
            </w:r>
          </w:p>
        </w:tc>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129</w:t>
            </w:r>
          </w:p>
        </w:tc>
        <w:tc>
          <w:tcPr>
            <w:tcW w:w="6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7"/>
                <w:szCs w:val="17"/>
                <w:color w:val="auto"/>
              </w:rPr>
              <w:t>150</w:t>
            </w:r>
          </w:p>
        </w:tc>
        <w:tc>
          <w:tcPr>
            <w:tcW w:w="6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Employees:</w:t>
            </w:r>
          </w:p>
        </w:tc>
        <w:tc>
          <w:tcPr>
            <w:tcW w:w="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gridSpan w:val="2"/>
          </w:tcPr>
          <w:p>
            <w:pPr>
              <w:ind w:left="840"/>
              <w:spacing w:after="0"/>
              <w:rPr>
                <w:sz w:val="20"/>
                <w:szCs w:val="20"/>
                <w:color w:val="auto"/>
              </w:rPr>
            </w:pPr>
            <w:r>
              <w:rPr>
                <w:rFonts w:ascii="Arial" w:cs="Arial" w:eastAsia="Arial" w:hAnsi="Arial"/>
                <w:sz w:val="17"/>
                <w:szCs w:val="17"/>
                <w:color w:val="auto"/>
              </w:rPr>
              <w:t>Business segment professionals</w:t>
            </w:r>
          </w:p>
        </w:tc>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673</w:t>
            </w:r>
          </w:p>
        </w:tc>
        <w:tc>
          <w:tcPr>
            <w:tcW w:w="6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7"/>
                <w:szCs w:val="17"/>
                <w:color w:val="auto"/>
              </w:rPr>
              <w:t>681</w:t>
            </w:r>
          </w:p>
        </w:tc>
        <w:tc>
          <w:tcPr>
            <w:tcW w:w="6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All other professionals and support staff</w:t>
            </w:r>
          </w:p>
        </w:tc>
        <w:tc>
          <w:tcPr>
            <w:tcW w:w="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211</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420"/>
              <w:spacing w:after="0"/>
              <w:rPr>
                <w:sz w:val="20"/>
                <w:szCs w:val="20"/>
                <w:color w:val="auto"/>
              </w:rPr>
            </w:pPr>
            <w:r>
              <w:rPr>
                <w:rFonts w:ascii="Arial" w:cs="Arial" w:eastAsia="Arial" w:hAnsi="Arial"/>
                <w:sz w:val="17"/>
                <w:szCs w:val="17"/>
                <w:color w:val="auto"/>
              </w:rPr>
              <w:t>Total</w:t>
            </w: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88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1,024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rPr>
              <w:t>1,042</w:t>
            </w:r>
          </w:p>
        </w:tc>
        <w:tc>
          <w:tcPr>
            <w:tcW w:w="6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right="520" w:hanging="456"/>
        <w:spacing w:after="0" w:line="260"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portion of the 2010 and 2009 special items attributable to the Financial Advisory segment (see Note 23 of Notes to Consolidated Financial Statements).</w:t>
      </w:r>
    </w:p>
    <w:p>
      <w:pPr>
        <w:ind w:left="460" w:hanging="456"/>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non-U.S. GAAP measure that management believes provides the most meaningful comparison between historical, present and future periods.</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indirect support costs (including compensation and benefits expense and other operating expenses related thereto).</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Excludes headcount related to indirect support functions, with such headcount being included in the Corporate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48"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40" w:firstLine="457"/>
        <w:spacing w:after="0" w:line="305" w:lineRule="auto"/>
        <w:rPr>
          <w:sz w:val="20"/>
          <w:szCs w:val="20"/>
          <w:color w:val="auto"/>
        </w:rPr>
      </w:pPr>
      <w:r>
        <w:rPr>
          <w:rFonts w:ascii="Arial" w:cs="Arial" w:eastAsia="Arial" w:hAnsi="Arial"/>
          <w:sz w:val="15"/>
          <w:szCs w:val="15"/>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37"/>
        </w:trPr>
        <w:tc>
          <w:tcPr>
            <w:tcW w:w="7940" w:type="dxa"/>
            <w:vAlign w:val="bottom"/>
          </w:tcPr>
          <w:p>
            <w:pPr>
              <w:spacing w:after="0"/>
              <w:rPr>
                <w:sz w:val="11"/>
                <w:szCs w:val="11"/>
                <w:color w:val="auto"/>
              </w:rPr>
            </w:pPr>
          </w:p>
        </w:tc>
        <w:tc>
          <w:tcPr>
            <w:tcW w:w="520" w:type="dxa"/>
            <w:vAlign w:val="bottom"/>
          </w:tcPr>
          <w:p>
            <w:pPr>
              <w:jc w:val="right"/>
              <w:ind w:right="40"/>
              <w:spacing w:after="0" w:line="137" w:lineRule="exact"/>
              <w:rPr>
                <w:sz w:val="20"/>
                <w:szCs w:val="20"/>
                <w:color w:val="auto"/>
              </w:rPr>
            </w:pPr>
            <w:r>
              <w:rPr>
                <w:rFonts w:ascii="Arial" w:cs="Arial" w:eastAsia="Arial" w:hAnsi="Arial"/>
                <w:sz w:val="13"/>
                <w:szCs w:val="13"/>
                <w:b w:val="1"/>
                <w:bCs w:val="1"/>
                <w:color w:val="auto"/>
              </w:rPr>
              <w:t>2010</w:t>
            </w:r>
          </w:p>
        </w:tc>
        <w:tc>
          <w:tcPr>
            <w:tcW w:w="280" w:type="dxa"/>
            <w:vAlign w:val="bottom"/>
          </w:tcPr>
          <w:p>
            <w:pPr>
              <w:spacing w:after="0"/>
              <w:rPr>
                <w:sz w:val="11"/>
                <w:szCs w:val="11"/>
                <w:color w:val="auto"/>
              </w:rPr>
            </w:pPr>
          </w:p>
        </w:tc>
        <w:tc>
          <w:tcPr>
            <w:tcW w:w="1100" w:type="dxa"/>
            <w:vAlign w:val="bottom"/>
            <w:gridSpan w:val="2"/>
          </w:tcPr>
          <w:p>
            <w:pPr>
              <w:jc w:val="right"/>
              <w:ind w:right="120"/>
              <w:spacing w:after="0" w:line="137" w:lineRule="exact"/>
              <w:rPr>
                <w:sz w:val="20"/>
                <w:szCs w:val="20"/>
                <w:color w:val="auto"/>
              </w:rPr>
            </w:pPr>
            <w:r>
              <w:rPr>
                <w:rFonts w:ascii="Arial" w:cs="Arial" w:eastAsia="Arial" w:hAnsi="Arial"/>
                <w:sz w:val="13"/>
                <w:szCs w:val="13"/>
                <w:b w:val="1"/>
                <w:bCs w:val="1"/>
                <w:color w:val="auto"/>
              </w:rPr>
              <w:t>2009</w:t>
            </w:r>
          </w:p>
        </w:tc>
        <w:tc>
          <w:tcPr>
            <w:tcW w:w="860" w:type="dxa"/>
            <w:vAlign w:val="bottom"/>
          </w:tcPr>
          <w:p>
            <w:pPr>
              <w:spacing w:after="0"/>
              <w:rPr>
                <w:sz w:val="11"/>
                <w:szCs w:val="11"/>
                <w:color w:val="auto"/>
              </w:rPr>
            </w:pPr>
          </w:p>
        </w:tc>
        <w:tc>
          <w:tcPr>
            <w:tcW w:w="520" w:type="dxa"/>
            <w:vAlign w:val="bottom"/>
          </w:tcPr>
          <w:p>
            <w:pPr>
              <w:jc w:val="right"/>
              <w:ind w:right="40"/>
              <w:spacing w:after="0" w:line="137"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1"/>
                <w:szCs w:val="11"/>
                <w:color w:val="auto"/>
              </w:rPr>
            </w:pPr>
          </w:p>
        </w:tc>
      </w:tr>
      <w:tr>
        <w:trPr>
          <w:trHeight w:val="202"/>
        </w:trPr>
        <w:tc>
          <w:tcPr>
            <w:tcW w:w="7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Lazard Statistics:</w:t>
            </w: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9"/>
        </w:trPr>
        <w:tc>
          <w:tcPr>
            <w:tcW w:w="7940" w:type="dxa"/>
            <w:vAlign w:val="bottom"/>
          </w:tcPr>
          <w:p>
            <w:pPr>
              <w:spacing w:after="0"/>
              <w:rPr>
                <w:sz w:val="20"/>
                <w:szCs w:val="20"/>
                <w:color w:val="auto"/>
              </w:rPr>
            </w:pPr>
            <w:r>
              <w:rPr>
                <w:rFonts w:ascii="Arial" w:cs="Arial" w:eastAsia="Arial" w:hAnsi="Arial"/>
                <w:sz w:val="17"/>
                <w:szCs w:val="17"/>
                <w:color w:val="auto"/>
              </w:rPr>
              <w:t>Number of Clients With Fees Greater than $1 million</w:t>
            </w: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255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257</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220</w:t>
            </w:r>
          </w:p>
        </w:tc>
        <w:tc>
          <w:tcPr>
            <w:tcW w:w="200" w:type="dxa"/>
            <w:vAlign w:val="bottom"/>
          </w:tcPr>
          <w:p>
            <w:pPr>
              <w:spacing w:after="0"/>
              <w:rPr>
                <w:sz w:val="18"/>
                <w:szCs w:val="18"/>
                <w:color w:val="auto"/>
              </w:rPr>
            </w:pPr>
          </w:p>
        </w:tc>
      </w:tr>
      <w:tr>
        <w:trPr>
          <w:trHeight w:val="209"/>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Percentage of Total Financial Advisory Revenue from Top 10 Clients (a)</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1960" w:type="dxa"/>
            <w:vAlign w:val="bottom"/>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17%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r>
      <w:tr>
        <w:trPr>
          <w:trHeight w:val="215"/>
        </w:trPr>
        <w:tc>
          <w:tcPr>
            <w:tcW w:w="7940" w:type="dxa"/>
            <w:vAlign w:val="bottom"/>
          </w:tcPr>
          <w:p>
            <w:pPr>
              <w:spacing w:after="0"/>
              <w:rPr>
                <w:sz w:val="20"/>
                <w:szCs w:val="20"/>
                <w:color w:val="auto"/>
              </w:rPr>
            </w:pPr>
            <w:r>
              <w:rPr>
                <w:rFonts w:ascii="Arial" w:cs="Arial" w:eastAsia="Arial" w:hAnsi="Arial"/>
                <w:sz w:val="17"/>
                <w:szCs w:val="17"/>
                <w:color w:val="auto"/>
              </w:rPr>
              <w:t>Number of M&amp;A Transactions Completed With Values Greater than $1 billion (b)</w:t>
            </w: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33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40</w:t>
            </w: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28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09" w:lineRule="exact"/>
        <w:rPr>
          <w:sz w:val="20"/>
          <w:szCs w:val="20"/>
          <w:color w:val="auto"/>
        </w:rPr>
      </w:pPr>
    </w:p>
    <w:p>
      <w:pPr>
        <w:ind w:left="460" w:right="100" w:hanging="456"/>
        <w:spacing w:after="0" w:line="260"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There were no individual clients that constituted more than 10% of our Financial Advisory segment net revenue in the years ended December 31, 2010, 2009 or 2008.</w:t>
      </w:r>
    </w:p>
    <w:p>
      <w:pPr>
        <w:ind w:left="460" w:hanging="456"/>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Source: Thomson Financial as of January 7, 2011.</w:t>
      </w:r>
    </w:p>
    <w:p>
      <w:pPr>
        <w:spacing w:after="0" w:line="151" w:lineRule="exact"/>
        <w:rPr>
          <w:sz w:val="20"/>
          <w:szCs w:val="20"/>
          <w:color w:val="auto"/>
        </w:rPr>
      </w:pPr>
    </w:p>
    <w:p>
      <w:pPr>
        <w:ind w:right="60" w:firstLine="457"/>
        <w:spacing w:after="0" w:line="268" w:lineRule="auto"/>
        <w:rPr>
          <w:sz w:val="20"/>
          <w:szCs w:val="20"/>
          <w:color w:val="auto"/>
        </w:rPr>
      </w:pPr>
      <w:r>
        <w:rPr>
          <w:rFonts w:ascii="Arial" w:cs="Arial" w:eastAsia="Arial" w:hAnsi="Arial"/>
          <w:sz w:val="17"/>
          <w:szCs w:val="17"/>
          <w:color w:val="auto"/>
        </w:rPr>
        <w:t>The geographical distribution of Financial Advisory net revenue is set forth below in percentage terms and is based on the Lazard offices that generate Financial Advisory net revenue, which are located in the U.S., Europe (principally in the U.K., France, Italy, Spain and Germany) and the rest of the world (principally in Australia). However, such distribution is not reflective of the geography in which the clients are located.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940" w:type="dxa"/>
            <w:vAlign w:val="bottom"/>
          </w:tcPr>
          <w:p>
            <w:pPr>
              <w:spacing w:after="0"/>
              <w:rPr>
                <w:sz w:val="11"/>
                <w:szCs w:val="11"/>
                <w:color w:val="auto"/>
              </w:rPr>
            </w:pPr>
          </w:p>
        </w:tc>
        <w:tc>
          <w:tcPr>
            <w:tcW w:w="520" w:type="dxa"/>
            <w:vAlign w:val="bottom"/>
            <w:tcBorders>
              <w:bottom w:val="single" w:sz="8" w:color="auto"/>
            </w:tcBorders>
          </w:tcPr>
          <w:p>
            <w:pPr>
              <w:jc w:val="right"/>
              <w:ind w:right="39"/>
              <w:spacing w:after="0" w:line="137" w:lineRule="exact"/>
              <w:rPr>
                <w:sz w:val="20"/>
                <w:szCs w:val="20"/>
                <w:color w:val="auto"/>
              </w:rPr>
            </w:pPr>
            <w:r>
              <w:rPr>
                <w:rFonts w:ascii="Arial" w:cs="Arial" w:eastAsia="Arial" w:hAnsi="Arial"/>
                <w:sz w:val="13"/>
                <w:szCs w:val="13"/>
                <w:b w:val="1"/>
                <w:bCs w:val="1"/>
                <w:color w:val="auto"/>
              </w:rPr>
              <w:t>2010</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Borders>
              <w:bottom w:val="single" w:sz="8" w:color="auto"/>
            </w:tcBorders>
          </w:tcPr>
          <w:p>
            <w:pPr>
              <w:jc w:val="right"/>
              <w:ind w:right="55"/>
              <w:spacing w:after="0" w:line="137" w:lineRule="exact"/>
              <w:rPr>
                <w:sz w:val="20"/>
                <w:szCs w:val="20"/>
                <w:color w:val="auto"/>
              </w:rPr>
            </w:pPr>
            <w:r>
              <w:rPr>
                <w:rFonts w:ascii="Arial" w:cs="Arial" w:eastAsia="Arial" w:hAnsi="Arial"/>
                <w:sz w:val="13"/>
                <w:szCs w:val="13"/>
                <w:b w:val="1"/>
                <w:bCs w:val="1"/>
                <w:color w:val="auto"/>
              </w:rPr>
              <w:t>2009</w:t>
            </w:r>
          </w:p>
        </w:tc>
        <w:tc>
          <w:tcPr>
            <w:tcW w:w="860" w:type="dxa"/>
            <w:vAlign w:val="bottom"/>
          </w:tcPr>
          <w:p>
            <w:pPr>
              <w:spacing w:after="0"/>
              <w:rPr>
                <w:sz w:val="11"/>
                <w:szCs w:val="11"/>
                <w:color w:val="auto"/>
              </w:rPr>
            </w:pPr>
          </w:p>
        </w:tc>
        <w:tc>
          <w:tcPr>
            <w:tcW w:w="520" w:type="dxa"/>
            <w:vAlign w:val="bottom"/>
            <w:tcBorders>
              <w:bottom w:val="single" w:sz="8" w:color="auto"/>
            </w:tcBorders>
          </w:tcPr>
          <w:p>
            <w:pPr>
              <w:jc w:val="right"/>
              <w:ind w:right="39"/>
              <w:spacing w:after="0" w:line="137"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w:t>
            </w:r>
          </w:p>
        </w:tc>
        <w:tc>
          <w:tcPr>
            <w:tcW w:w="1960" w:type="dxa"/>
            <w:vAlign w:val="bottom"/>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51%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9"/>
        </w:trPr>
        <w:tc>
          <w:tcPr>
            <w:tcW w:w="7940" w:type="dxa"/>
            <w:vAlign w:val="bottom"/>
          </w:tcPr>
          <w:p>
            <w:pPr>
              <w:spacing w:after="0"/>
              <w:rPr>
                <w:sz w:val="20"/>
                <w:szCs w:val="20"/>
                <w:color w:val="auto"/>
              </w:rPr>
            </w:pPr>
            <w:r>
              <w:rPr>
                <w:rFonts w:ascii="Arial" w:cs="Arial" w:eastAsia="Arial" w:hAnsi="Arial"/>
                <w:sz w:val="17"/>
                <w:szCs w:val="17"/>
                <w:color w:val="auto"/>
              </w:rPr>
              <w:t>Europe</w:t>
            </w: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37</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Rest of World</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940" w:type="dxa"/>
            <w:vAlign w:val="bottom"/>
            <w:vMerge w:val="continue"/>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1960" w:type="dxa"/>
            <w:vAlign w:val="bottom"/>
            <w:gridSpan w:val="3"/>
          </w:tcPr>
          <w:p>
            <w:pPr>
              <w:jc w:val="right"/>
              <w:ind w:right="720"/>
              <w:spacing w:after="0"/>
              <w:rPr>
                <w:sz w:val="20"/>
                <w:szCs w:val="20"/>
                <w:color w:val="auto"/>
              </w:rPr>
            </w:pPr>
            <w:r>
              <w:rPr>
                <w:rFonts w:ascii="Arial" w:cs="Arial" w:eastAsia="Arial" w:hAnsi="Arial"/>
                <w:sz w:val="17"/>
                <w:szCs w:val="17"/>
                <w:color w:val="auto"/>
              </w:rPr>
              <w:t>100%</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57"/>
        <w:spacing w:after="0" w:line="262" w:lineRule="auto"/>
        <w:rPr>
          <w:sz w:val="20"/>
          <w:szCs w:val="20"/>
          <w:color w:val="auto"/>
        </w:rPr>
      </w:pPr>
      <w:r>
        <w:rPr>
          <w:rFonts w:ascii="Arial" w:cs="Arial" w:eastAsia="Arial" w:hAnsi="Arial"/>
          <w:sz w:val="17"/>
          <w:szCs w:val="17"/>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Financial Advisory Results of Operations</w:t>
      </w:r>
    </w:p>
    <w:p>
      <w:pPr>
        <w:spacing w:after="0" w:line="79"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As reflected in the tables of operating results of the Financial Advisory segment above, the portion of the 2010 and 2009 special items attributable to the Financial Advisory segment had a significant impact on the segment’s reported operating results for such years. Lazard management believes that comparisons between years are most meaningful after excluding the impact of such items.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Year Ended December 31, 2010 versus December 31, 2009</w:t>
      </w:r>
    </w:p>
    <w:p>
      <w:pPr>
        <w:spacing w:after="0" w:line="79" w:lineRule="exact"/>
        <w:rPr>
          <w:sz w:val="20"/>
          <w:szCs w:val="20"/>
          <w:color w:val="auto"/>
        </w:rPr>
      </w:pPr>
    </w:p>
    <w:p>
      <w:pPr>
        <w:ind w:right="280" w:firstLine="457"/>
        <w:spacing w:after="0" w:line="268" w:lineRule="auto"/>
        <w:rPr>
          <w:sz w:val="20"/>
          <w:szCs w:val="20"/>
          <w:color w:val="auto"/>
        </w:rPr>
      </w:pPr>
      <w:r>
        <w:rPr>
          <w:rFonts w:ascii="Arial" w:cs="Arial" w:eastAsia="Arial" w:hAnsi="Arial"/>
          <w:sz w:val="17"/>
          <w:szCs w:val="17"/>
          <w:color w:val="auto"/>
        </w:rPr>
        <w:t>Financial Advisory net revenue increased $133 million, or 13%, as compared to 2009, reflecting increases in M&amp;A and Strategic Advisory revenue of $188 million, or 36% and Capital Markets and Other Advisory net revenue of $28 million, or 33%, partially offset by declines in Restructuring revenue of $83 million, or 22%.</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48"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480" w:firstLine="457"/>
        <w:spacing w:after="0" w:line="320" w:lineRule="auto"/>
        <w:rPr>
          <w:sz w:val="20"/>
          <w:szCs w:val="20"/>
          <w:color w:val="auto"/>
        </w:rPr>
      </w:pPr>
      <w:r>
        <w:rPr>
          <w:rFonts w:ascii="Arial" w:cs="Arial" w:eastAsia="Arial" w:hAnsi="Arial"/>
          <w:sz w:val="15"/>
          <w:szCs w:val="15"/>
          <w:color w:val="auto"/>
        </w:rPr>
        <w:t>The increase in M&amp;A and Strategic Advisory revenue was principally due to higher average fees per M&amp;A and Strategic Advisory assignment. Our major clients, which in the aggregate represented 25% of our M&amp;A and Strategic Advisory revenue for the year, included 3G Capital, Abraxis Bioscience, Coca-Cola Enterprises, Continental Airlines, Cote d’Ivoire, Kraft Foods, Marken, Newcrest Mining, Ocarina Trust, Royal Bank of Scotland Group and SSL International.</w:t>
      </w:r>
    </w:p>
    <w:p>
      <w:pPr>
        <w:spacing w:after="0" w:line="80"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Restructuring revenue is derived from various activities including bankruptcy assignments, global debt and financing restructurings, distressed asset sales and advice on complex on- and off-balance sheet assignments. The decrease in Restructuring revenue was principally driven by a significant decline in retainer fees due to a decline in the number of active assignments in 2010 as compared to the prior year. Notable assignments completed in 2010 included Alliance Bank Joint Stock Company, BTA Bank JSC, Evraz Group, Extended Stay Deluxe Studios and LNR Property.</w:t>
      </w:r>
    </w:p>
    <w:p>
      <w:pPr>
        <w:spacing w:after="0" w:line="119" w:lineRule="exact"/>
        <w:rPr>
          <w:sz w:val="20"/>
          <w:szCs w:val="20"/>
          <w:color w:val="auto"/>
        </w:rPr>
      </w:pPr>
    </w:p>
    <w:p>
      <w:pPr>
        <w:ind w:right="140" w:firstLine="457"/>
        <w:spacing w:after="0" w:line="280" w:lineRule="auto"/>
        <w:rPr>
          <w:sz w:val="20"/>
          <w:szCs w:val="20"/>
          <w:color w:val="auto"/>
        </w:rPr>
      </w:pPr>
      <w:r>
        <w:rPr>
          <w:rFonts w:ascii="Arial" w:cs="Arial" w:eastAsia="Arial" w:hAnsi="Arial"/>
          <w:sz w:val="17"/>
          <w:szCs w:val="17"/>
          <w:color w:val="auto"/>
        </w:rPr>
        <w:t>The increase in Capital Markets and Other Advisory net revenue principally reflected increased revenue in our Private Fund Advisory Group, resulting from an increase in the number and value of fund closings, and was partially offset by decreases in underwriting fees from public offerings.</w:t>
      </w:r>
    </w:p>
    <w:p>
      <w:pPr>
        <w:spacing w:after="0" w:line="105" w:lineRule="exact"/>
        <w:rPr>
          <w:sz w:val="20"/>
          <w:szCs w:val="20"/>
          <w:color w:val="auto"/>
        </w:rPr>
      </w:pPr>
    </w:p>
    <w:p>
      <w:pPr>
        <w:ind w:right="240" w:firstLine="457"/>
        <w:spacing w:after="0" w:line="285" w:lineRule="auto"/>
        <w:rPr>
          <w:sz w:val="20"/>
          <w:szCs w:val="20"/>
          <w:color w:val="auto"/>
        </w:rPr>
      </w:pPr>
      <w:r>
        <w:rPr>
          <w:rFonts w:ascii="Arial" w:cs="Arial" w:eastAsia="Arial" w:hAnsi="Arial"/>
          <w:sz w:val="16"/>
          <w:szCs w:val="16"/>
          <w:color w:val="auto"/>
        </w:rPr>
        <w:t>Operating expenses decreased $48 million, or 5%, as compared to 2009. Excluding the impact of the 2010 and 2009 special items attributable to the Financial Advisory segment, operating expenses decreased $19 million, or 2%. The principal contributor to the decrease was a decline in the amortization of share-based and deferred cash incentive compensation awards, which was partially offset by a higher provision for discretionary compensation related to the increase in operating revenue, as well as higher costs related to travel, other business development and technology expenses.</w:t>
      </w:r>
    </w:p>
    <w:p>
      <w:pPr>
        <w:spacing w:after="0" w:line="105" w:lineRule="exact"/>
        <w:rPr>
          <w:sz w:val="20"/>
          <w:szCs w:val="20"/>
          <w:color w:val="auto"/>
        </w:rPr>
      </w:pPr>
    </w:p>
    <w:p>
      <w:pPr>
        <w:ind w:right="240" w:firstLine="457"/>
        <w:spacing w:after="0" w:line="268" w:lineRule="auto"/>
        <w:rPr>
          <w:sz w:val="20"/>
          <w:szCs w:val="20"/>
          <w:color w:val="auto"/>
        </w:rPr>
      </w:pPr>
      <w:r>
        <w:rPr>
          <w:rFonts w:ascii="Arial" w:cs="Arial" w:eastAsia="Arial" w:hAnsi="Arial"/>
          <w:sz w:val="17"/>
          <w:szCs w:val="17"/>
          <w:color w:val="auto"/>
        </w:rPr>
        <w:t>Financial Advisory operating income was $169 million, an increase of $181 million, as compared to the 2009 period, and represented 15% of segment net revenues in 2010. Excluding the impact of the 2010 and 2009 special items attributable to the Financial Advisory segment, operating income in 2010 increased $152 million, and represented 17% of segment net revenues, as compared to 4% in 2009.</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Year Ended December 31, 2009 versus December 31, 2008</w:t>
      </w:r>
    </w:p>
    <w:p>
      <w:pPr>
        <w:spacing w:after="0" w:line="79" w:lineRule="exact"/>
        <w:rPr>
          <w:sz w:val="20"/>
          <w:szCs w:val="20"/>
          <w:color w:val="auto"/>
        </w:rPr>
      </w:pPr>
    </w:p>
    <w:p>
      <w:pPr>
        <w:ind w:right="240" w:firstLine="457"/>
        <w:spacing w:after="0" w:line="292" w:lineRule="auto"/>
        <w:rPr>
          <w:sz w:val="20"/>
          <w:szCs w:val="20"/>
          <w:color w:val="auto"/>
        </w:rPr>
      </w:pPr>
      <w:r>
        <w:rPr>
          <w:rFonts w:ascii="Arial" w:cs="Arial" w:eastAsia="Arial" w:hAnsi="Arial"/>
          <w:sz w:val="16"/>
          <w:szCs w:val="16"/>
          <w:color w:val="auto"/>
        </w:rPr>
        <w:t>For the year ended December 31, 2009, Financial Advisory net revenue decreased $36 million, or 4%, as compared to 2008, reflecting decreases in M&amp;A and Strategic Advisory revenue of $288 million, or 35%, and Capital Markets and Other Advisory net revenue of $5 million, or 6%, which were substantially offset by Restructuring revenue (including fees for advising on distressed asset sales), which increased $257 million, or 216%.</w:t>
      </w:r>
    </w:p>
    <w:p>
      <w:pPr>
        <w:spacing w:after="0" w:line="98"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color w:val="auto"/>
        </w:rPr>
        <w:t>The decrease in M&amp;A and Strategic Advisory revenue for the year ended December 31, 2009 was principally due to the adverse economic and market conditions described above, which resulted in lower average fees per transaction for M&amp;A and Strategic Advisory clients, as well as those clients generating fee revenues greater than $1 million. However, throughout 2009, M&amp;A and Strategic Advisory quarterly revenue improved sequentially, with revenue in the second half of 2009 up 28%, as compared to the first half of 2009. Our major clients, which in the aggregate represented 25% of our M&amp;A and Strategic Advisory revenue for the year, included Acciona, Anheuser-Busch InBev, Barclays, Caisse d’Epargne, Republic of Ecuador, SFGI-FPIM, GlaxoSmithKline, Haas Family Trusts, IBM and Saint-Gobain.</w:t>
      </w:r>
    </w:p>
    <w:p>
      <w:pPr>
        <w:spacing w:after="0" w:line="92" w:lineRule="exact"/>
        <w:rPr>
          <w:sz w:val="20"/>
          <w:szCs w:val="20"/>
          <w:color w:val="auto"/>
        </w:rPr>
      </w:pPr>
    </w:p>
    <w:p>
      <w:pPr>
        <w:jc w:val="both"/>
        <w:ind w:right="140" w:firstLine="457"/>
        <w:spacing w:after="0" w:line="268" w:lineRule="auto"/>
        <w:rPr>
          <w:sz w:val="20"/>
          <w:szCs w:val="20"/>
          <w:color w:val="auto"/>
        </w:rPr>
      </w:pPr>
      <w:r>
        <w:rPr>
          <w:rFonts w:ascii="Arial" w:cs="Arial" w:eastAsia="Arial" w:hAnsi="Arial"/>
          <w:sz w:val="17"/>
          <w:szCs w:val="17"/>
          <w:color w:val="auto"/>
        </w:rPr>
        <w:t>Restructuring revenue during the year ended December 31, 2009 increased significantly as compared to 2008 due to the significant increases in defaults and in-court and out-of-court restructurings. Notable assignments completed in 2009 included Cemex, Charter Communications, Lehman Brothers, Nortel Networks and the UAW.</w:t>
      </w:r>
    </w:p>
    <w:p>
      <w:pPr>
        <w:spacing w:after="0" w:line="115" w:lineRule="exact"/>
        <w:rPr>
          <w:sz w:val="20"/>
          <w:szCs w:val="20"/>
          <w:color w:val="auto"/>
        </w:rPr>
      </w:pPr>
    </w:p>
    <w:p>
      <w:pPr>
        <w:jc w:val="both"/>
        <w:ind w:right="420" w:firstLine="457"/>
        <w:spacing w:after="0" w:line="268" w:lineRule="auto"/>
        <w:rPr>
          <w:sz w:val="20"/>
          <w:szCs w:val="20"/>
          <w:color w:val="auto"/>
        </w:rPr>
      </w:pPr>
      <w:r>
        <w:rPr>
          <w:rFonts w:ascii="Arial" w:cs="Arial" w:eastAsia="Arial" w:hAnsi="Arial"/>
          <w:sz w:val="17"/>
          <w:szCs w:val="17"/>
          <w:color w:val="auto"/>
        </w:rPr>
        <w:t>The decrease in Capital Markets and Other Advisory net revenue reflected decreases in the value of fund closings by our Private Fund Advisory Group and private placements by our Capital Markets Group, as well as declines in Equity Capital Markets transactions, all of which were impacted by the uncertainty of the financial markets during 2009.</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48"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color w:val="auto"/>
        </w:rPr>
        <w:t>Operating expenses for the year ended December 31, 2009 increased $202 million, or 25%, as compared to 2008. Excluding the impact of the 2009 special item attributable to the Financial Advisory segment, operating expenses increased $153 million, or 19%, as compared to 2008. Contributing to the increase was the change in the Company’s compensation policy as previously described, an increase in the amortization expense associated with previously granted share-based incentive awards and the current year portion of the previously awarded deferred cash incentive awards, which were partially offset by lower salaries and benefits due to the impact of the staff reductions associated with the restructuring program implemented during the first quarter of 2009, the strengthening of the U.S. dollar versus foreign currencies, and lower costs related to travel and other business development expenses, including recruiting, technology expenses and amortization of intangible assets.</w:t>
      </w:r>
    </w:p>
    <w:p>
      <w:pPr>
        <w:spacing w:after="0" w:line="94" w:lineRule="exact"/>
        <w:rPr>
          <w:sz w:val="20"/>
          <w:szCs w:val="20"/>
          <w:color w:val="auto"/>
        </w:rPr>
      </w:pPr>
    </w:p>
    <w:p>
      <w:pPr>
        <w:ind w:right="100" w:firstLine="457"/>
        <w:spacing w:after="0" w:line="268" w:lineRule="auto"/>
        <w:rPr>
          <w:sz w:val="20"/>
          <w:szCs w:val="20"/>
          <w:color w:val="auto"/>
        </w:rPr>
      </w:pPr>
      <w:r>
        <w:rPr>
          <w:rFonts w:ascii="Arial" w:cs="Arial" w:eastAsia="Arial" w:hAnsi="Arial"/>
          <w:sz w:val="17"/>
          <w:szCs w:val="17"/>
          <w:color w:val="auto"/>
        </w:rPr>
        <w:t>Financial Advisory operating loss for 2009 was $12 million, a decrease of $238 million as compared to 2008, and represented (1)% of segment net revenues for 2009, as compared to 22% in 2008. Excluding the impact of the 2009 special item attributable to the Financial Advisory segment, operating income decreased $189 million and represented 4% of segment net revenues in 2009, as compared to 22% in 2008.</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7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w w:val="99"/>
              </w:rPr>
              <w:t>As of December 31,</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7"/>
        </w:trPr>
        <w:tc>
          <w:tcPr>
            <w:tcW w:w="57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17"/>
              <w:spacing w:after="0" w:line="137" w:lineRule="exact"/>
              <w:rPr>
                <w:sz w:val="20"/>
                <w:szCs w:val="20"/>
                <w:color w:val="auto"/>
              </w:rPr>
            </w:pPr>
            <w:r>
              <w:rPr>
                <w:rFonts w:ascii="Arial" w:cs="Arial" w:eastAsia="Arial" w:hAnsi="Arial"/>
                <w:sz w:val="13"/>
                <w:szCs w:val="13"/>
                <w:b w:val="1"/>
                <w:bCs w:val="1"/>
                <w:color w:val="auto"/>
              </w:rPr>
              <w:t>2010</w:t>
            </w:r>
          </w:p>
        </w:tc>
        <w:tc>
          <w:tcPr>
            <w:tcW w:w="1080" w:type="dxa"/>
            <w:vAlign w:val="bottom"/>
            <w:gridSpan w:val="2"/>
          </w:tcPr>
          <w:p>
            <w:pPr>
              <w:jc w:val="right"/>
              <w:ind w:right="118"/>
              <w:spacing w:after="0" w:line="137" w:lineRule="exact"/>
              <w:rPr>
                <w:sz w:val="20"/>
                <w:szCs w:val="20"/>
                <w:color w:val="auto"/>
              </w:rPr>
            </w:pPr>
            <w:r>
              <w:rPr>
                <w:rFonts w:ascii="Arial" w:cs="Arial" w:eastAsia="Arial" w:hAnsi="Arial"/>
                <w:sz w:val="13"/>
                <w:szCs w:val="13"/>
                <w:b w:val="1"/>
                <w:bCs w:val="1"/>
                <w:color w:val="auto"/>
              </w:rPr>
              <w:t>2009</w:t>
            </w:r>
          </w:p>
        </w:tc>
        <w:tc>
          <w:tcPr>
            <w:tcW w:w="300" w:type="dxa"/>
            <w:vAlign w:val="bottom"/>
          </w:tcPr>
          <w:p>
            <w:pPr>
              <w:spacing w:after="0"/>
              <w:rPr>
                <w:sz w:val="11"/>
                <w:szCs w:val="11"/>
                <w:color w:val="auto"/>
              </w:rPr>
            </w:pPr>
          </w:p>
        </w:tc>
        <w:tc>
          <w:tcPr>
            <w:tcW w:w="700" w:type="dxa"/>
            <w:vAlign w:val="bottom"/>
            <w:gridSpan w:val="2"/>
          </w:tcPr>
          <w:p>
            <w:pPr>
              <w:jc w:val="right"/>
              <w:ind w:right="75"/>
              <w:spacing w:after="0" w:line="137" w:lineRule="exact"/>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1"/>
                <w:szCs w:val="11"/>
                <w:color w:val="auto"/>
              </w:rPr>
            </w:pPr>
          </w:p>
        </w:tc>
      </w:tr>
      <w:tr>
        <w:trPr>
          <w:trHeight w:val="137"/>
        </w:trPr>
        <w:tc>
          <w:tcPr>
            <w:tcW w:w="57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93"/>
              </w:rPr>
              <w:t>in millions)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AUM:</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7"/>
                <w:szCs w:val="17"/>
                <w:color w:val="auto"/>
              </w:rPr>
              <w:t>International Equities</w:t>
            </w:r>
          </w:p>
        </w:tc>
        <w:tc>
          <w:tcPr>
            <w:tcW w:w="29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32,037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$ 32,268</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$25,000</w:t>
            </w:r>
          </w:p>
        </w:tc>
        <w:tc>
          <w:tcPr>
            <w:tcW w:w="80" w:type="dxa"/>
            <w:vAlign w:val="bottom"/>
          </w:tcPr>
          <w:p>
            <w:pPr>
              <w:spacing w:after="0"/>
              <w:rPr>
                <w:sz w:val="18"/>
                <w:szCs w:val="18"/>
                <w:color w:val="auto"/>
              </w:rPr>
            </w:pP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Global Equities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58,332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31,553</w:t>
            </w:r>
          </w:p>
        </w:tc>
        <w:tc>
          <w:tcPr>
            <w:tcW w:w="80" w:type="dxa"/>
            <w:vAlign w:val="bottom"/>
            <w:shd w:val="clear" w:color="auto" w:fill="CCEEFF"/>
          </w:tcPr>
          <w:p>
            <w:pPr>
              <w:spacing w:after="0"/>
              <w:rPr>
                <w:sz w:val="18"/>
                <w:szCs w:val="18"/>
                <w:color w:val="auto"/>
              </w:rPr>
            </w:pPr>
          </w:p>
        </w:tc>
      </w:tr>
      <w:tr>
        <w:trPr>
          <w:trHeight w:val="215"/>
        </w:trPr>
        <w:tc>
          <w:tcPr>
            <w:tcW w:w="5720" w:type="dxa"/>
            <w:vAlign w:val="bottom"/>
          </w:tcPr>
          <w:p>
            <w:pPr>
              <w:spacing w:after="0"/>
              <w:rPr>
                <w:sz w:val="20"/>
                <w:szCs w:val="20"/>
                <w:color w:val="auto"/>
              </w:rPr>
            </w:pPr>
            <w:r>
              <w:rPr>
                <w:rFonts w:ascii="Arial" w:cs="Arial" w:eastAsia="Arial" w:hAnsi="Arial"/>
                <w:sz w:val="17"/>
                <w:szCs w:val="17"/>
                <w:color w:val="auto"/>
              </w:rPr>
              <w:t>U.S. Equities</w:t>
            </w:r>
          </w:p>
        </w:tc>
        <w:tc>
          <w:tcPr>
            <w:tcW w:w="2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21,298</w:t>
            </w:r>
          </w:p>
        </w:tc>
        <w:tc>
          <w:tcPr>
            <w:tcW w:w="4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13,177</w:t>
            </w:r>
          </w:p>
        </w:tc>
        <w:tc>
          <w:tcPr>
            <w:tcW w:w="80" w:type="dxa"/>
            <w:vAlign w:val="bottom"/>
          </w:tcPr>
          <w:p>
            <w:pPr>
              <w:spacing w:after="0"/>
              <w:rPr>
                <w:sz w:val="18"/>
                <w:szCs w:val="18"/>
                <w:color w:val="auto"/>
              </w:rPr>
            </w:pPr>
          </w:p>
        </w:tc>
      </w:tr>
      <w:tr>
        <w:trPr>
          <w:trHeight w:val="209"/>
        </w:trPr>
        <w:tc>
          <w:tcPr>
            <w:tcW w:w="5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Equities</w:t>
            </w:r>
          </w:p>
        </w:tc>
        <w:tc>
          <w:tcPr>
            <w:tcW w:w="2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131,300</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69,730</w:t>
            </w:r>
          </w:p>
        </w:tc>
        <w:tc>
          <w:tcPr>
            <w:tcW w:w="80" w:type="dxa"/>
            <w:vAlign w:val="bottom"/>
            <w:shd w:val="clear" w:color="auto" w:fill="CCEEFF"/>
          </w:tcPr>
          <w:p>
            <w:pPr>
              <w:spacing w:after="0"/>
              <w:rPr>
                <w:sz w:val="18"/>
                <w:szCs w:val="18"/>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7"/>
                <w:szCs w:val="17"/>
                <w:color w:val="auto"/>
              </w:rPr>
              <w:t>European and International Fixed Income</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12,249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13,763</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12,690</w:t>
            </w:r>
          </w:p>
        </w:tc>
        <w:tc>
          <w:tcPr>
            <w:tcW w:w="80" w:type="dxa"/>
            <w:vAlign w:val="bottom"/>
          </w:tcPr>
          <w:p>
            <w:pPr>
              <w:spacing w:after="0"/>
              <w:rPr>
                <w:sz w:val="18"/>
                <w:szCs w:val="18"/>
                <w:color w:val="auto"/>
              </w:rPr>
            </w:pPr>
          </w:p>
        </w:tc>
      </w:tr>
      <w:tr>
        <w:trPr>
          <w:trHeight w:val="211"/>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Global Fixed Income</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1,183</w:t>
            </w:r>
          </w:p>
        </w:tc>
        <w:tc>
          <w:tcPr>
            <w:tcW w:w="80" w:type="dxa"/>
            <w:vAlign w:val="bottom"/>
            <w:shd w:val="clear" w:color="auto" w:fill="CCEEFF"/>
          </w:tcPr>
          <w:p>
            <w:pPr>
              <w:spacing w:after="0"/>
              <w:rPr>
                <w:sz w:val="18"/>
                <w:szCs w:val="18"/>
                <w:color w:val="auto"/>
              </w:rPr>
            </w:pPr>
          </w:p>
        </w:tc>
      </w:tr>
      <w:tr>
        <w:trPr>
          <w:trHeight w:val="215"/>
        </w:trPr>
        <w:tc>
          <w:tcPr>
            <w:tcW w:w="5720" w:type="dxa"/>
            <w:vAlign w:val="bottom"/>
          </w:tcPr>
          <w:p>
            <w:pPr>
              <w:spacing w:after="0"/>
              <w:rPr>
                <w:sz w:val="20"/>
                <w:szCs w:val="20"/>
                <w:color w:val="auto"/>
              </w:rPr>
            </w:pPr>
            <w:r>
              <w:rPr>
                <w:rFonts w:ascii="Arial" w:cs="Arial" w:eastAsia="Arial" w:hAnsi="Arial"/>
                <w:sz w:val="17"/>
                <w:szCs w:val="17"/>
                <w:color w:val="auto"/>
              </w:rPr>
              <w:t>U.S. Fixed Income</w:t>
            </w:r>
          </w:p>
        </w:tc>
        <w:tc>
          <w:tcPr>
            <w:tcW w:w="2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3,190</w:t>
            </w:r>
          </w:p>
        </w:tc>
        <w:tc>
          <w:tcPr>
            <w:tcW w:w="4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w:t>
            </w:r>
          </w:p>
        </w:tc>
        <w:tc>
          <w:tcPr>
            <w:tcW w:w="80" w:type="dxa"/>
            <w:vAlign w:val="bottom"/>
          </w:tcPr>
          <w:p>
            <w:pPr>
              <w:spacing w:after="0"/>
              <w:rPr>
                <w:sz w:val="18"/>
                <w:szCs w:val="18"/>
                <w:color w:val="auto"/>
              </w:rPr>
            </w:pPr>
          </w:p>
        </w:tc>
      </w:tr>
      <w:tr>
        <w:trPr>
          <w:trHeight w:val="209"/>
        </w:trPr>
        <w:tc>
          <w:tcPr>
            <w:tcW w:w="5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Fixed Income</w:t>
            </w:r>
          </w:p>
        </w:tc>
        <w:tc>
          <w:tcPr>
            <w:tcW w:w="2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17,144</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15,824</w:t>
            </w:r>
          </w:p>
        </w:tc>
        <w:tc>
          <w:tcPr>
            <w:tcW w:w="80" w:type="dxa"/>
            <w:vAlign w:val="bottom"/>
            <w:shd w:val="clear" w:color="auto" w:fill="CCEEFF"/>
          </w:tcPr>
          <w:p>
            <w:pPr>
              <w:spacing w:after="0"/>
              <w:rPr>
                <w:sz w:val="18"/>
                <w:szCs w:val="18"/>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7"/>
                <w:szCs w:val="17"/>
                <w:color w:val="auto"/>
              </w:rPr>
              <w:t>Alternative Investments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5,524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3,936</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3,196</w:t>
            </w:r>
          </w:p>
        </w:tc>
        <w:tc>
          <w:tcPr>
            <w:tcW w:w="80" w:type="dxa"/>
            <w:vAlign w:val="bottom"/>
          </w:tcPr>
          <w:p>
            <w:pPr>
              <w:spacing w:after="0"/>
              <w:rPr>
                <w:sz w:val="18"/>
                <w:szCs w:val="18"/>
                <w:color w:val="auto"/>
              </w:rPr>
            </w:pPr>
          </w:p>
        </w:tc>
      </w:tr>
      <w:tr>
        <w:trPr>
          <w:trHeight w:val="211"/>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Private Equity</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1,579</w:t>
            </w:r>
          </w:p>
        </w:tc>
        <w:tc>
          <w:tcPr>
            <w:tcW w:w="80" w:type="dxa"/>
            <w:vAlign w:val="bottom"/>
            <w:shd w:val="clear" w:color="auto" w:fill="CCEEFF"/>
          </w:tcPr>
          <w:p>
            <w:pPr>
              <w:spacing w:after="0"/>
              <w:rPr>
                <w:sz w:val="18"/>
                <w:szCs w:val="18"/>
                <w:color w:val="auto"/>
              </w:rPr>
            </w:pPr>
          </w:p>
        </w:tc>
      </w:tr>
      <w:tr>
        <w:trPr>
          <w:trHeight w:val="215"/>
        </w:trPr>
        <w:tc>
          <w:tcPr>
            <w:tcW w:w="5720" w:type="dxa"/>
            <w:vAlign w:val="bottom"/>
          </w:tcPr>
          <w:p>
            <w:pPr>
              <w:spacing w:after="0"/>
              <w:rPr>
                <w:sz w:val="20"/>
                <w:szCs w:val="20"/>
                <w:color w:val="auto"/>
              </w:rPr>
            </w:pPr>
            <w:r>
              <w:rPr>
                <w:rFonts w:ascii="Arial" w:cs="Arial" w:eastAsia="Arial" w:hAnsi="Arial"/>
                <w:sz w:val="17"/>
                <w:szCs w:val="17"/>
                <w:color w:val="auto"/>
              </w:rPr>
              <w:t>Cash Management</w:t>
            </w:r>
          </w:p>
        </w:tc>
        <w:tc>
          <w:tcPr>
            <w:tcW w:w="2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4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80" w:type="dxa"/>
            <w:vAlign w:val="bottom"/>
          </w:tcPr>
          <w:p>
            <w:pPr>
              <w:spacing w:after="0"/>
              <w:rPr>
                <w:sz w:val="18"/>
                <w:szCs w:val="18"/>
                <w:color w:val="auto"/>
              </w:rPr>
            </w:pPr>
          </w:p>
        </w:tc>
      </w:tr>
      <w:tr>
        <w:trPr>
          <w:trHeight w:val="209"/>
        </w:trPr>
        <w:tc>
          <w:tcPr>
            <w:tcW w:w="5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AUM</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155,337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129,543</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91,109</w:t>
            </w:r>
          </w:p>
        </w:tc>
        <w:tc>
          <w:tcPr>
            <w:tcW w:w="80" w:type="dxa"/>
            <w:vAlign w:val="bottom"/>
            <w:shd w:val="clear" w:color="auto" w:fill="CCEEFF"/>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80" w:firstLine="457"/>
        <w:spacing w:after="0" w:line="280" w:lineRule="auto"/>
        <w:rPr>
          <w:sz w:val="20"/>
          <w:szCs w:val="20"/>
          <w:color w:val="auto"/>
        </w:rPr>
      </w:pPr>
      <w:r>
        <w:rPr>
          <w:rFonts w:ascii="Arial" w:cs="Arial" w:eastAsia="Arial" w:hAnsi="Arial"/>
          <w:sz w:val="17"/>
          <w:szCs w:val="17"/>
          <w:color w:val="auto"/>
        </w:rPr>
        <w:t>Average AUM for the years ended December 31, 2010, 2009 and 2008 is set forth below. Average AUM is based on an average of quarterly ending balances for the respective periods.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5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Year Ended December 31,</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7"/>
        </w:trPr>
        <w:tc>
          <w:tcPr>
            <w:tcW w:w="8520" w:type="dxa"/>
            <w:vAlign w:val="bottom"/>
          </w:tcPr>
          <w:p>
            <w:pPr>
              <w:spacing w:after="0"/>
              <w:rPr>
                <w:sz w:val="11"/>
                <w:szCs w:val="11"/>
                <w:color w:val="auto"/>
              </w:rPr>
            </w:pPr>
          </w:p>
        </w:tc>
        <w:tc>
          <w:tcPr>
            <w:tcW w:w="640" w:type="dxa"/>
            <w:vAlign w:val="bottom"/>
          </w:tcPr>
          <w:p>
            <w:pPr>
              <w:jc w:val="right"/>
              <w:ind w:right="105"/>
              <w:spacing w:after="0" w:line="137" w:lineRule="exact"/>
              <w:rPr>
                <w:sz w:val="20"/>
                <w:szCs w:val="20"/>
                <w:color w:val="auto"/>
              </w:rPr>
            </w:pPr>
            <w:r>
              <w:rPr>
                <w:rFonts w:ascii="Arial" w:cs="Arial" w:eastAsia="Arial" w:hAnsi="Arial"/>
                <w:sz w:val="13"/>
                <w:szCs w:val="13"/>
                <w:b w:val="1"/>
                <w:bCs w:val="1"/>
                <w:color w:val="auto"/>
              </w:rPr>
              <w:t>2010</w:t>
            </w:r>
          </w:p>
        </w:tc>
        <w:tc>
          <w:tcPr>
            <w:tcW w:w="1080" w:type="dxa"/>
            <w:vAlign w:val="bottom"/>
            <w:gridSpan w:val="2"/>
          </w:tcPr>
          <w:p>
            <w:pPr>
              <w:jc w:val="center"/>
              <w:ind w:left="390"/>
              <w:spacing w:after="0" w:line="137" w:lineRule="exact"/>
              <w:rPr>
                <w:sz w:val="20"/>
                <w:szCs w:val="20"/>
                <w:color w:val="auto"/>
              </w:rPr>
            </w:pPr>
            <w:r>
              <w:rPr>
                <w:rFonts w:ascii="Arial" w:cs="Arial" w:eastAsia="Arial" w:hAnsi="Arial"/>
                <w:sz w:val="13"/>
                <w:szCs w:val="13"/>
                <w:b w:val="1"/>
                <w:bCs w:val="1"/>
                <w:color w:val="auto"/>
                <w:w w:val="89"/>
              </w:rPr>
              <w:t>2009</w:t>
            </w:r>
          </w:p>
        </w:tc>
        <w:tc>
          <w:tcPr>
            <w:tcW w:w="440" w:type="dxa"/>
            <w:vAlign w:val="bottom"/>
          </w:tcPr>
          <w:p>
            <w:pPr>
              <w:spacing w:after="0"/>
              <w:rPr>
                <w:sz w:val="11"/>
                <w:szCs w:val="11"/>
                <w:color w:val="auto"/>
              </w:rPr>
            </w:pPr>
          </w:p>
        </w:tc>
        <w:tc>
          <w:tcPr>
            <w:tcW w:w="660" w:type="dxa"/>
            <w:vAlign w:val="bottom"/>
          </w:tcPr>
          <w:p>
            <w:pPr>
              <w:jc w:val="right"/>
              <w:ind w:right="125"/>
              <w:spacing w:after="0" w:line="137" w:lineRule="exact"/>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1"/>
                <w:szCs w:val="11"/>
                <w:color w:val="auto"/>
              </w:rPr>
            </w:pPr>
          </w:p>
        </w:tc>
      </w:tr>
      <w:tr>
        <w:trPr>
          <w:trHeight w:val="137"/>
        </w:trPr>
        <w:tc>
          <w:tcPr>
            <w:tcW w:w="85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4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0"/>
              </w:rPr>
              <w:t>$ in millions)</w:t>
            </w:r>
          </w:p>
        </w:tc>
        <w:tc>
          <w:tcPr>
            <w:tcW w:w="4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9"/>
        </w:trPr>
        <w:tc>
          <w:tcPr>
            <w:tcW w:w="8520" w:type="dxa"/>
            <w:vAlign w:val="bottom"/>
            <w:shd w:val="clear" w:color="auto" w:fill="CCEEFF"/>
          </w:tcPr>
          <w:p>
            <w:pPr>
              <w:spacing w:after="0"/>
              <w:rPr>
                <w:sz w:val="20"/>
                <w:szCs w:val="20"/>
                <w:color w:val="auto"/>
              </w:rPr>
            </w:pPr>
            <w:r>
              <w:rPr>
                <w:rFonts w:ascii="Arial" w:cs="Arial" w:eastAsia="Arial" w:hAnsi="Arial"/>
                <w:sz w:val="17"/>
                <w:szCs w:val="17"/>
                <w:color w:val="auto"/>
              </w:rPr>
              <w:t>Average AUM</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137,381</w:t>
            </w: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103,988</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122,828</w:t>
            </w:r>
          </w:p>
        </w:tc>
        <w:tc>
          <w:tcPr>
            <w:tcW w:w="80" w:type="dxa"/>
            <w:vAlign w:val="bottom"/>
            <w:shd w:val="clear" w:color="auto" w:fill="CCEEFF"/>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Total AUM at December 31, 2010 increased $26 billion, or 20%, as compared to that at December 31, 2009. Average AUM for the year ended December 31, 2010 was 32% higher than the average AUM for 2009, principally the result of market appreciation (which was generally consistent with the industry as a whole) and net inflows occurring during 2010. International, Global and U.S. equities represented 21%, 50% and 14% of total AUM at December 31, 2010, respectively, versus 25%, 45% and 12% of total AUM at December 31, 2009, respectively.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448"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460" w:firstLine="457"/>
        <w:spacing w:after="0" w:line="264" w:lineRule="auto"/>
        <w:rPr>
          <w:sz w:val="20"/>
          <w:szCs w:val="20"/>
          <w:color w:val="auto"/>
        </w:rPr>
      </w:pPr>
      <w:r>
        <w:rPr>
          <w:rFonts w:ascii="Arial" w:cs="Arial" w:eastAsia="Arial" w:hAnsi="Arial"/>
          <w:sz w:val="17"/>
          <w:szCs w:val="17"/>
          <w:color w:val="auto"/>
        </w:rPr>
        <w:t>Total AUM at December 31, 2009 increased $38.4 billion, or 42%, as compared to that at December 31, 2008. While average AUM for the year ended December 31, 2009 was 15% lower than the average AUM for 2008, average AUM increased sequentially by quarter during 2009. International, Global and U.S. equities represented 25%, 45% and 12% of total AUM at December 31, 2009, respectively, versus 27%, 35% and 14% of total AUM at December 31, 2008, respectively.</w:t>
      </w:r>
    </w:p>
    <w:p>
      <w:pPr>
        <w:spacing w:after="0" w:line="119"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As of December 31, 2010, approximately 90% of our AUM was managed on behalf of institutional clients, including corporations, labor unions, public pension funds, insurance companies and banks, and through sub-advisory relationships, mutual fund sponsors, broker-dealers and registered advisors versus 89% as of December 31, 2009, and, as of December 31, 2010, 10% of our AUM was managed on behalf of individual client relationships, which are principally with family offices and high-net worth individuals, versus 11% at December 31, 2009.</w:t>
      </w:r>
    </w:p>
    <w:p>
      <w:pPr>
        <w:spacing w:after="0" w:line="119" w:lineRule="exact"/>
        <w:rPr>
          <w:sz w:val="20"/>
          <w:szCs w:val="20"/>
          <w:color w:val="auto"/>
        </w:rPr>
      </w:pPr>
    </w:p>
    <w:p>
      <w:pPr>
        <w:ind w:right="300" w:firstLine="457"/>
        <w:spacing w:after="0" w:line="313" w:lineRule="auto"/>
        <w:rPr>
          <w:sz w:val="20"/>
          <w:szCs w:val="20"/>
          <w:color w:val="auto"/>
        </w:rPr>
      </w:pPr>
      <w:r>
        <w:rPr>
          <w:rFonts w:ascii="Arial" w:cs="Arial" w:eastAsia="Arial" w:hAnsi="Arial"/>
          <w:sz w:val="16"/>
          <w:szCs w:val="16"/>
          <w:color w:val="auto"/>
        </w:rPr>
        <w:t>As of December 31, 2010, AUM denominated in foreign currencies represented approximately 40% of our total AUM, as compared to 45% at December 31, 2009. Foreign denominated AUM declines in value with the strengthening of the U.S. dollar and increases in value as the U.S. dollar weakens.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changes in AUM for the years ended December 31, 2010, 2009 and 2008.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Year Ended December 31,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60" w:type="dxa"/>
            <w:vAlign w:val="bottom"/>
            <w:tcBorders>
              <w:bottom w:val="single" w:sz="8" w:color="auto"/>
            </w:tcBorders>
          </w:tcPr>
          <w:p>
            <w:pPr>
              <w:jc w:val="right"/>
              <w:ind w:right="122"/>
              <w:spacing w:after="0" w:line="137" w:lineRule="exact"/>
              <w:rPr>
                <w:sz w:val="20"/>
                <w:szCs w:val="20"/>
                <w:color w:val="auto"/>
              </w:rPr>
            </w:pPr>
            <w:r>
              <w:rPr>
                <w:rFonts w:ascii="Arial" w:cs="Arial" w:eastAsia="Arial" w:hAnsi="Arial"/>
                <w:sz w:val="13"/>
                <w:szCs w:val="13"/>
                <w:b w:val="1"/>
                <w:bCs w:val="1"/>
                <w:color w:val="auto"/>
              </w:rPr>
              <w:t>2010</w:t>
            </w:r>
          </w:p>
        </w:tc>
        <w:tc>
          <w:tcPr>
            <w:tcW w:w="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1"/>
              <w:spacing w:after="0" w:line="137" w:lineRule="exact"/>
              <w:rPr>
                <w:sz w:val="20"/>
                <w:szCs w:val="20"/>
                <w:color w:val="auto"/>
              </w:rPr>
            </w:pPr>
            <w:r>
              <w:rPr>
                <w:rFonts w:ascii="Arial" w:cs="Arial" w:eastAsia="Arial" w:hAnsi="Arial"/>
                <w:sz w:val="13"/>
                <w:szCs w:val="13"/>
                <w:b w:val="1"/>
                <w:bCs w:val="1"/>
                <w:color w:val="auto"/>
              </w:rPr>
              <w:t>2009</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8"/>
              <w:spacing w:after="0" w:line="137"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line="137" w:lineRule="exact"/>
              <w:rPr>
                <w:sz w:val="20"/>
                <w:szCs w:val="20"/>
                <w:color w:val="auto"/>
              </w:rPr>
            </w:pPr>
            <w:r>
              <w:rPr>
                <w:rFonts w:ascii="Arial" w:cs="Arial" w:eastAsia="Arial" w:hAnsi="Arial"/>
                <w:sz w:val="13"/>
                <w:szCs w:val="13"/>
                <w:b w:val="1"/>
                <w:bCs w:val="1"/>
                <w:color w:val="auto"/>
                <w:w w:val="82"/>
              </w:rPr>
              <w:t>$</w:t>
            </w:r>
          </w:p>
        </w:tc>
        <w:tc>
          <w:tcPr>
            <w:tcW w:w="560" w:type="dxa"/>
            <w:vAlign w:val="bottom"/>
          </w:tcPr>
          <w:p>
            <w:pPr>
              <w:spacing w:after="0" w:line="137" w:lineRule="exact"/>
              <w:rPr>
                <w:sz w:val="20"/>
                <w:szCs w:val="20"/>
                <w:color w:val="auto"/>
              </w:rPr>
            </w:pPr>
            <w:r>
              <w:rPr>
                <w:rFonts w:ascii="Arial" w:cs="Arial" w:eastAsia="Arial" w:hAnsi="Arial"/>
                <w:sz w:val="13"/>
                <w:szCs w:val="13"/>
                <w:b w:val="1"/>
                <w:bCs w:val="1"/>
                <w:color w:val="auto"/>
                <w:w w:val="78"/>
              </w:rPr>
              <w:t>in millions)</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AUM—Beginning of Year</w:t>
            </w:r>
          </w:p>
        </w:tc>
        <w:tc>
          <w:tcPr>
            <w:tcW w:w="29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$129,543</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91,109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141,413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7"/>
                <w:szCs w:val="17"/>
                <w:color w:val="auto"/>
              </w:rPr>
              <w:t>Net Flows(a)</w:t>
            </w:r>
          </w:p>
        </w:tc>
        <w:tc>
          <w:tcPr>
            <w:tcW w:w="2900" w:type="dxa"/>
            <w:vAlign w:val="bottom"/>
            <w:gridSpan w:val="3"/>
          </w:tcPr>
          <w:p>
            <w:pPr>
              <w:jc w:val="right"/>
              <w:ind w:right="20"/>
              <w:spacing w:after="0"/>
              <w:rPr>
                <w:sz w:val="20"/>
                <w:szCs w:val="20"/>
                <w:color w:val="auto"/>
              </w:rPr>
            </w:pPr>
            <w:r>
              <w:rPr>
                <w:rFonts w:ascii="Arial" w:cs="Arial" w:eastAsia="Arial" w:hAnsi="Arial"/>
                <w:sz w:val="17"/>
                <w:szCs w:val="17"/>
                <w:color w:val="auto"/>
              </w:rPr>
              <w:t>9,346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10,253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Acquisitions/(Dispositions)(b)</w:t>
            </w:r>
          </w:p>
        </w:tc>
        <w:tc>
          <w:tcPr>
            <w:tcW w:w="29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7"/>
                <w:szCs w:val="17"/>
                <w:color w:val="auto"/>
              </w:rPr>
              <w:t>Market and Foreign Exchange Appreciation (Depreciation)</w:t>
            </w:r>
          </w:p>
        </w:tc>
        <w:tc>
          <w:tcPr>
            <w:tcW w:w="2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16,448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29,012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(51,675)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AUM—End of Year</w:t>
            </w:r>
          </w:p>
        </w:tc>
        <w:tc>
          <w:tcPr>
            <w:tcW w:w="2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155,337</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7"/>
              </w:rPr>
              <w:t>129,543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right="460" w:hanging="456"/>
        <w:spacing w:after="0" w:line="260"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inflows of $35,028, $30,984 and $25,923 and outflows of $25,682, $20,731 and $24,552 for the years ended December 31, 2010, 2009 and 2008, respectively.</w:t>
      </w:r>
    </w:p>
    <w:p>
      <w:pPr>
        <w:ind w:left="460" w:right="120" w:hanging="456"/>
        <w:spacing w:after="0" w:line="272"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AUM and unfunded fee-earning commitments related to the Edgewater Acquisition, offset by the disposition of private equity AUM related to the sale of FPG.</w:t>
      </w:r>
    </w:p>
    <w:p>
      <w:pPr>
        <w:spacing w:after="0" w:line="112" w:lineRule="exact"/>
        <w:rPr>
          <w:sz w:val="20"/>
          <w:szCs w:val="20"/>
          <w:color w:val="auto"/>
        </w:rPr>
      </w:pPr>
    </w:p>
    <w:p>
      <w:pPr>
        <w:ind w:right="600" w:firstLine="457"/>
        <w:spacing w:after="0" w:line="280" w:lineRule="auto"/>
        <w:rPr>
          <w:sz w:val="20"/>
          <w:szCs w:val="20"/>
          <w:color w:val="auto"/>
        </w:rPr>
      </w:pPr>
      <w:r>
        <w:rPr>
          <w:rFonts w:ascii="Arial" w:cs="Arial" w:eastAsia="Arial" w:hAnsi="Arial"/>
          <w:sz w:val="17"/>
          <w:szCs w:val="17"/>
          <w:color w:val="auto"/>
        </w:rPr>
        <w:t>During the year ended December 31, 2010, inflows were principally in Global Equities due to increased investments in existing accounts, as well as new accounts gained. Outflows in 2010 occurred primarily in Global and International Equity and certain Fixed Income products.</w:t>
      </w:r>
    </w:p>
    <w:p>
      <w:pPr>
        <w:spacing w:after="0" w:line="105" w:lineRule="exact"/>
        <w:rPr>
          <w:sz w:val="20"/>
          <w:szCs w:val="20"/>
          <w:color w:val="auto"/>
        </w:rPr>
      </w:pPr>
    </w:p>
    <w:p>
      <w:pPr>
        <w:jc w:val="both"/>
        <w:ind w:right="100" w:firstLine="457"/>
        <w:spacing w:after="0" w:line="268" w:lineRule="auto"/>
        <w:rPr>
          <w:sz w:val="20"/>
          <w:szCs w:val="20"/>
          <w:color w:val="auto"/>
        </w:rPr>
      </w:pPr>
      <w:r>
        <w:rPr>
          <w:rFonts w:ascii="Arial" w:cs="Arial" w:eastAsia="Arial" w:hAnsi="Arial"/>
          <w:sz w:val="17"/>
          <w:szCs w:val="17"/>
          <w:color w:val="auto"/>
        </w:rPr>
        <w:t>During the year ended December 31, 2009, inflows, which principally occurred in the second half of the year, were in a broad range of products, with emphasis on Global Equity products due to increased investments in existing accounts as well as new accounts gained. Outflows in 2009 occurred most significantly in U.S. and International Equity products.</w:t>
      </w:r>
    </w:p>
    <w:p>
      <w:pPr>
        <w:spacing w:after="0" w:line="115" w:lineRule="exact"/>
        <w:rPr>
          <w:sz w:val="20"/>
          <w:szCs w:val="20"/>
          <w:color w:val="auto"/>
        </w:rPr>
      </w:pPr>
    </w:p>
    <w:p>
      <w:pPr>
        <w:ind w:right="180" w:firstLine="457"/>
        <w:spacing w:after="0" w:line="268" w:lineRule="auto"/>
        <w:rPr>
          <w:sz w:val="20"/>
          <w:szCs w:val="20"/>
          <w:color w:val="auto"/>
        </w:rPr>
      </w:pPr>
      <w:r>
        <w:rPr>
          <w:rFonts w:ascii="Arial" w:cs="Arial" w:eastAsia="Arial" w:hAnsi="Arial"/>
          <w:sz w:val="17"/>
          <w:szCs w:val="17"/>
          <w:color w:val="auto"/>
        </w:rPr>
        <w:t>As of February 18, 2011, AUM was $158.7 billion, a $3.4 billion increase since December 31, 2010. The change in AUM was due to market/foreign exchange appreciation of $3.2 billion and net inflows of $0.2 billion. Market appreciation was approximately 2% of AUM since December 31, 2010, which was generally consistent with the increase in global market indices during that period.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48"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120" w:firstLine="457"/>
        <w:spacing w:after="0" w:line="349" w:lineRule="auto"/>
        <w:rPr>
          <w:sz w:val="20"/>
          <w:szCs w:val="20"/>
          <w:color w:val="auto"/>
        </w:rPr>
      </w:pPr>
      <w:r>
        <w:rPr>
          <w:rFonts w:ascii="Arial" w:cs="Arial" w:eastAsia="Arial" w:hAnsi="Arial"/>
          <w:sz w:val="15"/>
          <w:szCs w:val="15"/>
          <w:color w:val="auto"/>
        </w:rPr>
        <w:t>The following tables summarize the operating results of the Asset Management segment for the years ended December 31, 2010, 2009 and 2008. Operating results for the respective years are shown before and after the charges attributable to the Asset Management segment related to the 2010, 2009 and 2008 special items.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Year Ended December 31, 2010</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1"/>
              <w:spacing w:after="0" w:line="124" w:lineRule="exact"/>
              <w:rPr>
                <w:sz w:val="20"/>
                <w:szCs w:val="20"/>
                <w:color w:val="auto"/>
              </w:rPr>
            </w:pPr>
            <w:r>
              <w:rPr>
                <w:rFonts w:ascii="Arial" w:cs="Arial" w:eastAsia="Arial" w:hAnsi="Arial"/>
                <w:sz w:val="13"/>
                <w:szCs w:val="13"/>
                <w:b w:val="1"/>
                <w:bCs w:val="1"/>
                <w:color w:val="auto"/>
                <w:w w:val="94"/>
              </w:rPr>
              <w:t>Non-</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gridSpan w:val="3"/>
          </w:tcPr>
          <w:p>
            <w:pPr>
              <w:jc w:val="center"/>
              <w:ind w:right="620"/>
              <w:spacing w:after="0" w:line="144" w:lineRule="exact"/>
              <w:rPr>
                <w:sz w:val="20"/>
                <w:szCs w:val="20"/>
                <w:color w:val="auto"/>
              </w:rPr>
            </w:pPr>
            <w:r>
              <w:rPr>
                <w:rFonts w:ascii="Arial" w:cs="Arial" w:eastAsia="Arial" w:hAnsi="Arial"/>
                <w:sz w:val="13"/>
                <w:szCs w:val="13"/>
                <w:b w:val="1"/>
                <w:bCs w:val="1"/>
                <w:color w:val="auto"/>
                <w:w w:val="93"/>
              </w:rPr>
              <w:t>Impact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6"/>
              </w:rPr>
              <w:t>U.S. 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6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U.S. GAAP</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720"/>
              <w:spacing w:after="0" w:line="144" w:lineRule="exact"/>
              <w:rPr>
                <w:sz w:val="20"/>
                <w:szCs w:val="20"/>
                <w:color w:val="auto"/>
              </w:rPr>
            </w:pPr>
            <w:r>
              <w:rPr>
                <w:rFonts w:ascii="Arial" w:cs="Arial" w:eastAsia="Arial" w:hAnsi="Arial"/>
                <w:sz w:val="13"/>
                <w:szCs w:val="13"/>
                <w:b w:val="1"/>
                <w:bCs w:val="1"/>
                <w:color w:val="auto"/>
                <w:w w:val="83"/>
              </w:rPr>
              <w:t>Special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Excluding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0"/>
              </w:rPr>
              <w:t>As Reported</w:t>
            </w: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18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9"/>
              </w:rPr>
              <w:t>Item (a)</w:t>
            </w:r>
          </w:p>
        </w:tc>
        <w:tc>
          <w:tcPr>
            <w:tcW w:w="8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Special Item (b)</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6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3"/>
                <w:szCs w:val="13"/>
                <w:b w:val="1"/>
                <w:bCs w:val="1"/>
                <w:color w:val="auto"/>
                <w:w w:val="72"/>
              </w:rPr>
              <w:t>in thousands)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7"/>
                <w:szCs w:val="17"/>
                <w:color w:val="auto"/>
              </w:rPr>
              <w:t>Management Fees</w:t>
            </w:r>
          </w:p>
        </w:tc>
        <w:tc>
          <w:tcPr>
            <w:tcW w:w="3280" w:type="dxa"/>
            <w:vAlign w:val="bottom"/>
            <w:gridSpan w:val="3"/>
          </w:tcPr>
          <w:p>
            <w:pPr>
              <w:jc w:val="right"/>
              <w:spacing w:after="0"/>
              <w:rPr>
                <w:sz w:val="20"/>
                <w:szCs w:val="20"/>
                <w:color w:val="auto"/>
              </w:rPr>
            </w:pPr>
            <w:r>
              <w:rPr>
                <w:rFonts w:ascii="Arial" w:cs="Arial" w:eastAsia="Arial" w:hAnsi="Arial"/>
                <w:sz w:val="17"/>
                <w:szCs w:val="17"/>
                <w:color w:val="auto"/>
              </w:rPr>
              <w:t>$ 715,885</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715,885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Incentive Fees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86,298</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7"/>
                <w:szCs w:val="17"/>
                <w:color w:val="auto"/>
              </w:rPr>
              <w:t>Other Income</w:t>
            </w:r>
          </w:p>
        </w:tc>
        <w:tc>
          <w:tcPr>
            <w:tcW w:w="2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47,479</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Net Revenue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849,662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849,662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Operating Expenses (c)</w:t>
            </w:r>
          </w:p>
        </w:tc>
        <w:tc>
          <w:tcPr>
            <w:tcW w:w="2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584,348</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2,902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581,446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3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$ 265,314</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268,216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7"/>
                <w:szCs w:val="17"/>
                <w:color w:val="auto"/>
              </w:rPr>
              <w:t>Operating Income, As A Percentage of Net Revenue</w:t>
            </w: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40" w:type="dxa"/>
            <w:vAlign w:val="bottom"/>
            <w:gridSpan w:val="2"/>
            <w:vMerge w:val="continue"/>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31%</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0"/>
              </w:rPr>
              <w:t>Year Ended December 31, 2009</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1"/>
              <w:spacing w:after="0" w:line="124" w:lineRule="exact"/>
              <w:rPr>
                <w:sz w:val="20"/>
                <w:szCs w:val="20"/>
                <w:color w:val="auto"/>
              </w:rPr>
            </w:pPr>
            <w:r>
              <w:rPr>
                <w:rFonts w:ascii="Arial" w:cs="Arial" w:eastAsia="Arial" w:hAnsi="Arial"/>
                <w:sz w:val="13"/>
                <w:szCs w:val="13"/>
                <w:b w:val="1"/>
                <w:bCs w:val="1"/>
                <w:color w:val="auto"/>
                <w:w w:val="94"/>
              </w:rPr>
              <w:t>Non-</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6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U.S. GAAP</w:t>
            </w:r>
          </w:p>
        </w:tc>
        <w:tc>
          <w:tcPr>
            <w:tcW w:w="600" w:type="dxa"/>
            <w:vAlign w:val="bottom"/>
          </w:tcPr>
          <w:p>
            <w:pPr>
              <w:spacing w:after="0"/>
              <w:rPr>
                <w:sz w:val="12"/>
                <w:szCs w:val="12"/>
                <w:color w:val="auto"/>
              </w:rPr>
            </w:pPr>
          </w:p>
        </w:tc>
        <w:tc>
          <w:tcPr>
            <w:tcW w:w="1280" w:type="dxa"/>
            <w:vAlign w:val="bottom"/>
            <w:gridSpan w:val="3"/>
          </w:tcPr>
          <w:p>
            <w:pPr>
              <w:jc w:val="center"/>
              <w:ind w:right="620"/>
              <w:spacing w:after="0" w:line="144" w:lineRule="exact"/>
              <w:rPr>
                <w:sz w:val="20"/>
                <w:szCs w:val="20"/>
                <w:color w:val="auto"/>
              </w:rPr>
            </w:pPr>
            <w:r>
              <w:rPr>
                <w:rFonts w:ascii="Arial" w:cs="Arial" w:eastAsia="Arial" w:hAnsi="Arial"/>
                <w:sz w:val="13"/>
                <w:szCs w:val="13"/>
                <w:b w:val="1"/>
                <w:bCs w:val="1"/>
                <w:color w:val="auto"/>
                <w:w w:val="93"/>
              </w:rPr>
              <w:t>Impact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6"/>
              </w:rPr>
              <w:t>U.S. 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83"/>
              </w:rPr>
              <w:t>As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720"/>
              <w:spacing w:after="0" w:line="144" w:lineRule="exact"/>
              <w:rPr>
                <w:sz w:val="20"/>
                <w:szCs w:val="20"/>
                <w:color w:val="auto"/>
              </w:rPr>
            </w:pPr>
            <w:r>
              <w:rPr>
                <w:rFonts w:ascii="Arial" w:cs="Arial" w:eastAsia="Arial" w:hAnsi="Arial"/>
                <w:sz w:val="13"/>
                <w:szCs w:val="13"/>
                <w:b w:val="1"/>
                <w:bCs w:val="1"/>
                <w:color w:val="auto"/>
                <w:w w:val="83"/>
              </w:rPr>
              <w:t>Special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Excluding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Reported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9"/>
              </w:rPr>
              <w:t>Item (a)</w:t>
            </w:r>
          </w:p>
        </w:tc>
        <w:tc>
          <w:tcPr>
            <w:tcW w:w="8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Special Item (b)</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3"/>
                <w:szCs w:val="13"/>
                <w:b w:val="1"/>
                <w:bCs w:val="1"/>
                <w:color w:val="auto"/>
                <w:w w:val="72"/>
              </w:rPr>
              <w:t>in thousands)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7"/>
                <w:szCs w:val="17"/>
                <w:color w:val="auto"/>
              </w:rPr>
              <w:t>Management Fees</w:t>
            </w:r>
          </w:p>
        </w:tc>
        <w:tc>
          <w:tcPr>
            <w:tcW w:w="3280" w:type="dxa"/>
            <w:vAlign w:val="bottom"/>
            <w:gridSpan w:val="3"/>
          </w:tcPr>
          <w:p>
            <w:pPr>
              <w:jc w:val="right"/>
              <w:spacing w:after="0"/>
              <w:rPr>
                <w:sz w:val="20"/>
                <w:szCs w:val="20"/>
                <w:color w:val="auto"/>
              </w:rPr>
            </w:pPr>
            <w:r>
              <w:rPr>
                <w:rFonts w:ascii="Arial" w:cs="Arial" w:eastAsia="Arial" w:hAnsi="Arial"/>
                <w:sz w:val="17"/>
                <w:szCs w:val="17"/>
                <w:color w:val="auto"/>
              </w:rPr>
              <w:t>$ 486,810</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486,810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Incentive Fees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74,795</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7"/>
                <w:szCs w:val="17"/>
                <w:color w:val="auto"/>
              </w:rPr>
              <w:t>Other Income</w:t>
            </w:r>
          </w:p>
        </w:tc>
        <w:tc>
          <w:tcPr>
            <w:tcW w:w="2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40,047</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Net Revenue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601,652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601,652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Operating Expenses (c)</w:t>
            </w:r>
          </w:p>
        </w:tc>
        <w:tc>
          <w:tcPr>
            <w:tcW w:w="2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504,452</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7,508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496,944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97,200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7"/>
                <w:szCs w:val="17"/>
                <w:color w:val="auto"/>
              </w:rPr>
              <w:t>Operating Income, As A Percentage of Net Revenue</w:t>
            </w: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40" w:type="dxa"/>
            <w:vAlign w:val="bottom"/>
            <w:gridSpan w:val="2"/>
            <w:vMerge w:val="continue"/>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0"/>
              </w:rPr>
              <w:t>Year Ended December 31, 2008</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1"/>
              <w:spacing w:after="0" w:line="124" w:lineRule="exact"/>
              <w:rPr>
                <w:sz w:val="20"/>
                <w:szCs w:val="20"/>
                <w:color w:val="auto"/>
              </w:rPr>
            </w:pPr>
            <w:r>
              <w:rPr>
                <w:rFonts w:ascii="Arial" w:cs="Arial" w:eastAsia="Arial" w:hAnsi="Arial"/>
                <w:sz w:val="13"/>
                <w:szCs w:val="13"/>
                <w:b w:val="1"/>
                <w:bCs w:val="1"/>
                <w:color w:val="auto"/>
                <w:w w:val="94"/>
              </w:rPr>
              <w:t>Non-</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6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U.S. GAAP</w:t>
            </w:r>
          </w:p>
        </w:tc>
        <w:tc>
          <w:tcPr>
            <w:tcW w:w="600" w:type="dxa"/>
            <w:vAlign w:val="bottom"/>
          </w:tcPr>
          <w:p>
            <w:pPr>
              <w:spacing w:after="0"/>
              <w:rPr>
                <w:sz w:val="12"/>
                <w:szCs w:val="12"/>
                <w:color w:val="auto"/>
              </w:rPr>
            </w:pPr>
          </w:p>
        </w:tc>
        <w:tc>
          <w:tcPr>
            <w:tcW w:w="1280" w:type="dxa"/>
            <w:vAlign w:val="bottom"/>
            <w:gridSpan w:val="3"/>
          </w:tcPr>
          <w:p>
            <w:pPr>
              <w:jc w:val="center"/>
              <w:ind w:right="620"/>
              <w:spacing w:after="0" w:line="144" w:lineRule="exact"/>
              <w:rPr>
                <w:sz w:val="20"/>
                <w:szCs w:val="20"/>
                <w:color w:val="auto"/>
              </w:rPr>
            </w:pPr>
            <w:r>
              <w:rPr>
                <w:rFonts w:ascii="Arial" w:cs="Arial" w:eastAsia="Arial" w:hAnsi="Arial"/>
                <w:sz w:val="13"/>
                <w:szCs w:val="13"/>
                <w:b w:val="1"/>
                <w:bCs w:val="1"/>
                <w:color w:val="auto"/>
                <w:w w:val="93"/>
              </w:rPr>
              <w:t>Impact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6"/>
              </w:rPr>
              <w:t>U.S. 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83"/>
              </w:rPr>
              <w:t>As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720"/>
              <w:spacing w:after="0" w:line="144" w:lineRule="exact"/>
              <w:rPr>
                <w:sz w:val="20"/>
                <w:szCs w:val="20"/>
                <w:color w:val="auto"/>
              </w:rPr>
            </w:pPr>
            <w:r>
              <w:rPr>
                <w:rFonts w:ascii="Arial" w:cs="Arial" w:eastAsia="Arial" w:hAnsi="Arial"/>
                <w:sz w:val="13"/>
                <w:szCs w:val="13"/>
                <w:b w:val="1"/>
                <w:bCs w:val="1"/>
                <w:color w:val="auto"/>
                <w:w w:val="83"/>
              </w:rPr>
              <w:t>Special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Excluding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Reported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9"/>
              </w:rPr>
              <w:t>Item (a)</w:t>
            </w:r>
          </w:p>
        </w:tc>
        <w:tc>
          <w:tcPr>
            <w:tcW w:w="8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Special Item (b)</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3"/>
                <w:szCs w:val="13"/>
                <w:b w:val="1"/>
                <w:bCs w:val="1"/>
                <w:color w:val="auto"/>
                <w:w w:val="72"/>
              </w:rPr>
              <w:t>in thousands)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7"/>
                <w:szCs w:val="17"/>
                <w:color w:val="auto"/>
              </w:rPr>
              <w:t>Management Fees</w:t>
            </w:r>
          </w:p>
        </w:tc>
        <w:tc>
          <w:tcPr>
            <w:tcW w:w="3280" w:type="dxa"/>
            <w:vAlign w:val="bottom"/>
            <w:gridSpan w:val="3"/>
          </w:tcPr>
          <w:p>
            <w:pPr>
              <w:jc w:val="right"/>
              <w:spacing w:after="0"/>
              <w:rPr>
                <w:sz w:val="20"/>
                <w:szCs w:val="20"/>
                <w:color w:val="auto"/>
              </w:rPr>
            </w:pPr>
            <w:r>
              <w:rPr>
                <w:rFonts w:ascii="Arial" w:cs="Arial" w:eastAsia="Arial" w:hAnsi="Arial"/>
                <w:sz w:val="17"/>
                <w:szCs w:val="17"/>
                <w:color w:val="auto"/>
              </w:rPr>
              <w:t>$ 568,436</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568,436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Incentive Fees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34,961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7"/>
                <w:szCs w:val="17"/>
                <w:color w:val="auto"/>
              </w:rPr>
              <w:t>Other Income</w:t>
            </w:r>
          </w:p>
        </w:tc>
        <w:tc>
          <w:tcPr>
            <w:tcW w:w="2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11,384</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Net Revenue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614,781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614,781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Operating Expenses (c)</w:t>
            </w:r>
          </w:p>
        </w:tc>
        <w:tc>
          <w:tcPr>
            <w:tcW w:w="2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678,170</w:t>
            </w:r>
          </w:p>
        </w:tc>
        <w:tc>
          <w:tcPr>
            <w:tcW w:w="2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$197,550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480,620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(63,389)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7"/>
                <w:szCs w:val="17"/>
                <w:color w:val="auto"/>
              </w:rPr>
              <w:t>Operating Income (Loss), As A Percentage of Net Revenue</w:t>
            </w: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40" w:type="dxa"/>
            <w:vAlign w:val="bottom"/>
            <w:gridSpan w:val="2"/>
            <w:vMerge w:val="continue"/>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580" w:type="dxa"/>
            <w:vAlign w:val="bottom"/>
            <w:vMerge w:val="restart"/>
          </w:tcPr>
          <w:p>
            <w:pPr>
              <w:jc w:val="right"/>
              <w:ind w:right="1535"/>
              <w:spacing w:after="0"/>
              <w:rPr>
                <w:sz w:val="20"/>
                <w:szCs w:val="20"/>
                <w:color w:val="auto"/>
              </w:rPr>
            </w:pPr>
            <w:r>
              <w:rPr>
                <w:rFonts w:ascii="Arial" w:cs="Arial" w:eastAsia="Arial" w:hAnsi="Arial"/>
                <w:sz w:val="17"/>
                <w:szCs w:val="17"/>
                <w:color w:val="auto"/>
              </w:rPr>
              <w:t>54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As of December 31,</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540" w:type="dxa"/>
            <w:vAlign w:val="bottom"/>
          </w:tcPr>
          <w:p>
            <w:pPr>
              <w:spacing w:after="0"/>
              <w:rPr>
                <w:sz w:val="11"/>
                <w:szCs w:val="11"/>
                <w:color w:val="auto"/>
              </w:rPr>
            </w:pPr>
          </w:p>
        </w:tc>
        <w:tc>
          <w:tcPr>
            <w:tcW w:w="300" w:type="dxa"/>
            <w:vAlign w:val="bottom"/>
          </w:tcPr>
          <w:p>
            <w:pPr>
              <w:jc w:val="right"/>
              <w:spacing w:after="0" w:line="137" w:lineRule="exact"/>
              <w:rPr>
                <w:sz w:val="20"/>
                <w:szCs w:val="20"/>
                <w:color w:val="auto"/>
              </w:rPr>
            </w:pPr>
            <w:r>
              <w:rPr>
                <w:rFonts w:ascii="Arial" w:cs="Arial" w:eastAsia="Arial" w:hAnsi="Arial"/>
                <w:sz w:val="13"/>
                <w:szCs w:val="13"/>
                <w:b w:val="1"/>
                <w:bCs w:val="1"/>
                <w:color w:val="auto"/>
                <w:w w:val="89"/>
              </w:rPr>
              <w:t>2010</w:t>
            </w:r>
          </w:p>
        </w:tc>
        <w:tc>
          <w:tcPr>
            <w:tcW w:w="74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rPr>
              <w:t>2009</w:t>
            </w:r>
          </w:p>
        </w:tc>
        <w:tc>
          <w:tcPr>
            <w:tcW w:w="440" w:type="dxa"/>
            <w:vAlign w:val="bottom"/>
          </w:tcPr>
          <w:p>
            <w:pPr>
              <w:spacing w:after="0"/>
              <w:rPr>
                <w:sz w:val="11"/>
                <w:szCs w:val="11"/>
                <w:color w:val="auto"/>
              </w:rPr>
            </w:pPr>
          </w:p>
        </w:tc>
        <w:tc>
          <w:tcPr>
            <w:tcW w:w="320" w:type="dxa"/>
            <w:vAlign w:val="bottom"/>
          </w:tcPr>
          <w:p>
            <w:pPr>
              <w:jc w:val="right"/>
              <w:spacing w:after="0" w:line="137" w:lineRule="exact"/>
              <w:rPr>
                <w:sz w:val="20"/>
                <w:szCs w:val="20"/>
                <w:color w:val="auto"/>
              </w:rPr>
            </w:pPr>
            <w:r>
              <w:rPr>
                <w:rFonts w:ascii="Arial" w:cs="Arial" w:eastAsia="Arial" w:hAnsi="Arial"/>
                <w:sz w:val="13"/>
                <w:szCs w:val="13"/>
                <w:b w:val="1"/>
                <w:bCs w:val="1"/>
                <w:color w:val="auto"/>
                <w:w w:val="89"/>
              </w:rPr>
              <w:t>2008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Headcount(d):</w:t>
            </w:r>
          </w:p>
        </w:tc>
        <w:tc>
          <w:tcPr>
            <w:tcW w:w="3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540" w:type="dxa"/>
            <w:vAlign w:val="bottom"/>
          </w:tcPr>
          <w:p>
            <w:pPr>
              <w:ind w:left="420"/>
              <w:spacing w:after="0"/>
              <w:rPr>
                <w:sz w:val="20"/>
                <w:szCs w:val="20"/>
                <w:color w:val="auto"/>
              </w:rPr>
            </w:pPr>
            <w:r>
              <w:rPr>
                <w:rFonts w:ascii="Arial" w:cs="Arial" w:eastAsia="Arial" w:hAnsi="Arial"/>
                <w:sz w:val="17"/>
                <w:szCs w:val="17"/>
                <w:color w:val="auto"/>
              </w:rPr>
              <w:t>Managing Directors</w:t>
            </w:r>
          </w:p>
        </w:tc>
        <w:tc>
          <w:tcPr>
            <w:tcW w:w="300" w:type="dxa"/>
            <w:vAlign w:val="bottom"/>
          </w:tcPr>
          <w:p>
            <w:pPr>
              <w:jc w:val="right"/>
              <w:spacing w:after="0"/>
              <w:rPr>
                <w:sz w:val="20"/>
                <w:szCs w:val="20"/>
                <w:color w:val="auto"/>
              </w:rPr>
            </w:pPr>
            <w:r>
              <w:rPr>
                <w:rFonts w:ascii="Arial" w:cs="Arial" w:eastAsia="Arial" w:hAnsi="Arial"/>
                <w:sz w:val="17"/>
                <w:szCs w:val="17"/>
                <w:color w:val="auto"/>
              </w:rPr>
              <w:t>64</w:t>
            </w:r>
          </w:p>
        </w:tc>
        <w:tc>
          <w:tcPr>
            <w:tcW w:w="1180" w:type="dxa"/>
            <w:vAlign w:val="bottom"/>
            <w:gridSpan w:val="3"/>
          </w:tcPr>
          <w:p>
            <w:pPr>
              <w:jc w:val="right"/>
              <w:ind w:right="440"/>
              <w:spacing w:after="0"/>
              <w:rPr>
                <w:sz w:val="20"/>
                <w:szCs w:val="20"/>
                <w:color w:val="auto"/>
              </w:rPr>
            </w:pPr>
            <w:r>
              <w:rPr>
                <w:rFonts w:ascii="Arial" w:cs="Arial" w:eastAsia="Arial" w:hAnsi="Arial"/>
                <w:sz w:val="17"/>
                <w:szCs w:val="17"/>
                <w:color w:val="auto"/>
              </w:rPr>
              <w:t>56</w:t>
            </w:r>
          </w:p>
        </w:tc>
        <w:tc>
          <w:tcPr>
            <w:tcW w:w="320" w:type="dxa"/>
            <w:vAlign w:val="bottom"/>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Employees: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540" w:type="dxa"/>
            <w:vAlign w:val="bottom"/>
          </w:tcPr>
          <w:p>
            <w:pPr>
              <w:ind w:left="840"/>
              <w:spacing w:after="0"/>
              <w:rPr>
                <w:sz w:val="20"/>
                <w:szCs w:val="20"/>
                <w:color w:val="auto"/>
              </w:rPr>
            </w:pPr>
            <w:r>
              <w:rPr>
                <w:rFonts w:ascii="Arial" w:cs="Arial" w:eastAsia="Arial" w:hAnsi="Arial"/>
                <w:sz w:val="17"/>
                <w:szCs w:val="17"/>
                <w:color w:val="auto"/>
              </w:rPr>
              <w:t>Business segment professionals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315</w:t>
            </w:r>
          </w:p>
        </w:tc>
        <w:tc>
          <w:tcPr>
            <w:tcW w:w="1180" w:type="dxa"/>
            <w:vAlign w:val="bottom"/>
            <w:gridSpan w:val="3"/>
          </w:tcPr>
          <w:p>
            <w:pPr>
              <w:jc w:val="right"/>
              <w:ind w:right="440"/>
              <w:spacing w:after="0"/>
              <w:rPr>
                <w:sz w:val="20"/>
                <w:szCs w:val="20"/>
                <w:color w:val="auto"/>
              </w:rPr>
            </w:pPr>
            <w:r>
              <w:rPr>
                <w:rFonts w:ascii="Arial" w:cs="Arial" w:eastAsia="Arial" w:hAnsi="Arial"/>
                <w:sz w:val="17"/>
                <w:szCs w:val="17"/>
                <w:color w:val="auto"/>
              </w:rPr>
              <w:t>299</w:t>
            </w:r>
          </w:p>
        </w:tc>
        <w:tc>
          <w:tcPr>
            <w:tcW w:w="320" w:type="dxa"/>
            <w:vAlign w:val="bottom"/>
          </w:tcPr>
          <w:p>
            <w:pPr>
              <w:jc w:val="right"/>
              <w:spacing w:after="0"/>
              <w:rPr>
                <w:sz w:val="20"/>
                <w:szCs w:val="20"/>
                <w:color w:val="auto"/>
              </w:rPr>
            </w:pPr>
            <w:r>
              <w:rPr>
                <w:rFonts w:ascii="Arial" w:cs="Arial" w:eastAsia="Arial" w:hAnsi="Arial"/>
                <w:sz w:val="17"/>
                <w:szCs w:val="17"/>
                <w:color w:val="auto"/>
              </w:rPr>
              <w:t>328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5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All other professionals and support staff functions</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297</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8"/>
              </w:rPr>
              <w:t>273</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540" w:type="dxa"/>
            <w:vAlign w:val="bottom"/>
            <w:vMerge w:val="continue"/>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8"/>
              </w:rPr>
              <w:t>676</w:t>
            </w:r>
          </w:p>
        </w:tc>
        <w:tc>
          <w:tcPr>
            <w:tcW w:w="44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7"/>
                <w:szCs w:val="17"/>
                <w:color w:val="auto"/>
                <w:w w:val="98"/>
              </w:rPr>
              <w:t>628</w:t>
            </w:r>
          </w:p>
        </w:tc>
        <w:tc>
          <w:tcPr>
            <w:tcW w:w="320" w:type="dxa"/>
            <w:vAlign w:val="bottom"/>
          </w:tcPr>
          <w:p>
            <w:pPr>
              <w:jc w:val="right"/>
              <w:spacing w:after="0"/>
              <w:rPr>
                <w:sz w:val="20"/>
                <w:szCs w:val="20"/>
                <w:color w:val="auto"/>
              </w:rPr>
            </w:pPr>
            <w:r>
              <w:rPr>
                <w:rFonts w:ascii="Arial" w:cs="Arial" w:eastAsia="Arial" w:hAnsi="Arial"/>
                <w:sz w:val="17"/>
                <w:szCs w:val="17"/>
                <w:color w:val="auto"/>
              </w:rPr>
              <w:t>685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28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337" w:lineRule="exact"/>
        <w:rPr>
          <w:sz w:val="20"/>
          <w:szCs w:val="20"/>
          <w:color w:val="auto"/>
        </w:rPr>
      </w:pPr>
    </w:p>
    <w:p>
      <w:pPr>
        <w:ind w:left="460" w:right="100" w:hanging="456"/>
        <w:spacing w:after="0" w:line="260"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the portion of the 2010, 2009 and 2008 special items attributable to the Asset Management segment (see Note 23 of Notes to Consolidated Financial Statements).</w:t>
      </w:r>
    </w:p>
    <w:p>
      <w:pPr>
        <w:ind w:left="460" w:hanging="456"/>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non-U.S. GAAP measure that management believes provides the most meaningful comparison between historical, present and future periods.</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indirect support costs (including compensation and benefits expense and other operating expenses related thereto).</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Excludes headcount related to indirect support functions, with such headcount being included in the Corporate segment.</w:t>
      </w:r>
    </w:p>
    <w:p>
      <w:pPr>
        <w:spacing w:after="0" w:line="151" w:lineRule="exact"/>
        <w:rPr>
          <w:sz w:val="20"/>
          <w:szCs w:val="20"/>
          <w:color w:val="auto"/>
        </w:rPr>
      </w:pPr>
    </w:p>
    <w:p>
      <w:pPr>
        <w:ind w:right="60" w:firstLine="457"/>
        <w:spacing w:after="0" w:line="313" w:lineRule="auto"/>
        <w:rPr>
          <w:sz w:val="20"/>
          <w:szCs w:val="20"/>
          <w:color w:val="auto"/>
        </w:rPr>
      </w:pPr>
      <w:r>
        <w:rPr>
          <w:rFonts w:ascii="Arial" w:cs="Arial" w:eastAsia="Arial" w:hAnsi="Arial"/>
          <w:sz w:val="16"/>
          <w:szCs w:val="16"/>
          <w:color w:val="auto"/>
        </w:rPr>
        <w:t>Our top ten clients accounted for 22%, 23% and 25% of our total AUM at December 31, 2010, 2009 and 2008, respectively, and there were no individual clients that constituted more than 10% of our Asset Management segment net revenue during any of the years ended December 31, 2010, 2009 and 2008.</w:t>
      </w:r>
    </w:p>
    <w:p>
      <w:pPr>
        <w:spacing w:after="0" w:line="81" w:lineRule="exact"/>
        <w:rPr>
          <w:sz w:val="20"/>
          <w:szCs w:val="20"/>
          <w:color w:val="auto"/>
        </w:rPr>
      </w:pPr>
    </w:p>
    <w:p>
      <w:pPr>
        <w:ind w:right="500" w:firstLine="457"/>
        <w:spacing w:after="0" w:line="313"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8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w w:val="90"/>
              </w:rPr>
              <w:t>Year Ended December 31,</w:t>
            </w:r>
          </w:p>
        </w:tc>
        <w:tc>
          <w:tcPr>
            <w:tcW w:w="3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37"/>
        </w:trPr>
        <w:tc>
          <w:tcPr>
            <w:tcW w:w="8840" w:type="dxa"/>
            <w:vAlign w:val="bottom"/>
          </w:tcPr>
          <w:p>
            <w:pPr>
              <w:spacing w:after="0"/>
              <w:rPr>
                <w:sz w:val="11"/>
                <w:szCs w:val="11"/>
                <w:color w:val="auto"/>
              </w:rPr>
            </w:pPr>
          </w:p>
        </w:tc>
        <w:tc>
          <w:tcPr>
            <w:tcW w:w="3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9"/>
              </w:rPr>
              <w:t>2010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9"/>
              </w:rPr>
              <w:t>2009</w:t>
            </w:r>
          </w:p>
        </w:tc>
        <w:tc>
          <w:tcPr>
            <w:tcW w:w="70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96"/>
              </w:rPr>
              <w:t>2008</w:t>
            </w:r>
          </w:p>
        </w:tc>
        <w:tc>
          <w:tcPr>
            <w:tcW w:w="200" w:type="dxa"/>
            <w:vAlign w:val="bottom"/>
          </w:tcPr>
          <w:p>
            <w:pPr>
              <w:spacing w:after="0"/>
              <w:rPr>
                <w:sz w:val="11"/>
                <w:szCs w:val="11"/>
                <w:color w:val="auto"/>
              </w:rPr>
            </w:pPr>
          </w:p>
        </w:tc>
      </w:tr>
      <w:tr>
        <w:trPr>
          <w:trHeight w:val="202"/>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53%</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9"/>
              </w:rPr>
              <w:t>52%</w:t>
            </w:r>
          </w:p>
        </w:tc>
      </w:tr>
      <w:tr>
        <w:trPr>
          <w:trHeight w:val="209"/>
        </w:trPr>
        <w:tc>
          <w:tcPr>
            <w:tcW w:w="8840" w:type="dxa"/>
            <w:vAlign w:val="bottom"/>
          </w:tcPr>
          <w:p>
            <w:pPr>
              <w:spacing w:after="0"/>
              <w:rPr>
                <w:sz w:val="20"/>
                <w:szCs w:val="20"/>
                <w:color w:val="auto"/>
              </w:rPr>
            </w:pPr>
            <w:r>
              <w:rPr>
                <w:rFonts w:ascii="Arial" w:cs="Arial" w:eastAsia="Arial" w:hAnsi="Arial"/>
                <w:sz w:val="17"/>
                <w:szCs w:val="17"/>
                <w:color w:val="auto"/>
              </w:rPr>
              <w:t>Europe</w:t>
            </w:r>
          </w:p>
        </w:tc>
        <w:tc>
          <w:tcPr>
            <w:tcW w:w="320" w:type="dxa"/>
            <w:vAlign w:val="bottom"/>
          </w:tcPr>
          <w:p>
            <w:pPr>
              <w:jc w:val="right"/>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18"/>
                <w:szCs w:val="18"/>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7"/>
                <w:szCs w:val="17"/>
                <w:color w:val="auto"/>
              </w:rPr>
              <w:t>36</w:t>
            </w:r>
          </w:p>
        </w:tc>
        <w:tc>
          <w:tcPr>
            <w:tcW w:w="340" w:type="dxa"/>
            <w:vAlign w:val="bottom"/>
          </w:tcPr>
          <w:p>
            <w:pPr>
              <w:ind w:left="180"/>
              <w:spacing w:after="0"/>
              <w:rPr>
                <w:sz w:val="20"/>
                <w:szCs w:val="20"/>
                <w:color w:val="auto"/>
              </w:rPr>
            </w:pPr>
            <w:r>
              <w:rPr>
                <w:rFonts w:ascii="Arial" w:cs="Arial" w:eastAsia="Arial" w:hAnsi="Arial"/>
                <w:sz w:val="17"/>
                <w:szCs w:val="17"/>
                <w:color w:val="auto"/>
                <w:w w:val="73"/>
              </w:rPr>
              <w:t>37</w:t>
            </w:r>
          </w:p>
        </w:tc>
        <w:tc>
          <w:tcPr>
            <w:tcW w:w="200" w:type="dxa"/>
            <w:vAlign w:val="bottom"/>
          </w:tcPr>
          <w:p>
            <w:pPr>
              <w:spacing w:after="0"/>
              <w:rPr>
                <w:sz w:val="18"/>
                <w:szCs w:val="18"/>
                <w:color w:val="auto"/>
              </w:rPr>
            </w:pPr>
          </w:p>
        </w:tc>
      </w:tr>
      <w:tr>
        <w:trPr>
          <w:trHeight w:val="209"/>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Rest of World</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7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73"/>
              </w:rPr>
              <w:t>11</w:t>
            </w:r>
          </w:p>
        </w:tc>
        <w:tc>
          <w:tcPr>
            <w:tcW w:w="200" w:type="dxa"/>
            <w:vAlign w:val="bottom"/>
            <w:shd w:val="clear" w:color="auto" w:fill="CCEEFF"/>
          </w:tcPr>
          <w:p>
            <w:pPr>
              <w:spacing w:after="0"/>
              <w:rPr>
                <w:sz w:val="18"/>
                <w:szCs w:val="18"/>
                <w:color w:val="auto"/>
              </w:rPr>
            </w:pPr>
          </w:p>
        </w:tc>
      </w:tr>
      <w:tr>
        <w:trPr>
          <w:trHeight w:val="214"/>
        </w:trPr>
        <w:tc>
          <w:tcPr>
            <w:tcW w:w="8840" w:type="dxa"/>
            <w:vAlign w:val="bottom"/>
          </w:tcPr>
          <w:p>
            <w:pPr>
              <w:spacing w:after="0"/>
              <w:rPr>
                <w:sz w:val="20"/>
                <w:szCs w:val="20"/>
                <w:color w:val="auto"/>
              </w:rPr>
            </w:pPr>
            <w:r>
              <w:rPr>
                <w:rFonts w:ascii="Arial" w:cs="Arial" w:eastAsia="Arial" w:hAnsi="Arial"/>
                <w:sz w:val="17"/>
                <w:szCs w:val="17"/>
                <w:color w:val="auto"/>
              </w:rPr>
              <w:t>Total</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1580" w:type="dxa"/>
            <w:vAlign w:val="bottom"/>
            <w:gridSpan w:val="3"/>
          </w:tcPr>
          <w:p>
            <w:pPr>
              <w:jc w:val="right"/>
              <w:ind w:right="560"/>
              <w:spacing w:after="0"/>
              <w:rPr>
                <w:sz w:val="20"/>
                <w:szCs w:val="20"/>
                <w:color w:val="auto"/>
              </w:rPr>
            </w:pPr>
            <w:r>
              <w:rPr>
                <w:rFonts w:ascii="Arial" w:cs="Arial" w:eastAsia="Arial" w:hAnsi="Arial"/>
                <w:sz w:val="17"/>
                <w:szCs w:val="17"/>
                <w:color w:val="auto"/>
              </w:rPr>
              <w:t>100%</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r>
      <w:tr>
        <w:trPr>
          <w:trHeight w:val="20"/>
        </w:trPr>
        <w:tc>
          <w:tcPr>
            <w:tcW w:w="8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Asset Management Results of Operations</w:t>
      </w:r>
    </w:p>
    <w:p>
      <w:pPr>
        <w:spacing w:after="0" w:line="79"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As reflected in the tables of operating results of the Asset Management segment above, the portion of the 2010, 2009 and 2008 special items attributable to the Asset Management segment had a significant impact on the segment’s reported operating results for such years. Lazard management believes that comparisons between years are most meaningful after excluding the impact of such items.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2010 versus December 31, 2009</w:t>
      </w:r>
    </w:p>
    <w:p>
      <w:pPr>
        <w:spacing w:after="0" w:line="79" w:lineRule="exact"/>
        <w:rPr>
          <w:sz w:val="20"/>
          <w:szCs w:val="20"/>
          <w:color w:val="auto"/>
        </w:rPr>
      </w:pPr>
    </w:p>
    <w:p>
      <w:pPr>
        <w:ind w:right="160" w:firstLine="457"/>
        <w:spacing w:after="0" w:line="310" w:lineRule="auto"/>
        <w:rPr>
          <w:sz w:val="20"/>
          <w:szCs w:val="20"/>
          <w:color w:val="auto"/>
        </w:rPr>
      </w:pPr>
      <w:r>
        <w:rPr>
          <w:rFonts w:ascii="Arial" w:cs="Arial" w:eastAsia="Arial" w:hAnsi="Arial"/>
          <w:sz w:val="15"/>
          <w:szCs w:val="15"/>
          <w:color w:val="auto"/>
        </w:rPr>
        <w:t>Asset Management net revenue increased $248 million, or 41%, as compared to 2009. Management fees increased $229 million, or 47%, as compared to 2009, driven by a 32% increase in average AUM. This increase was due largely to the increase in equity market indices, a favorable change in the mix of AUM into higher margin equity products and net inflows. Incentive fees, consisting of traditional long-only and alternative investment strategies, increased $12 million, or 15%, as compared to 2009. Other revenue increased $7 million, or 19%, as compared to 2009, principally due to increased investment and commission income.</w:t>
      </w:r>
    </w:p>
    <w:p>
      <w:pPr>
        <w:spacing w:after="0" w:line="88" w:lineRule="exact"/>
        <w:rPr>
          <w:sz w:val="20"/>
          <w:szCs w:val="20"/>
          <w:color w:val="auto"/>
        </w:rPr>
      </w:pPr>
    </w:p>
    <w:p>
      <w:pPr>
        <w:ind w:right="120" w:firstLine="457"/>
        <w:spacing w:after="0" w:line="268" w:lineRule="auto"/>
        <w:rPr>
          <w:sz w:val="20"/>
          <w:szCs w:val="20"/>
          <w:color w:val="auto"/>
        </w:rPr>
      </w:pPr>
      <w:r>
        <w:rPr>
          <w:rFonts w:ascii="Arial" w:cs="Arial" w:eastAsia="Arial" w:hAnsi="Arial"/>
          <w:sz w:val="17"/>
          <w:szCs w:val="17"/>
          <w:color w:val="auto"/>
        </w:rPr>
        <w:t>Operating expenses increased $80 million, or 16%, as compared to 2009. Excluding the impact of the 2010 and 2009 special items attributable to the Asset Management segment, operating expenses increased $85 million, or 17%, principally due to a higher provision for discretionary compensation and profit pools related to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48"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increase in operating revenue, as well as higher fees for outsourced services related to AUM growth and an increase in the amortization of intangible assets relating to the Edgewater acquisition.</w:t>
      </w:r>
    </w:p>
    <w:p>
      <w:pPr>
        <w:spacing w:after="0" w:line="105" w:lineRule="exact"/>
        <w:rPr>
          <w:sz w:val="20"/>
          <w:szCs w:val="20"/>
          <w:color w:val="auto"/>
        </w:rPr>
      </w:pPr>
    </w:p>
    <w:p>
      <w:pPr>
        <w:ind w:right="120" w:firstLine="457"/>
        <w:spacing w:after="0" w:line="268" w:lineRule="auto"/>
        <w:rPr>
          <w:sz w:val="20"/>
          <w:szCs w:val="20"/>
          <w:color w:val="auto"/>
        </w:rPr>
      </w:pPr>
      <w:r>
        <w:rPr>
          <w:rFonts w:ascii="Arial" w:cs="Arial" w:eastAsia="Arial" w:hAnsi="Arial"/>
          <w:sz w:val="17"/>
          <w:szCs w:val="17"/>
          <w:color w:val="auto"/>
        </w:rPr>
        <w:t>Asset Management operating income was $265 million, an increase of $168 million, as compared to $97 million in 2009, and represented 31% of segment net revenue. When excluding the impact of the 2010 and 2009 special items attributable to the Asset Management segment, operating income increased $164 million, and represented 32% of segment net revenue as compared to 17% for the prior year.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2009 versus December 31, 2008</w:t>
      </w:r>
    </w:p>
    <w:p>
      <w:pPr>
        <w:spacing w:after="0" w:line="79"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Asset Management net revenue in the year ended December 31, 2009 declined $13 million, or 2%, as compared to 2008. Management fees for 2009 decreased $82 million, or 14%, as compared to 2008, driven by a 15% decrease in average AUM. This decrease was due largely to the decline in equity markets, which was partially offset by the impact of a change in the mix of investment products and levels of management fees on certain products. However, consistent with the sequential increase in quarterly average AUM described above, management fee revenue was 44% higher in the second half of 2009 as compared to the first half of 2009. Incentive fees in 2009 increased $40 million, or 114%, as compared to 2008, relating to both alternative and traditional long-only investment strategies. Other revenue increased $29 million, or 252%, as compared to 2008, principally as a result of higher revenue from noncontrolling interests, foreign exchange remeasurement gains and investment income.</w:t>
      </w:r>
    </w:p>
    <w:p>
      <w:pPr>
        <w:spacing w:after="0" w:line="123"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Operating expenses for 2009 decreased by $174 million, or 26%, as compared to 2008. When excluding the impact of the 2009 and 2008 special items attributable to the Asset Management segment, operating expenses in 2009 increased $16 million, or 3%, principally due to the change in the Company’s compensation policy as previously described. Also impacting the increase was an increase in the current year portion of amortization expense associated with previously awarded deferred cash incentive awards, higher fees for outsourced services and an increase in the amortization of intangible assets relating to the Edgewater Acquisition, partially offset by decreased compensation related to reduced headcount, and declines in business development expenses for travel and market-related data and professional fees.</w:t>
      </w:r>
    </w:p>
    <w:p>
      <w:pPr>
        <w:spacing w:after="0" w:line="121"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auto"/>
        </w:rPr>
        <w:t>Asset Management operating income for the year ended December 31, 2009 was $97 million, an increase of $160 million, as compared to an operating loss of $63 million in 2008, and represented 16% of segment net revenue in 2009, as compared to (10)% in 2008. When excluding the impact of the 2009 and 2008 special items attributable to the Asset Management segment, operating income in 2009 decreased $29 million, or 22%, when compared to 2008, and represented 17% of segment net revenue in 2009 as compared to 22% for 2008.</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the results of the Corporate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gridSpan w:val="9"/>
          </w:tcPr>
          <w:p>
            <w:pPr>
              <w:jc w:val="center"/>
              <w:ind w:right="200"/>
              <w:spacing w:after="0"/>
              <w:rPr>
                <w:sz w:val="20"/>
                <w:szCs w:val="20"/>
                <w:color w:val="auto"/>
              </w:rPr>
            </w:pPr>
            <w:r>
              <w:rPr>
                <w:rFonts w:ascii="Arial" w:cs="Arial" w:eastAsia="Arial" w:hAnsi="Arial"/>
                <w:sz w:val="13"/>
                <w:szCs w:val="13"/>
                <w:b w:val="1"/>
                <w:bCs w:val="1"/>
                <w:color w:val="auto"/>
                <w:w w:val="90"/>
              </w:rPr>
              <w:t>Year Ended December 31, 2010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91"/>
              </w:rPr>
              <w:t>Non-U.S.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6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U.S. GAAP</w:t>
            </w:r>
          </w:p>
        </w:tc>
        <w:tc>
          <w:tcPr>
            <w:tcW w:w="280" w:type="dxa"/>
            <w:vAlign w:val="bottom"/>
          </w:tcPr>
          <w:p>
            <w:pPr>
              <w:spacing w:after="0"/>
              <w:rPr>
                <w:sz w:val="12"/>
                <w:szCs w:val="12"/>
                <w:color w:val="auto"/>
              </w:rPr>
            </w:pPr>
          </w:p>
        </w:tc>
        <w:tc>
          <w:tcPr>
            <w:tcW w:w="8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3"/>
              </w:rPr>
              <w:t>Impact of</w:t>
            </w:r>
          </w:p>
        </w:tc>
        <w:tc>
          <w:tcPr>
            <w:tcW w:w="140" w:type="dxa"/>
            <w:vAlign w:val="bottom"/>
          </w:tcPr>
          <w:p>
            <w:pPr>
              <w:spacing w:after="0"/>
              <w:rPr>
                <w:sz w:val="12"/>
                <w:szCs w:val="12"/>
                <w:color w:val="auto"/>
              </w:rPr>
            </w:pPr>
          </w:p>
        </w:tc>
        <w:tc>
          <w:tcPr>
            <w:tcW w:w="8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Excluding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3"/>
              </w:rPr>
              <w:t>As</w:t>
            </w:r>
          </w:p>
        </w:tc>
        <w:tc>
          <w:tcPr>
            <w:tcW w:w="280" w:type="dxa"/>
            <w:vAlign w:val="bottom"/>
          </w:tcPr>
          <w:p>
            <w:pPr>
              <w:spacing w:after="0"/>
              <w:rPr>
                <w:sz w:val="12"/>
                <w:szCs w:val="12"/>
                <w:color w:val="auto"/>
              </w:rPr>
            </w:pPr>
          </w:p>
        </w:tc>
        <w:tc>
          <w:tcPr>
            <w:tcW w:w="86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7"/>
              </w:rPr>
              <w:t>Special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7"/>
              </w:rPr>
              <w:t>Special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1"/>
              </w:rPr>
              <w:t>Reported</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Items (a)</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2"/>
              </w:rPr>
              <w:t>Items (b)</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jc w:val="center"/>
              <w:ind w:right="20"/>
              <w:spacing w:after="0" w:line="137" w:lineRule="exact"/>
              <w:rPr>
                <w:sz w:val="20"/>
                <w:szCs w:val="20"/>
                <w:color w:val="auto"/>
              </w:rPr>
            </w:pPr>
            <w:r>
              <w:rPr>
                <w:rFonts w:ascii="Arial" w:cs="Arial" w:eastAsia="Arial" w:hAnsi="Arial"/>
                <w:sz w:val="13"/>
                <w:szCs w:val="13"/>
                <w:b w:val="1"/>
                <w:bCs w:val="1"/>
                <w:color w:val="auto"/>
                <w:w w:val="87"/>
              </w:rPr>
              <w:t>($ in thousands)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15,705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Interest Expense</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(95,756)</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(95,756)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Net Interest (Expense)</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(80,051)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(80,051)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Other Revenue</w:t>
            </w:r>
          </w:p>
        </w:tc>
        <w:tc>
          <w:tcPr>
            <w:tcW w:w="4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15,890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Net Revenue (Expense)</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(64,161)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(64,161)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Operating Expenses</w:t>
            </w:r>
          </w:p>
        </w:tc>
        <w:tc>
          <w:tcPr>
            <w:tcW w:w="4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126,402</w:t>
            </w:r>
          </w:p>
        </w:tc>
        <w:tc>
          <w:tcPr>
            <w:tcW w:w="16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$80,661</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(190,563)</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(109,902)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640" w:type="dxa"/>
            <w:vAlign w:val="bottom"/>
            <w:vMerge w:val="restart"/>
          </w:tcPr>
          <w:p>
            <w:pPr>
              <w:jc w:val="right"/>
              <w:ind w:right="2595"/>
              <w:spacing w:after="0"/>
              <w:rPr>
                <w:sz w:val="20"/>
                <w:szCs w:val="20"/>
                <w:color w:val="auto"/>
              </w:rPr>
            </w:pPr>
            <w:r>
              <w:rPr>
                <w:rFonts w:ascii="Arial" w:cs="Arial" w:eastAsia="Arial" w:hAnsi="Arial"/>
                <w:sz w:val="17"/>
                <w:szCs w:val="17"/>
                <w:color w:val="auto"/>
              </w:rPr>
              <w:t>56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12"/>
          </w:tcPr>
          <w:p>
            <w:pPr>
              <w:jc w:val="center"/>
              <w:ind w:left="341"/>
              <w:spacing w:after="0"/>
              <w:rPr>
                <w:sz w:val="20"/>
                <w:szCs w:val="20"/>
                <w:color w:val="auto"/>
              </w:rPr>
            </w:pPr>
            <w:r>
              <w:rPr>
                <w:rFonts w:ascii="Arial" w:cs="Arial" w:eastAsia="Arial" w:hAnsi="Arial"/>
                <w:sz w:val="13"/>
                <w:szCs w:val="13"/>
                <w:b w:val="1"/>
                <w:bCs w:val="1"/>
                <w:color w:val="auto"/>
                <w:w w:val="90"/>
              </w:rPr>
              <w:t>Year Ended December 31, 2009</w:t>
            </w: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spacing w:after="0" w:line="124" w:lineRule="exact"/>
              <w:rPr>
                <w:sz w:val="20"/>
                <w:szCs w:val="20"/>
                <w:color w:val="auto"/>
              </w:rPr>
            </w:pPr>
            <w:r>
              <w:rPr>
                <w:rFonts w:ascii="Arial" w:cs="Arial" w:eastAsia="Arial" w:hAnsi="Arial"/>
                <w:sz w:val="13"/>
                <w:szCs w:val="13"/>
                <w:b w:val="1"/>
                <w:bCs w:val="1"/>
                <w:color w:val="auto"/>
                <w:w w:val="91"/>
              </w:rPr>
              <w:t>Non-U.S.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6"/>
              </w:rPr>
              <w:t>U.S. GAAP</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tcPr>
          <w:p>
            <w:pPr>
              <w:jc w:val="center"/>
              <w:ind w:right="420"/>
              <w:spacing w:after="0" w:line="144" w:lineRule="exact"/>
              <w:rPr>
                <w:sz w:val="20"/>
                <w:szCs w:val="20"/>
                <w:color w:val="auto"/>
              </w:rPr>
            </w:pPr>
            <w:r>
              <w:rPr>
                <w:rFonts w:ascii="Arial" w:cs="Arial" w:eastAsia="Arial" w:hAnsi="Arial"/>
                <w:sz w:val="13"/>
                <w:szCs w:val="13"/>
                <w:b w:val="1"/>
                <w:bCs w:val="1"/>
                <w:color w:val="auto"/>
                <w:w w:val="93"/>
              </w:rPr>
              <w:t>Impact of</w:t>
            </w:r>
          </w:p>
        </w:tc>
        <w:tc>
          <w:tcPr>
            <w:tcW w:w="100" w:type="dxa"/>
            <w:vAlign w:val="bottom"/>
          </w:tcPr>
          <w:p>
            <w:pPr>
              <w:spacing w:after="0"/>
              <w:rPr>
                <w:sz w:val="12"/>
                <w:szCs w:val="12"/>
                <w:color w:val="auto"/>
              </w:rPr>
            </w:pPr>
          </w:p>
        </w:tc>
        <w:tc>
          <w:tcPr>
            <w:tcW w:w="800" w:type="dxa"/>
            <w:vAlign w:val="bottom"/>
            <w:gridSpan w:val="5"/>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Excluding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83"/>
              </w:rPr>
              <w:t>As</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tcPr>
          <w:p>
            <w:pPr>
              <w:jc w:val="center"/>
              <w:ind w:right="440"/>
              <w:spacing w:after="0" w:line="144" w:lineRule="exact"/>
              <w:rPr>
                <w:sz w:val="20"/>
                <w:szCs w:val="20"/>
                <w:color w:val="auto"/>
              </w:rPr>
            </w:pPr>
            <w:r>
              <w:rPr>
                <w:rFonts w:ascii="Arial" w:cs="Arial" w:eastAsia="Arial" w:hAnsi="Arial"/>
                <w:sz w:val="13"/>
                <w:szCs w:val="13"/>
                <w:b w:val="1"/>
                <w:bCs w:val="1"/>
                <w:color w:val="auto"/>
                <w:w w:val="87"/>
              </w:rPr>
              <w:t>Special</w:t>
            </w:r>
          </w:p>
        </w:tc>
        <w:tc>
          <w:tcPr>
            <w:tcW w:w="100" w:type="dxa"/>
            <w:vAlign w:val="bottom"/>
          </w:tcPr>
          <w:p>
            <w:pPr>
              <w:spacing w:after="0"/>
              <w:rPr>
                <w:sz w:val="12"/>
                <w:szCs w:val="12"/>
                <w:color w:val="auto"/>
              </w:rPr>
            </w:pPr>
          </w:p>
        </w:tc>
        <w:tc>
          <w:tcPr>
            <w:tcW w:w="800" w:type="dxa"/>
            <w:vAlign w:val="bottom"/>
            <w:gridSpan w:val="5"/>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Special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1"/>
              </w:rPr>
              <w:t>Reported</w:t>
            </w:r>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100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3"/>
              </w:rPr>
              <w:t>Items (a)</w:t>
            </w:r>
          </w:p>
        </w:tc>
        <w:tc>
          <w:tcPr>
            <w:tcW w:w="100" w:type="dxa"/>
            <w:vAlign w:val="bottom"/>
          </w:tcPr>
          <w:p>
            <w:pPr>
              <w:spacing w:after="0"/>
              <w:rPr>
                <w:sz w:val="13"/>
                <w:szCs w:val="13"/>
                <w:color w:val="auto"/>
              </w:rPr>
            </w:pPr>
          </w:p>
        </w:tc>
        <w:tc>
          <w:tcPr>
            <w:tcW w:w="80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5"/>
              </w:rPr>
              <w:t>Items (b)</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3"/>
          </w:tcPr>
          <w:p>
            <w:pPr>
              <w:jc w:val="center"/>
              <w:spacing w:after="0" w:line="137" w:lineRule="exact"/>
              <w:rPr>
                <w:sz w:val="20"/>
                <w:szCs w:val="20"/>
                <w:color w:val="auto"/>
              </w:rPr>
            </w:pPr>
            <w:r>
              <w:rPr>
                <w:rFonts w:ascii="Arial" w:cs="Arial" w:eastAsia="Arial" w:hAnsi="Arial"/>
                <w:sz w:val="13"/>
                <w:szCs w:val="13"/>
                <w:b w:val="1"/>
                <w:bCs w:val="1"/>
                <w:color w:val="auto"/>
                <w:w w:val="72"/>
              </w:rPr>
              <w:t>in thousands)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23,367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2"/>
              </w:rPr>
              <w:t>23,367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7"/>
                <w:szCs w:val="17"/>
                <w:color w:val="auto"/>
                <w:w w:val="90"/>
              </w:rPr>
              <w:t>(103,131)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6"/>
          </w:tcPr>
          <w:p>
            <w:pPr>
              <w:jc w:val="right"/>
              <w:ind w:right="40"/>
              <w:spacing w:after="0"/>
              <w:rPr>
                <w:sz w:val="20"/>
                <w:szCs w:val="20"/>
                <w:color w:val="auto"/>
              </w:rPr>
            </w:pPr>
            <w:r>
              <w:rPr>
                <w:rFonts w:ascii="Arial" w:cs="Arial" w:eastAsia="Arial" w:hAnsi="Arial"/>
                <w:sz w:val="17"/>
                <w:szCs w:val="17"/>
                <w:color w:val="auto"/>
              </w:rPr>
              <w:t>(103,131)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Net Interest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(79,764)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color w:val="auto"/>
              </w:rPr>
              <w:t>(79,764)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Other Revenue</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21,810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2"/>
              </w:rPr>
              <w:t>21,810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Net Revenue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(57,954)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color w:val="auto"/>
              </w:rPr>
              <w:t>(57,954)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7"/>
              </w:rPr>
              <w:t>209,573</w:t>
            </w:r>
          </w:p>
        </w:tc>
        <w:tc>
          <w:tcPr>
            <w:tcW w:w="180" w:type="dxa"/>
            <w:vAlign w:val="bottom"/>
          </w:tcPr>
          <w:p>
            <w:pPr>
              <w:spacing w:after="0"/>
              <w:rPr>
                <w:sz w:val="18"/>
                <w:szCs w:val="18"/>
                <w:color w:val="auto"/>
              </w:rPr>
            </w:pPr>
          </w:p>
        </w:tc>
        <w:tc>
          <w:tcPr>
            <w:tcW w:w="1100" w:type="dxa"/>
            <w:vAlign w:val="bottom"/>
            <w:gridSpan w:val="6"/>
          </w:tcPr>
          <w:p>
            <w:pPr>
              <w:jc w:val="center"/>
              <w:ind w:left="1"/>
              <w:spacing w:after="0"/>
              <w:rPr>
                <w:sz w:val="20"/>
                <w:szCs w:val="20"/>
                <w:color w:val="auto"/>
              </w:rPr>
            </w:pPr>
            <w:r>
              <w:rPr>
                <w:rFonts w:ascii="Arial" w:cs="Arial" w:eastAsia="Arial" w:hAnsi="Arial"/>
                <w:sz w:val="17"/>
                <w:szCs w:val="17"/>
                <w:color w:val="auto"/>
                <w:w w:val="93"/>
              </w:rPr>
              <w:t>$153,535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2"/>
              </w:rPr>
              <w:t>56,038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(267,527)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color w:val="auto"/>
                <w:w w:val="96"/>
              </w:rPr>
              <w:t>$ (113,992)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2"/>
          </w:tcPr>
          <w:p>
            <w:pPr>
              <w:jc w:val="center"/>
              <w:ind w:left="261"/>
              <w:spacing w:after="0"/>
              <w:rPr>
                <w:sz w:val="20"/>
                <w:szCs w:val="20"/>
                <w:color w:val="auto"/>
              </w:rPr>
            </w:pPr>
            <w:r>
              <w:rPr>
                <w:rFonts w:ascii="Arial" w:cs="Arial" w:eastAsia="Arial" w:hAnsi="Arial"/>
                <w:sz w:val="13"/>
                <w:szCs w:val="13"/>
                <w:b w:val="1"/>
                <w:bCs w:val="1"/>
                <w:color w:val="auto"/>
                <w:w w:val="90"/>
              </w:rPr>
              <w:t>Year Ended December 31, 2008</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spacing w:after="0" w:line="124" w:lineRule="exact"/>
              <w:rPr>
                <w:sz w:val="20"/>
                <w:szCs w:val="20"/>
                <w:color w:val="auto"/>
              </w:rPr>
            </w:pPr>
            <w:r>
              <w:rPr>
                <w:rFonts w:ascii="Arial" w:cs="Arial" w:eastAsia="Arial" w:hAnsi="Arial"/>
                <w:sz w:val="13"/>
                <w:szCs w:val="13"/>
                <w:b w:val="1"/>
                <w:bCs w:val="1"/>
                <w:color w:val="auto"/>
                <w:w w:val="91"/>
              </w:rPr>
              <w:t>Non-U.S.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center"/>
              <w:ind w:right="100"/>
              <w:spacing w:after="0" w:line="144" w:lineRule="exact"/>
              <w:rPr>
                <w:sz w:val="20"/>
                <w:szCs w:val="20"/>
                <w:color w:val="auto"/>
              </w:rPr>
            </w:pPr>
            <w:r>
              <w:rPr>
                <w:rFonts w:ascii="Arial" w:cs="Arial" w:eastAsia="Arial" w:hAnsi="Arial"/>
                <w:sz w:val="13"/>
                <w:szCs w:val="13"/>
                <w:b w:val="1"/>
                <w:bCs w:val="1"/>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960" w:type="dxa"/>
            <w:vAlign w:val="bottom"/>
            <w:gridSpan w:val="5"/>
          </w:tcPr>
          <w:p>
            <w:pPr>
              <w:jc w:val="center"/>
              <w:ind w:right="280"/>
              <w:spacing w:after="0" w:line="144" w:lineRule="exact"/>
              <w:rPr>
                <w:sz w:val="20"/>
                <w:szCs w:val="20"/>
                <w:color w:val="auto"/>
              </w:rPr>
            </w:pPr>
            <w:r>
              <w:rPr>
                <w:rFonts w:ascii="Arial" w:cs="Arial" w:eastAsia="Arial" w:hAnsi="Arial"/>
                <w:sz w:val="13"/>
                <w:szCs w:val="13"/>
                <w:b w:val="1"/>
                <w:bCs w:val="1"/>
                <w:color w:val="auto"/>
                <w:w w:val="96"/>
              </w:rPr>
              <w:t>U.S. GAAP</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tcPr>
          <w:p>
            <w:pPr>
              <w:jc w:val="center"/>
              <w:ind w:right="460"/>
              <w:spacing w:after="0" w:line="144" w:lineRule="exact"/>
              <w:rPr>
                <w:sz w:val="20"/>
                <w:szCs w:val="20"/>
                <w:color w:val="auto"/>
              </w:rPr>
            </w:pPr>
            <w:r>
              <w:rPr>
                <w:rFonts w:ascii="Arial" w:cs="Arial" w:eastAsia="Arial" w:hAnsi="Arial"/>
                <w:sz w:val="13"/>
                <w:szCs w:val="13"/>
                <w:b w:val="1"/>
                <w:bCs w:val="1"/>
                <w:color w:val="auto"/>
                <w:w w:val="93"/>
              </w:rPr>
              <w:t>Impact of</w:t>
            </w:r>
          </w:p>
        </w:tc>
        <w:tc>
          <w:tcPr>
            <w:tcW w:w="100" w:type="dxa"/>
            <w:vAlign w:val="bottom"/>
          </w:tcPr>
          <w:p>
            <w:pPr>
              <w:spacing w:after="0"/>
              <w:rPr>
                <w:sz w:val="12"/>
                <w:szCs w:val="12"/>
                <w:color w:val="auto"/>
              </w:rPr>
            </w:pPr>
          </w:p>
        </w:tc>
        <w:tc>
          <w:tcPr>
            <w:tcW w:w="800" w:type="dxa"/>
            <w:vAlign w:val="bottom"/>
            <w:gridSpan w:val="5"/>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Excluding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460"/>
              <w:spacing w:after="0" w:line="144" w:lineRule="exact"/>
              <w:rPr>
                <w:sz w:val="20"/>
                <w:szCs w:val="20"/>
                <w:color w:val="auto"/>
              </w:rPr>
            </w:pPr>
            <w:r>
              <w:rPr>
                <w:rFonts w:ascii="Arial" w:cs="Arial" w:eastAsia="Arial" w:hAnsi="Arial"/>
                <w:sz w:val="13"/>
                <w:szCs w:val="13"/>
                <w:b w:val="1"/>
                <w:bCs w:val="1"/>
                <w:color w:val="auto"/>
                <w:w w:val="83"/>
              </w:rPr>
              <w:t>As</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tcPr>
          <w:p>
            <w:pPr>
              <w:jc w:val="center"/>
              <w:ind w:right="440"/>
              <w:spacing w:after="0" w:line="144" w:lineRule="exact"/>
              <w:rPr>
                <w:sz w:val="20"/>
                <w:szCs w:val="20"/>
                <w:color w:val="auto"/>
              </w:rPr>
            </w:pPr>
            <w:r>
              <w:rPr>
                <w:rFonts w:ascii="Arial" w:cs="Arial" w:eastAsia="Arial" w:hAnsi="Arial"/>
                <w:sz w:val="13"/>
                <w:szCs w:val="13"/>
                <w:b w:val="1"/>
                <w:bCs w:val="1"/>
                <w:color w:val="auto"/>
                <w:w w:val="87"/>
              </w:rPr>
              <w:t>Special</w:t>
            </w:r>
          </w:p>
        </w:tc>
        <w:tc>
          <w:tcPr>
            <w:tcW w:w="100" w:type="dxa"/>
            <w:vAlign w:val="bottom"/>
          </w:tcPr>
          <w:p>
            <w:pPr>
              <w:spacing w:after="0"/>
              <w:rPr>
                <w:sz w:val="12"/>
                <w:szCs w:val="12"/>
                <w:color w:val="auto"/>
              </w:rPr>
            </w:pPr>
          </w:p>
        </w:tc>
        <w:tc>
          <w:tcPr>
            <w:tcW w:w="800" w:type="dxa"/>
            <w:vAlign w:val="bottom"/>
            <w:gridSpan w:val="5"/>
          </w:tcPr>
          <w:p>
            <w:pPr>
              <w:jc w:val="center"/>
              <w:ind w:right="120"/>
              <w:spacing w:after="0" w:line="144" w:lineRule="exact"/>
              <w:rPr>
                <w:sz w:val="20"/>
                <w:szCs w:val="20"/>
                <w:color w:val="auto"/>
              </w:rPr>
            </w:pPr>
            <w:r>
              <w:rPr>
                <w:rFonts w:ascii="Arial" w:cs="Arial" w:eastAsia="Arial" w:hAnsi="Arial"/>
                <w:sz w:val="13"/>
                <w:szCs w:val="13"/>
                <w:b w:val="1"/>
                <w:bCs w:val="1"/>
                <w:color w:val="auto"/>
                <w:w w:val="87"/>
              </w:rPr>
              <w:t>Special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center"/>
              <w:ind w:right="21"/>
              <w:spacing w:after="0"/>
              <w:rPr>
                <w:sz w:val="20"/>
                <w:szCs w:val="20"/>
                <w:color w:val="auto"/>
              </w:rPr>
            </w:pPr>
            <w:r>
              <w:rPr>
                <w:rFonts w:ascii="Arial" w:cs="Arial" w:eastAsia="Arial" w:hAnsi="Arial"/>
                <w:sz w:val="13"/>
                <w:szCs w:val="13"/>
                <w:b w:val="1"/>
                <w:bCs w:val="1"/>
                <w:color w:val="auto"/>
                <w:w w:val="91"/>
              </w:rPr>
              <w:t>Reported</w:t>
            </w:r>
          </w:p>
        </w:tc>
        <w:tc>
          <w:tcPr>
            <w:tcW w:w="2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Item (a)</w:t>
            </w:r>
          </w:p>
        </w:tc>
        <w:tc>
          <w:tcPr>
            <w:tcW w:w="46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Item (b)</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7"/>
          </w:tcPr>
          <w:p>
            <w:pPr>
              <w:jc w:val="center"/>
              <w:ind w:right="160"/>
              <w:spacing w:after="0" w:line="137" w:lineRule="exact"/>
              <w:rPr>
                <w:sz w:val="20"/>
                <w:szCs w:val="20"/>
                <w:color w:val="auto"/>
              </w:rPr>
            </w:pPr>
            <w:r>
              <w:rPr>
                <w:rFonts w:ascii="Arial" w:cs="Arial" w:eastAsia="Arial" w:hAnsi="Arial"/>
                <w:sz w:val="13"/>
                <w:szCs w:val="13"/>
                <w:b w:val="1"/>
                <w:bCs w:val="1"/>
                <w:color w:val="auto"/>
                <w:w w:val="89"/>
              </w:rPr>
              <w:t>($ in thousands)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60" w:type="dxa"/>
            <w:vAlign w:val="bottom"/>
            <w:gridSpan w:val="2"/>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63,692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2"/>
              </w:rPr>
              <w:t>63,692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780" w:type="dxa"/>
            <w:vAlign w:val="bottom"/>
            <w:gridSpan w:val="4"/>
          </w:tcPr>
          <w:p>
            <w:pPr>
              <w:jc w:val="right"/>
              <w:ind w:right="20"/>
              <w:spacing w:after="0"/>
              <w:rPr>
                <w:sz w:val="20"/>
                <w:szCs w:val="20"/>
                <w:color w:val="auto"/>
              </w:rPr>
            </w:pPr>
            <w:r>
              <w:rPr>
                <w:rFonts w:ascii="Arial" w:cs="Arial" w:eastAsia="Arial" w:hAnsi="Arial"/>
                <w:sz w:val="17"/>
                <w:szCs w:val="17"/>
                <w:color w:val="auto"/>
              </w:rPr>
              <w:t>(138,107)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6"/>
          </w:tcPr>
          <w:p>
            <w:pPr>
              <w:jc w:val="right"/>
              <w:ind w:right="40"/>
              <w:spacing w:after="0"/>
              <w:rPr>
                <w:sz w:val="20"/>
                <w:szCs w:val="20"/>
                <w:color w:val="auto"/>
              </w:rPr>
            </w:pPr>
            <w:r>
              <w:rPr>
                <w:rFonts w:ascii="Arial" w:cs="Arial" w:eastAsia="Arial" w:hAnsi="Arial"/>
                <w:sz w:val="17"/>
                <w:szCs w:val="17"/>
                <w:color w:val="auto"/>
              </w:rPr>
              <w:t>(138,107)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Net Interest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(74,415)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color w:val="auto"/>
              </w:rPr>
              <w:t>(74,415)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Other Revenue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(6,072)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7"/>
                <w:szCs w:val="17"/>
                <w:color w:val="auto"/>
              </w:rPr>
              <w:t>(6,072)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Net Revenue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(80,487)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color w:val="auto"/>
              </w:rPr>
              <w:t>(80,487)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56,927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5"/>
          </w:tcPr>
          <w:p>
            <w:pPr>
              <w:jc w:val="center"/>
              <w:ind w:left="141"/>
              <w:spacing w:after="0"/>
              <w:rPr>
                <w:sz w:val="20"/>
                <w:szCs w:val="20"/>
                <w:color w:val="auto"/>
              </w:rPr>
            </w:pPr>
            <w:r>
              <w:rPr>
                <w:rFonts w:ascii="Arial" w:cs="Arial" w:eastAsia="Arial" w:hAnsi="Arial"/>
                <w:sz w:val="17"/>
                <w:szCs w:val="17"/>
                <w:color w:val="auto"/>
                <w:w w:val="95"/>
              </w:rPr>
              <w:t>$ 2,000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2"/>
              </w:rPr>
              <w:t>54,927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(137,414)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(135,414)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9"/>
          </w:tcPr>
          <w:p>
            <w:pPr>
              <w:jc w:val="center"/>
              <w:ind w:right="160"/>
              <w:spacing w:after="0"/>
              <w:rPr>
                <w:sz w:val="20"/>
                <w:szCs w:val="20"/>
                <w:color w:val="auto"/>
              </w:rPr>
            </w:pPr>
            <w:r>
              <w:rPr>
                <w:rFonts w:ascii="Arial" w:cs="Arial" w:eastAsia="Arial" w:hAnsi="Arial"/>
                <w:sz w:val="13"/>
                <w:szCs w:val="13"/>
                <w:b w:val="1"/>
                <w:bCs w:val="1"/>
                <w:color w:val="auto"/>
                <w:w w:val="89"/>
              </w:rPr>
              <w:t>As of 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spacing w:after="0"/>
              <w:rPr>
                <w:sz w:val="11"/>
                <w:szCs w:val="11"/>
                <w:color w:val="auto"/>
              </w:rPr>
            </w:pPr>
          </w:p>
        </w:tc>
        <w:tc>
          <w:tcPr>
            <w:tcW w:w="320" w:type="dxa"/>
            <w:vAlign w:val="bottom"/>
            <w:tcBorders>
              <w:top w:val="single" w:sz="8" w:color="auto"/>
            </w:tcBorders>
            <w:gridSpan w:val="3"/>
          </w:tcPr>
          <w:p>
            <w:pPr>
              <w:jc w:val="right"/>
              <w:ind w:right="40"/>
              <w:spacing w:after="0" w:line="137" w:lineRule="exact"/>
              <w:rPr>
                <w:sz w:val="20"/>
                <w:szCs w:val="20"/>
                <w:color w:val="auto"/>
              </w:rPr>
            </w:pPr>
            <w:r>
              <w:rPr>
                <w:rFonts w:ascii="Arial" w:cs="Arial" w:eastAsia="Arial" w:hAnsi="Arial"/>
                <w:sz w:val="13"/>
                <w:szCs w:val="13"/>
                <w:b w:val="1"/>
                <w:bCs w:val="1"/>
                <w:color w:val="auto"/>
                <w:w w:val="89"/>
              </w:rPr>
              <w:t>2010</w:t>
            </w: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3"/>
                <w:szCs w:val="13"/>
                <w:b w:val="1"/>
                <w:bCs w:val="1"/>
                <w:color w:val="auto"/>
                <w:w w:val="89"/>
              </w:rPr>
              <w:t>2009</w:t>
            </w:r>
          </w:p>
        </w:tc>
        <w:tc>
          <w:tcPr>
            <w:tcW w:w="5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2008</w:t>
            </w: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Headcount (c):</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tcPr>
          <w:p>
            <w:pPr>
              <w:ind w:left="400"/>
              <w:spacing w:after="0"/>
              <w:rPr>
                <w:sz w:val="20"/>
                <w:szCs w:val="20"/>
                <w:color w:val="auto"/>
              </w:rPr>
            </w:pPr>
            <w:r>
              <w:rPr>
                <w:rFonts w:ascii="Arial" w:cs="Arial" w:eastAsia="Arial" w:hAnsi="Arial"/>
                <w:sz w:val="17"/>
                <w:szCs w:val="17"/>
                <w:color w:val="auto"/>
              </w:rPr>
              <w:t>Managing Directors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6"/>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Other Employees: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tcPr>
          <w:p>
            <w:pPr>
              <w:ind w:left="820"/>
              <w:spacing w:after="0"/>
              <w:rPr>
                <w:sz w:val="20"/>
                <w:szCs w:val="20"/>
                <w:color w:val="auto"/>
              </w:rPr>
            </w:pPr>
            <w:r>
              <w:rPr>
                <w:rFonts w:ascii="Arial" w:cs="Arial" w:eastAsia="Arial" w:hAnsi="Arial"/>
                <w:sz w:val="17"/>
                <w:szCs w:val="17"/>
                <w:color w:val="auto"/>
              </w:rPr>
              <w:t>Business segment professionals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6"/>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All other professionals and support staff</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spacing w:after="0"/>
              <w:rPr>
                <w:sz w:val="18"/>
                <w:szCs w:val="18"/>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612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8"/>
              </w:rPr>
              <w:t>607</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40" w:type="dxa"/>
            <w:vAlign w:val="bottom"/>
            <w:gridSpan w:val="2"/>
          </w:tcPr>
          <w:p>
            <w:pPr>
              <w:ind w:left="400"/>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6"/>
          </w:tcPr>
          <w:p>
            <w:pPr>
              <w:jc w:val="right"/>
              <w:spacing w:after="0"/>
              <w:rPr>
                <w:sz w:val="20"/>
                <w:szCs w:val="20"/>
                <w:color w:val="auto"/>
              </w:rPr>
            </w:pPr>
            <w:r>
              <w:rPr>
                <w:rFonts w:ascii="Arial" w:cs="Arial" w:eastAsia="Arial" w:hAnsi="Arial"/>
                <w:sz w:val="17"/>
                <w:szCs w:val="17"/>
                <w:color w:val="auto"/>
              </w:rPr>
              <w:t>632</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624</w:t>
            </w: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right="720" w:hanging="456"/>
        <w:spacing w:after="0" w:line="260"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the portion of the 2010, 2009 and 2008 special items attributable to the Corporate segment (see Note 23 of Notes to Consolidated Financial Statements).</w:t>
      </w:r>
    </w:p>
    <w:p>
      <w:pPr>
        <w:ind w:left="460" w:hanging="456"/>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non-U.S. GAAP measure that management believes provides the most meaningful comparison between historical, present and future periods.</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headcount related to support functions.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Corporate Results of Operations</w:t>
      </w:r>
    </w:p>
    <w:p>
      <w:pPr>
        <w:spacing w:after="0" w:line="79" w:lineRule="exact"/>
        <w:rPr>
          <w:sz w:val="20"/>
          <w:szCs w:val="20"/>
          <w:color w:val="auto"/>
        </w:rPr>
      </w:pPr>
    </w:p>
    <w:p>
      <w:pPr>
        <w:ind w:right="120" w:firstLine="457"/>
        <w:spacing w:after="0" w:line="268" w:lineRule="auto"/>
        <w:rPr>
          <w:sz w:val="20"/>
          <w:szCs w:val="20"/>
          <w:color w:val="auto"/>
        </w:rPr>
      </w:pPr>
      <w:r>
        <w:rPr>
          <w:rFonts w:ascii="Arial" w:cs="Arial" w:eastAsia="Arial" w:hAnsi="Arial"/>
          <w:sz w:val="17"/>
          <w:szCs w:val="17"/>
          <w:color w:val="auto"/>
        </w:rPr>
        <w:t>As reflected in the table of operating results of the Corporate segment above, the 2010, 2009 and 2008 special items attributable to the Corporate segment had a significant impact on the segment’s reported operating results in such years. Lazard management believes that comparisons between years are most meaningful after excluding the impact such items.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8"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Year Ended December 31, 2010 versus December 31, 2009</w:t>
      </w:r>
    </w:p>
    <w:p>
      <w:pPr>
        <w:spacing w:after="0" w:line="79" w:lineRule="exact"/>
        <w:rPr>
          <w:sz w:val="20"/>
          <w:szCs w:val="20"/>
          <w:color w:val="auto"/>
        </w:rPr>
      </w:pPr>
    </w:p>
    <w:p>
      <w:pPr>
        <w:ind w:right="120" w:firstLine="457"/>
        <w:spacing w:after="0" w:line="292" w:lineRule="auto"/>
        <w:rPr>
          <w:sz w:val="20"/>
          <w:szCs w:val="20"/>
          <w:color w:val="auto"/>
        </w:rPr>
      </w:pPr>
      <w:r>
        <w:rPr>
          <w:rFonts w:ascii="Arial" w:cs="Arial" w:eastAsia="Arial" w:hAnsi="Arial"/>
          <w:sz w:val="16"/>
          <w:szCs w:val="16"/>
          <w:color w:val="auto"/>
        </w:rPr>
        <w:t>Net interest expense was relatively unchanged as compared to 2009. Other revenue declined $6 million, or 27%, compared to 2009, reflecting foreign exchange losses in 2010 as compared to gains in 2009, and lower investment income. Investment income in 2010 includes realized losses of $14 million in connection with the fourth quarter sale of LFB’s portfolio, as compared to the $13 million write-off in 2009 of the Company’s investment in warrants of Sapphire.</w:t>
      </w:r>
    </w:p>
    <w:p>
      <w:pPr>
        <w:spacing w:after="0" w:line="98" w:lineRule="exact"/>
        <w:rPr>
          <w:sz w:val="20"/>
          <w:szCs w:val="20"/>
          <w:color w:val="auto"/>
        </w:rPr>
      </w:pPr>
    </w:p>
    <w:p>
      <w:pPr>
        <w:jc w:val="both"/>
        <w:ind w:firstLine="457"/>
        <w:spacing w:after="0" w:line="264" w:lineRule="auto"/>
        <w:rPr>
          <w:sz w:val="20"/>
          <w:szCs w:val="20"/>
          <w:color w:val="auto"/>
        </w:rPr>
      </w:pPr>
      <w:r>
        <w:rPr>
          <w:rFonts w:ascii="Arial" w:cs="Arial" w:eastAsia="Arial" w:hAnsi="Arial"/>
          <w:sz w:val="17"/>
          <w:szCs w:val="17"/>
          <w:color w:val="auto"/>
        </w:rPr>
        <w:t>Operating expenses decreased $83 million, or 40%, the principal portion of which related to the net impact of the 2010 and 2009 special items attributable to the Corporate segment. When excluding the impact of the 2010 and 2009 special items, operating expenses declined $10 million, or 18%, principally due to a decline in the amortization of share-based and deferred cash incentive compensation awards, which was partially offset by a higher provision in discretionary compensation related to the increase in the Company’s operating revenue.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Year Ended December 31, 2009 versus December 31, 2008</w:t>
      </w:r>
    </w:p>
    <w:p>
      <w:pPr>
        <w:spacing w:after="0" w:line="79"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color w:val="auto"/>
        </w:rPr>
        <w:t>Net interest expense in the year ended December 31, 2009 increased $5 million, or 7%, as compared to 2008. During 2009, interest income declined $40 million due to a lower interest rate environment, a decrease in the balance of interest earning assets at LFB as well as lower average cash balances. Average cash decreased as a result of the share repurchases of Class A common stock as well as the repurchase of a portion of the Company’s outstanding 6.85% and 7.125% senior notes. The decrease in interest income was substantially offset by lower interest expense in 2009 of $35 million, principally as a result of the reduction in interest expense related to the Company’s May 2008 purchase of $437 million aggregate principal amount of its 6.12% senior notes in connection with the remarketing of such notes and by the above-mentioned repurchases of senior notes, as well as a lower interest rate environment and reduced levels of LFB’s customer deposits.</w:t>
      </w:r>
    </w:p>
    <w:p>
      <w:pPr>
        <w:spacing w:after="0" w:line="94" w:lineRule="exact"/>
        <w:rPr>
          <w:sz w:val="20"/>
          <w:szCs w:val="20"/>
          <w:color w:val="auto"/>
        </w:rPr>
      </w:pPr>
    </w:p>
    <w:p>
      <w:pPr>
        <w:ind w:right="60" w:firstLine="457"/>
        <w:spacing w:after="0" w:line="302" w:lineRule="auto"/>
        <w:rPr>
          <w:sz w:val="20"/>
          <w:szCs w:val="20"/>
          <w:color w:val="auto"/>
        </w:rPr>
      </w:pPr>
      <w:r>
        <w:rPr>
          <w:rFonts w:ascii="Arial" w:cs="Arial" w:eastAsia="Arial" w:hAnsi="Arial"/>
          <w:sz w:val="15"/>
          <w:szCs w:val="15"/>
          <w:color w:val="auto"/>
        </w:rPr>
        <w:t>Other revenue increased $28 million in the year ended December 31, 2009, as compared to 2008, principally due to investment income in 2009 of $18 million in the Company’s investment portfolio, versus an aggregate loss of $53 million in 2008 in LFB’s corporate debt portfolio (redesignated as “available-for-sale” effective July 1, 2008) and the Company’s investment portfolio. With respect to the latter, during 2009, the Company had in place a hedging strategy to minimize its risks associated with volatility in the equity markets. Other factors contributing to the increase were revenues from various other investments of $7 million in 2009 versus losses of $5 million in 2008, partially offset by (i) a $13 million charge relating to the write-off of the Company’s investment in warrants of Sapphire, (ii) a $20 million gain in 2008 on the repurchase of a portion of the Company’s senior notes and (iii) a $24 million gain in 2008 from a foreign currency transaction.</w:t>
      </w:r>
    </w:p>
    <w:p>
      <w:pPr>
        <w:spacing w:after="0" w:line="94"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Operating expenses for 2009 increased $153 million, as compared to 2008, principally due to the net impact of the 2009 and 2008 special items attributable to the Corporate segment. When excluding the impact of the 2009 and 2008 special items, operating expenses increased $1 million, or 2%, in 2009. Factors contributing to the increase were principally due to the change in the Company’s compensation policy described above, as well as an increase in the amortization expense associated with the current year portion of previously awarded deferred cash incentive awards, which were offset by a benefit pursuant to the tax receivable agreement and the $12 million provision for counterparty defaults in 2008.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83" w:lineRule="exact"/>
        <w:rPr>
          <w:sz w:val="20"/>
          <w:szCs w:val="20"/>
          <w:color w:val="auto"/>
        </w:rPr>
      </w:pPr>
    </w:p>
    <w:p>
      <w:pPr>
        <w:ind w:right="420" w:firstLine="457"/>
        <w:spacing w:after="0" w:line="310"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8" w:lineRule="exact"/>
        <w:rPr>
          <w:sz w:val="20"/>
          <w:szCs w:val="20"/>
          <w:color w:val="auto"/>
        </w:rPr>
      </w:pPr>
    </w:p>
    <w:p>
      <w:pPr>
        <w:ind w:right="280" w:firstLine="457"/>
        <w:spacing w:after="0" w:line="280" w:lineRule="auto"/>
        <w:rPr>
          <w:sz w:val="20"/>
          <w:szCs w:val="20"/>
          <w:color w:val="auto"/>
        </w:rPr>
      </w:pPr>
      <w:r>
        <w:rPr>
          <w:rFonts w:ascii="Arial" w:cs="Arial" w:eastAsia="Arial" w:hAnsi="Arial"/>
          <w:sz w:val="17"/>
          <w:szCs w:val="17"/>
          <w:color w:val="auto"/>
        </w:rPr>
        <w:t>Lazard Group traditionally pays a significant portion of its incentive compensation during the first four months of each calendar year with respect to the prior year’s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448"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Cash Flows: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0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w w:val="92"/>
              </w:rPr>
              <w:t>Year Ended December 31,</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7" w:lineRule="exact"/>
              <w:rPr>
                <w:sz w:val="20"/>
                <w:szCs w:val="20"/>
                <w:color w:val="auto"/>
              </w:rPr>
            </w:pPr>
            <w:r>
              <w:rPr>
                <w:rFonts w:ascii="Arial" w:cs="Arial" w:eastAsia="Arial" w:hAnsi="Arial"/>
                <w:sz w:val="13"/>
                <w:szCs w:val="13"/>
                <w:b w:val="1"/>
                <w:bCs w:val="1"/>
                <w:color w:val="auto"/>
              </w:rPr>
              <w:t>2010</w:t>
            </w: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rPr>
              <w:t>2009</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540" w:type="dxa"/>
            <w:vAlign w:val="bottom"/>
            <w:gridSpan w:val="2"/>
          </w:tcPr>
          <w:p>
            <w:pPr>
              <w:ind w:left="20"/>
              <w:spacing w:after="0" w:line="137" w:lineRule="exact"/>
              <w:rPr>
                <w:sz w:val="20"/>
                <w:szCs w:val="20"/>
                <w:color w:val="auto"/>
              </w:rPr>
            </w:pPr>
            <w:r>
              <w:rPr>
                <w:rFonts w:ascii="Arial" w:cs="Arial" w:eastAsia="Arial" w:hAnsi="Arial"/>
                <w:sz w:val="13"/>
                <w:szCs w:val="13"/>
                <w:b w:val="1"/>
                <w:bCs w:val="1"/>
                <w:color w:val="auto"/>
                <w:w w:val="72"/>
              </w:rPr>
              <w:t>in millions)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Provided By (Used In):</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80" w:type="dxa"/>
            <w:vAlign w:val="bottom"/>
            <w:gridSpan w:val="2"/>
          </w:tcPr>
          <w:p>
            <w:pPr>
              <w:ind w:left="420"/>
              <w:spacing w:after="0"/>
              <w:rPr>
                <w:sz w:val="20"/>
                <w:szCs w:val="20"/>
                <w:color w:val="auto"/>
              </w:rPr>
            </w:pPr>
            <w:r>
              <w:rPr>
                <w:rFonts w:ascii="Arial" w:cs="Arial" w:eastAsia="Arial" w:hAnsi="Arial"/>
                <w:sz w:val="17"/>
                <w:szCs w:val="17"/>
                <w:color w:val="auto"/>
              </w:rPr>
              <w:t>Operating activities: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Net income (loss)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194.4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(188.2)</w:t>
            </w:r>
          </w:p>
        </w:tc>
        <w:tc>
          <w:tcPr>
            <w:tcW w:w="0" w:type="dxa"/>
            <w:vAlign w:val="bottom"/>
          </w:tcPr>
          <w:p>
            <w:pPr>
              <w:spacing w:after="0"/>
              <w:rPr>
                <w:sz w:val="1"/>
                <w:szCs w:val="1"/>
                <w:color w:val="auto"/>
              </w:rPr>
            </w:pPr>
          </w:p>
        </w:tc>
      </w:tr>
      <w:tr>
        <w:trPr>
          <w:trHeight w:val="209"/>
        </w:trPr>
        <w:tc>
          <w:tcPr>
            <w:tcW w:w="7180" w:type="dxa"/>
            <w:vAlign w:val="bottom"/>
            <w:gridSpan w:val="2"/>
          </w:tcPr>
          <w:p>
            <w:pPr>
              <w:ind w:left="420"/>
              <w:spacing w:after="0"/>
              <w:rPr>
                <w:sz w:val="20"/>
                <w:szCs w:val="20"/>
                <w:color w:val="auto"/>
              </w:rPr>
            </w:pPr>
            <w:r>
              <w:rPr>
                <w:rFonts w:ascii="Arial" w:cs="Arial" w:eastAsia="Arial" w:hAnsi="Arial"/>
                <w:sz w:val="17"/>
                <w:szCs w:val="17"/>
                <w:color w:val="auto"/>
              </w:rPr>
              <w:t>Noncash charges (a)</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35"/>
              <w:spacing w:after="0"/>
              <w:rPr>
                <w:sz w:val="20"/>
                <w:szCs w:val="20"/>
                <w:color w:val="auto"/>
              </w:rPr>
            </w:pPr>
            <w:r>
              <w:rPr>
                <w:rFonts w:ascii="Arial" w:cs="Arial" w:eastAsia="Arial" w:hAnsi="Arial"/>
                <w:sz w:val="17"/>
                <w:szCs w:val="17"/>
                <w:color w:val="auto"/>
              </w:rPr>
              <w:t>364.2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378.1</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operating activities (b)</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5"/>
              <w:spacing w:after="0"/>
              <w:rPr>
                <w:sz w:val="20"/>
                <w:szCs w:val="20"/>
                <w:color w:val="auto"/>
              </w:rPr>
            </w:pPr>
            <w:r>
              <w:rPr>
                <w:rFonts w:ascii="Arial" w:cs="Arial" w:eastAsia="Arial" w:hAnsi="Arial"/>
                <w:sz w:val="17"/>
                <w:szCs w:val="17"/>
                <w:color w:val="auto"/>
              </w:rPr>
              <w:t>(389.7)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840"/>
              <w:spacing w:after="0"/>
              <w:rPr>
                <w:sz w:val="20"/>
                <w:szCs w:val="20"/>
                <w:color w:val="auto"/>
              </w:rPr>
            </w:pPr>
            <w:r>
              <w:rPr>
                <w:rFonts w:ascii="Arial" w:cs="Arial" w:eastAsia="Arial" w:hAnsi="Arial"/>
                <w:sz w:val="17"/>
                <w:szCs w:val="17"/>
                <w:color w:val="auto"/>
              </w:rPr>
              <w:t>Net cash provided by operating activities</w:t>
            </w:r>
          </w:p>
        </w:tc>
        <w:tc>
          <w:tcPr>
            <w:tcW w:w="1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18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244.8</w:t>
            </w: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Investing activities (c)</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411.7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(96.6)</w:t>
            </w:r>
          </w:p>
        </w:tc>
        <w:tc>
          <w:tcPr>
            <w:tcW w:w="0" w:type="dxa"/>
            <w:vAlign w:val="bottom"/>
          </w:tcPr>
          <w:p>
            <w:pPr>
              <w:spacing w:after="0"/>
              <w:rPr>
                <w:sz w:val="1"/>
                <w:szCs w:val="1"/>
                <w:color w:val="auto"/>
              </w:rPr>
            </w:pPr>
          </w:p>
        </w:tc>
      </w:tr>
      <w:tr>
        <w:trPr>
          <w:trHeight w:val="209"/>
        </w:trPr>
        <w:tc>
          <w:tcPr>
            <w:tcW w:w="7180" w:type="dxa"/>
            <w:vAlign w:val="bottom"/>
            <w:gridSpan w:val="2"/>
          </w:tcPr>
          <w:p>
            <w:pPr>
              <w:ind w:left="420"/>
              <w:spacing w:after="0"/>
              <w:rPr>
                <w:sz w:val="20"/>
                <w:szCs w:val="20"/>
                <w:color w:val="auto"/>
              </w:rPr>
            </w:pPr>
            <w:r>
              <w:rPr>
                <w:rFonts w:ascii="Arial" w:cs="Arial" w:eastAsia="Arial" w:hAnsi="Arial"/>
                <w:sz w:val="17"/>
                <w:szCs w:val="17"/>
                <w:color w:val="auto"/>
              </w:rPr>
              <w:t>Financing activities (d)</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75"/>
              <w:spacing w:after="0"/>
              <w:rPr>
                <w:sz w:val="20"/>
                <w:szCs w:val="20"/>
                <w:color w:val="auto"/>
              </w:rPr>
            </w:pPr>
            <w:r>
              <w:rPr>
                <w:rFonts w:ascii="Arial" w:cs="Arial" w:eastAsia="Arial" w:hAnsi="Arial"/>
                <w:sz w:val="17"/>
                <w:szCs w:val="17"/>
                <w:color w:val="auto"/>
              </w:rPr>
              <w:t>(277.9)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(165.6)</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Effect of exchange rate changes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5"/>
              <w:spacing w:after="0"/>
              <w:rPr>
                <w:sz w:val="20"/>
                <w:szCs w:val="20"/>
                <w:color w:val="auto"/>
              </w:rPr>
            </w:pPr>
            <w:r>
              <w:rPr>
                <w:rFonts w:ascii="Arial" w:cs="Arial" w:eastAsia="Arial" w:hAnsi="Arial"/>
                <w:sz w:val="17"/>
                <w:szCs w:val="17"/>
                <w:color w:val="auto"/>
              </w:rPr>
              <w:t>(10.3)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Increase in Cash and Cash Equivalents</w:t>
            </w:r>
          </w:p>
        </w:tc>
        <w:tc>
          <w:tcPr>
            <w:tcW w:w="1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8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80" w:type="dxa"/>
            <w:vAlign w:val="bottom"/>
            <w:gridSpan w:val="2"/>
          </w:tcPr>
          <w:p>
            <w:pPr>
              <w:ind w:left="420"/>
              <w:spacing w:after="0"/>
              <w:rPr>
                <w:sz w:val="20"/>
                <w:szCs w:val="20"/>
                <w:color w:val="auto"/>
              </w:rPr>
            </w:pPr>
            <w:r>
              <w:rPr>
                <w:rFonts w:ascii="Arial" w:cs="Arial" w:eastAsia="Arial" w:hAnsi="Arial"/>
                <w:sz w:val="17"/>
                <w:szCs w:val="17"/>
                <w:b w:val="1"/>
                <w:bCs w:val="1"/>
                <w:color w:val="auto"/>
              </w:rPr>
              <w:t>Beginning of Year</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917.3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909.7</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End of Year</w:t>
            </w:r>
          </w:p>
        </w:tc>
        <w:tc>
          <w:tcPr>
            <w:tcW w:w="1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$ 1,209.7</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917.3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100" w:type="dxa"/>
            <w:vAlign w:val="bottom"/>
            <w:tcBorders>
              <w:bottom w:val="single" w:sz="8" w:color="auto"/>
            </w:tcBorders>
          </w:tcPr>
          <w:p>
            <w:pPr>
              <w:spacing w:after="0"/>
              <w:rPr>
                <w:sz w:val="8"/>
                <w:szCs w:val="8"/>
                <w:color w:val="auto"/>
              </w:rPr>
            </w:pPr>
          </w:p>
        </w:tc>
        <w:tc>
          <w:tcPr>
            <w:tcW w:w="60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7180" w:type="dxa"/>
            <w:vAlign w:val="bottom"/>
            <w:gridSpan w:val="2"/>
          </w:tcPr>
          <w:p>
            <w:pPr>
              <w:spacing w:after="0"/>
              <w:rPr>
                <w:sz w:val="20"/>
                <w:szCs w:val="20"/>
                <w:color w:val="auto"/>
              </w:rPr>
            </w:pPr>
            <w:r>
              <w:rPr>
                <w:rFonts w:ascii="Arial" w:cs="Arial" w:eastAsia="Arial" w:hAnsi="Arial"/>
                <w:sz w:val="17"/>
                <w:szCs w:val="17"/>
                <w:color w:val="auto"/>
              </w:rPr>
              <w:t>(a)  Consists of the following:</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10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Depreciation and amortization of property</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22.7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09"/>
        </w:trPr>
        <w:tc>
          <w:tcPr>
            <w:tcW w:w="7180" w:type="dxa"/>
            <w:vAlign w:val="bottom"/>
            <w:gridSpan w:val="2"/>
          </w:tcPr>
          <w:p>
            <w:pPr>
              <w:ind w:left="420"/>
              <w:spacing w:after="0"/>
              <w:rPr>
                <w:sz w:val="20"/>
                <w:szCs w:val="20"/>
                <w:color w:val="auto"/>
              </w:rPr>
            </w:pPr>
            <w:r>
              <w:rPr>
                <w:rFonts w:ascii="Arial" w:cs="Arial" w:eastAsia="Arial" w:hAnsi="Arial"/>
                <w:sz w:val="17"/>
                <w:szCs w:val="17"/>
                <w:color w:val="auto"/>
              </w:rPr>
              <w:t>Amortization of deferred expenses, stock units and interest rate hedge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35"/>
              <w:spacing w:after="0"/>
              <w:rPr>
                <w:sz w:val="20"/>
                <w:szCs w:val="20"/>
                <w:color w:val="auto"/>
              </w:rPr>
            </w:pPr>
            <w:r>
              <w:rPr>
                <w:rFonts w:ascii="Arial" w:cs="Arial" w:eastAsia="Arial" w:hAnsi="Arial"/>
                <w:sz w:val="17"/>
                <w:szCs w:val="17"/>
                <w:color w:val="auto"/>
              </w:rPr>
              <w:t>316.2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372.5</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Investment losses (including other-than-temporary impairment losses)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9"/>
        </w:trPr>
        <w:tc>
          <w:tcPr>
            <w:tcW w:w="7180" w:type="dxa"/>
            <w:vAlign w:val="bottom"/>
            <w:gridSpan w:val="2"/>
          </w:tcPr>
          <w:p>
            <w:pPr>
              <w:ind w:left="420"/>
              <w:spacing w:after="0"/>
              <w:rPr>
                <w:sz w:val="20"/>
                <w:szCs w:val="20"/>
                <w:color w:val="auto"/>
              </w:rPr>
            </w:pPr>
            <w:r>
              <w:rPr>
                <w:rFonts w:ascii="Arial" w:cs="Arial" w:eastAsia="Arial" w:hAnsi="Arial"/>
                <w:sz w:val="17"/>
                <w:szCs w:val="17"/>
                <w:color w:val="auto"/>
              </w:rPr>
              <w:t>Deferred tax provision (benefit)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35"/>
              <w:spacing w:after="0"/>
              <w:rPr>
                <w:sz w:val="20"/>
                <w:szCs w:val="20"/>
                <w:color w:val="auto"/>
              </w:rPr>
            </w:pPr>
            <w:r>
              <w:rPr>
                <w:rFonts w:ascii="Arial" w:cs="Arial" w:eastAsia="Arial" w:hAnsi="Arial"/>
                <w:sz w:val="17"/>
                <w:szCs w:val="17"/>
                <w:color w:val="auto"/>
              </w:rPr>
              <w:t>8.1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Amortization of intangible assets related to acquisitions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7.9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9"/>
        </w:trPr>
        <w:tc>
          <w:tcPr>
            <w:tcW w:w="7180" w:type="dxa"/>
            <w:vAlign w:val="bottom"/>
            <w:gridSpan w:val="2"/>
          </w:tcPr>
          <w:p>
            <w:pPr>
              <w:ind w:left="420"/>
              <w:spacing w:after="0"/>
              <w:rPr>
                <w:sz w:val="20"/>
                <w:szCs w:val="20"/>
                <w:color w:val="auto"/>
              </w:rPr>
            </w:pPr>
            <w:r>
              <w:rPr>
                <w:rFonts w:ascii="Arial" w:cs="Arial" w:eastAsia="Arial" w:hAnsi="Arial"/>
                <w:sz w:val="17"/>
                <w:szCs w:val="17"/>
                <w:color w:val="auto"/>
              </w:rPr>
              <w:t>(Gains) losses on extinguishment of debt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364.2</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378.1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460" w:hanging="456"/>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net changes in operating assets and liabilities.</w:t>
      </w:r>
    </w:p>
    <w:p>
      <w:pPr>
        <w:spacing w:after="0" w:line="19" w:lineRule="exact"/>
        <w:rPr>
          <w:rFonts w:ascii="Arial" w:cs="Arial" w:eastAsia="Arial" w:hAnsi="Arial"/>
          <w:sz w:val="17"/>
          <w:szCs w:val="17"/>
          <w:color w:val="auto"/>
        </w:rPr>
      </w:pPr>
    </w:p>
    <w:p>
      <w:pPr>
        <w:ind w:left="460" w:right="380" w:hanging="456"/>
        <w:spacing w:after="0" w:line="256"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Principally relates to purchases and proceeds from sales and maturities of “available-for-sale” and “held-to maturity” securities, and, in the 2010 period, the disposition of our equity method investment in Sapphire.</w:t>
      </w:r>
    </w:p>
    <w:p>
      <w:pPr>
        <w:ind w:left="460" w:right="500" w:hanging="456"/>
        <w:spacing w:after="0" w:line="304"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Primarily includes distributions to noncontrolling interest holders, settlements of vested RSUs, Class A common stock dividends, repurchases of shares of Class A common stock and common membership interests from LAZ-MD Holdings and activity related to borrowings.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liquidity and capital resources are derived from operating activities, financing agreements and equity offerings.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7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119" w:lineRule="exact"/>
        <w:rPr>
          <w:sz w:val="20"/>
          <w:szCs w:val="20"/>
          <w:color w:val="auto"/>
        </w:rPr>
      </w:pPr>
    </w:p>
    <w:p>
      <w:pPr>
        <w:jc w:val="both"/>
        <w:ind w:right="40" w:firstLine="457"/>
        <w:spacing w:after="0" w:line="264" w:lineRule="auto"/>
        <w:rPr>
          <w:sz w:val="20"/>
          <w:szCs w:val="20"/>
          <w:color w:val="auto"/>
        </w:rPr>
      </w:pPr>
      <w:r>
        <w:rPr>
          <w:rFonts w:ascii="Arial" w:cs="Arial" w:eastAsia="Arial" w:hAnsi="Arial"/>
          <w:sz w:val="17"/>
          <w:szCs w:val="17"/>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48"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Lazard’s consolidated financial statements are presented in U.S. dollars. Many of Lazard’s non-U.S. subsidiaries have a functional currency (</w:t>
      </w:r>
      <w:r>
        <w:rPr>
          <w:rFonts w:ascii="Arial" w:cs="Arial" w:eastAsia="Arial" w:hAnsi="Arial"/>
          <w:sz w:val="17"/>
          <w:szCs w:val="17"/>
          <w:i w:val="1"/>
          <w:iCs w:val="1"/>
          <w:color w:val="auto"/>
        </w:rPr>
        <w:t>i.e.</w:t>
      </w:r>
      <w:r>
        <w:rPr>
          <w:rFonts w:ascii="Arial" w:cs="Arial" w:eastAsia="Arial" w:hAnsi="Arial"/>
          <w:sz w:val="17"/>
          <w:szCs w:val="17"/>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capital expenditures and matters relating to liquidity and to compliance with regulatory net capital requirements. At December 31, 2010, Lazard had approximately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$1.3 billion of cash and liquid securities, including $32 million of U.S. Government debt and agencies securities and $88 million of investments in equity securities. We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maintain lines of credit in excess of anticipated liquidity requirements. As of December 31, 2010, Lazard had approximately $300 million in unused lines of credit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available to it, including a $150 million, three-year, senior revolving credit facility with a group of lenders that matures in April 2013 (the “Credit Facility”) (see “—</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Financing” below) and an aggregate of $129 million of unused lines of credit available to LFB and Edgewater. In addition, LFB has access to the Eurosystem Covered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Bond Purchase Program of the Banque de France.</w:t>
      </w:r>
    </w:p>
    <w:p>
      <w:pPr>
        <w:spacing w:after="0" w:line="15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On April 29, 2010, Lazard Group entered into the Credit Facility pursuant to an agreement with the banks parties thereto and Citibank, N.A., as administrative agent. The Credit Facility replaces the prior senior revolving credit facility, which was terminated as a condition to effectiveness of the Credit Facility. The Credit Facility contains customary terms and conditions substantially similar to the prior credit facility. Such terms and conditions include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w:t>
      </w:r>
    </w:p>
    <w:p>
      <w:pPr>
        <w:spacing w:after="0" w:line="79" w:lineRule="exact"/>
        <w:rPr>
          <w:sz w:val="20"/>
          <w:szCs w:val="20"/>
          <w:color w:val="auto"/>
        </w:rPr>
      </w:pPr>
    </w:p>
    <w:p>
      <w:pPr>
        <w:ind w:right="380" w:firstLine="457"/>
        <w:spacing w:after="0" w:line="280" w:lineRule="auto"/>
        <w:rPr>
          <w:sz w:val="20"/>
          <w:szCs w:val="20"/>
          <w:color w:val="auto"/>
        </w:rPr>
      </w:pPr>
      <w:r>
        <w:rPr>
          <w:rFonts w:ascii="Arial" w:cs="Arial" w:eastAsia="Arial" w:hAnsi="Arial"/>
          <w:sz w:val="17"/>
          <w:szCs w:val="17"/>
          <w:color w:val="auto"/>
        </w:rPr>
        <w:t>The table below sets forth our corporate indebtedness as of December 31, 2010 and 2009. The agreements with respect to this indebtedness are discussed in more detail in our consolidated financial statements and related notes included elsewhere in this Form 10-K.</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3"/>
                <w:szCs w:val="13"/>
                <w:b w:val="1"/>
                <w:bCs w:val="1"/>
                <w:color w:val="auto"/>
                <w:w w:val="94"/>
              </w:rPr>
              <w:t>Maturity</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89"/>
              </w:rPr>
              <w:t>As of December 31,</w:t>
            </w:r>
          </w:p>
        </w:tc>
        <w:tc>
          <w:tcPr>
            <w:tcW w:w="680" w:type="dxa"/>
            <w:vAlign w:val="bottom"/>
            <w:gridSpan w:val="3"/>
          </w:tcPr>
          <w:p>
            <w:pPr>
              <w:ind w:left="60"/>
              <w:spacing w:after="0"/>
              <w:rPr>
                <w:sz w:val="20"/>
                <w:szCs w:val="20"/>
                <w:color w:val="auto"/>
              </w:rPr>
            </w:pPr>
            <w:r>
              <w:rPr>
                <w:rFonts w:ascii="Arial" w:cs="Arial" w:eastAsia="Arial" w:hAnsi="Arial"/>
                <w:sz w:val="13"/>
                <w:szCs w:val="13"/>
                <w:b w:val="1"/>
                <w:bCs w:val="1"/>
                <w:color w:val="auto"/>
              </w:rPr>
              <w:t>Increase</w:t>
            </w:r>
          </w:p>
        </w:tc>
      </w:tr>
      <w:tr>
        <w:trPr>
          <w:trHeight w:val="137"/>
        </w:trPr>
        <w:tc>
          <w:tcPr>
            <w:tcW w:w="116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520" w:type="dxa"/>
            <w:vAlign w:val="bottom"/>
            <w:tcBorders>
              <w:bottom w:val="single" w:sz="8" w:color="auto"/>
            </w:tcBorders>
          </w:tcPr>
          <w:p>
            <w:pPr>
              <w:ind w:left="140"/>
              <w:spacing w:after="0" w:line="137" w:lineRule="exact"/>
              <w:rPr>
                <w:sz w:val="20"/>
                <w:szCs w:val="20"/>
                <w:color w:val="auto"/>
              </w:rPr>
            </w:pPr>
            <w:r>
              <w:rPr>
                <w:rFonts w:ascii="Arial" w:cs="Arial" w:eastAsia="Arial" w:hAnsi="Arial"/>
                <w:sz w:val="13"/>
                <w:szCs w:val="13"/>
                <w:b w:val="1"/>
                <w:bCs w:val="1"/>
                <w:color w:val="auto"/>
              </w:rPr>
              <w:t>Date</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110"/>
              <w:spacing w:after="0" w:line="137" w:lineRule="exact"/>
              <w:rPr>
                <w:sz w:val="20"/>
                <w:szCs w:val="20"/>
                <w:color w:val="auto"/>
              </w:rPr>
            </w:pPr>
            <w:r>
              <w:rPr>
                <w:rFonts w:ascii="Arial" w:cs="Arial" w:eastAsia="Arial" w:hAnsi="Arial"/>
                <w:sz w:val="13"/>
                <w:szCs w:val="13"/>
                <w:b w:val="1"/>
                <w:bCs w:val="1"/>
                <w:color w:val="auto"/>
              </w:rPr>
              <w:t>2010</w:t>
            </w: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9"/>
              <w:spacing w:after="0" w:line="137" w:lineRule="exact"/>
              <w:rPr>
                <w:sz w:val="20"/>
                <w:szCs w:val="20"/>
                <w:color w:val="auto"/>
              </w:rPr>
            </w:pPr>
            <w:r>
              <w:rPr>
                <w:rFonts w:ascii="Arial" w:cs="Arial" w:eastAsia="Arial" w:hAnsi="Arial"/>
                <w:sz w:val="13"/>
                <w:szCs w:val="13"/>
                <w:b w:val="1"/>
                <w:bCs w:val="1"/>
                <w:color w:val="auto"/>
              </w:rPr>
              <w:t>2009</w:t>
            </w:r>
          </w:p>
        </w:tc>
        <w:tc>
          <w:tcPr>
            <w:tcW w:w="420" w:type="dxa"/>
            <w:vAlign w:val="bottom"/>
          </w:tcPr>
          <w:p>
            <w:pPr>
              <w:spacing w:after="0"/>
              <w:rPr>
                <w:sz w:val="11"/>
                <w:szCs w:val="11"/>
                <w:color w:val="auto"/>
              </w:rPr>
            </w:pPr>
          </w:p>
        </w:tc>
        <w:tc>
          <w:tcPr>
            <w:tcW w:w="580" w:type="dxa"/>
            <w:vAlign w:val="bottom"/>
            <w:tcBorders>
              <w:bottom w:val="single" w:sz="8" w:color="auto"/>
            </w:tcBorders>
            <w:gridSpan w:val="2"/>
          </w:tcPr>
          <w:p>
            <w:pPr>
              <w:spacing w:after="0" w:line="137" w:lineRule="exact"/>
              <w:rPr>
                <w:sz w:val="20"/>
                <w:szCs w:val="20"/>
                <w:color w:val="auto"/>
              </w:rPr>
            </w:pPr>
            <w:r>
              <w:rPr>
                <w:rFonts w:ascii="Arial" w:cs="Arial" w:eastAsia="Arial" w:hAnsi="Arial"/>
                <w:sz w:val="13"/>
                <w:szCs w:val="13"/>
                <w:b w:val="1"/>
                <w:bCs w:val="1"/>
                <w:color w:val="auto"/>
                <w:w w:val="84"/>
              </w:rPr>
              <w:t>(Decrease)</w:t>
            </w:r>
          </w:p>
        </w:tc>
        <w:tc>
          <w:tcPr>
            <w:tcW w:w="100" w:type="dxa"/>
            <w:vAlign w:val="bottom"/>
          </w:tcPr>
          <w:p>
            <w:pPr>
              <w:spacing w:after="0"/>
              <w:rPr>
                <w:sz w:val="11"/>
                <w:szCs w:val="11"/>
                <w:color w:val="auto"/>
              </w:rPr>
            </w:pPr>
          </w:p>
        </w:tc>
      </w:tr>
      <w:tr>
        <w:trPr>
          <w:trHeight w:val="137"/>
        </w:trPr>
        <w:tc>
          <w:tcPr>
            <w:tcW w:w="116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5"/>
          </w:tcPr>
          <w:p>
            <w:pPr>
              <w:jc w:val="center"/>
              <w:ind w:right="460"/>
              <w:spacing w:after="0" w:line="137" w:lineRule="exact"/>
              <w:rPr>
                <w:sz w:val="20"/>
                <w:szCs w:val="20"/>
                <w:color w:val="auto"/>
              </w:rPr>
            </w:pPr>
            <w:r>
              <w:rPr>
                <w:rFonts w:ascii="Arial" w:cs="Arial" w:eastAsia="Arial" w:hAnsi="Arial"/>
                <w:sz w:val="13"/>
                <w:szCs w:val="13"/>
                <w:b w:val="1"/>
                <w:bCs w:val="1"/>
                <w:color w:val="auto"/>
                <w:w w:val="90"/>
              </w:rPr>
              <w:t>($ in millions)</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Debt: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7760" w:type="dxa"/>
            <w:vAlign w:val="bottom"/>
            <w:gridSpan w:val="2"/>
          </w:tcPr>
          <w:p>
            <w:pPr>
              <w:ind w:left="420"/>
              <w:spacing w:after="0"/>
              <w:rPr>
                <w:sz w:val="20"/>
                <w:szCs w:val="20"/>
                <w:color w:val="auto"/>
              </w:rPr>
            </w:pPr>
            <w:r>
              <w:rPr>
                <w:rFonts w:ascii="Arial" w:cs="Arial" w:eastAsia="Arial" w:hAnsi="Arial"/>
                <w:sz w:val="17"/>
                <w:szCs w:val="17"/>
                <w:color w:val="auto"/>
              </w:rPr>
              <w:t>7.125%(a)</w:t>
            </w:r>
          </w:p>
        </w:tc>
        <w:tc>
          <w:tcPr>
            <w:tcW w:w="520" w:type="dxa"/>
            <w:vAlign w:val="bottom"/>
          </w:tcPr>
          <w:p>
            <w:pPr>
              <w:ind w:left="120"/>
              <w:spacing w:after="0"/>
              <w:rPr>
                <w:sz w:val="20"/>
                <w:szCs w:val="20"/>
                <w:color w:val="auto"/>
              </w:rPr>
            </w:pPr>
            <w:r>
              <w:rPr>
                <w:rFonts w:ascii="Arial" w:cs="Arial" w:eastAsia="Arial" w:hAnsi="Arial"/>
                <w:sz w:val="17"/>
                <w:szCs w:val="17"/>
                <w:color w:val="auto"/>
              </w:rPr>
              <w:t>2015</w:t>
            </w: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  528.5</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538.5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center"/>
              <w:spacing w:after="0"/>
              <w:rPr>
                <w:sz w:val="20"/>
                <w:szCs w:val="20"/>
                <w:color w:val="auto"/>
              </w:rPr>
            </w:pPr>
            <w:r>
              <w:rPr>
                <w:rFonts w:ascii="Arial" w:cs="Arial" w:eastAsia="Arial" w:hAnsi="Arial"/>
                <w:sz w:val="17"/>
                <w:szCs w:val="17"/>
                <w:color w:val="auto"/>
                <w:w w:val="94"/>
              </w:rPr>
              <w:t>(10.0)</w:t>
            </w:r>
          </w:p>
        </w:tc>
      </w:tr>
      <w:tr>
        <w:trPr>
          <w:trHeight w:val="209"/>
        </w:trPr>
        <w:tc>
          <w:tcPr>
            <w:tcW w:w="77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6.85%(b)</w:t>
            </w:r>
          </w:p>
        </w:tc>
        <w:tc>
          <w:tcPr>
            <w:tcW w:w="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2017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548.4</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rPr>
              <w:t>—</w:t>
            </w:r>
          </w:p>
        </w:tc>
      </w:tr>
      <w:tr>
        <w:trPr>
          <w:trHeight w:val="209"/>
        </w:trPr>
        <w:tc>
          <w:tcPr>
            <w:tcW w:w="7760" w:type="dxa"/>
            <w:vAlign w:val="bottom"/>
            <w:gridSpan w:val="2"/>
          </w:tcPr>
          <w:p>
            <w:pPr>
              <w:spacing w:after="0"/>
              <w:rPr>
                <w:sz w:val="20"/>
                <w:szCs w:val="20"/>
                <w:color w:val="auto"/>
              </w:rPr>
            </w:pPr>
            <w:r>
              <w:rPr>
                <w:rFonts w:ascii="Arial" w:cs="Arial" w:eastAsia="Arial" w:hAnsi="Arial"/>
                <w:sz w:val="17"/>
                <w:szCs w:val="17"/>
                <w:color w:val="auto"/>
              </w:rPr>
              <w:t>Subordinated Debt: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7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3.25%(c)</w:t>
            </w:r>
          </w:p>
        </w:tc>
        <w:tc>
          <w:tcPr>
            <w:tcW w:w="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2016</w:t>
            </w:r>
          </w:p>
        </w:tc>
        <w:tc>
          <w:tcPr>
            <w:tcW w:w="44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214"/>
        </w:trPr>
        <w:tc>
          <w:tcPr>
            <w:tcW w:w="7760" w:type="dxa"/>
            <w:vAlign w:val="bottom"/>
            <w:gridSpan w:val="2"/>
          </w:tcPr>
          <w:p>
            <w:pPr>
              <w:spacing w:after="0"/>
              <w:rPr>
                <w:sz w:val="20"/>
                <w:szCs w:val="20"/>
                <w:color w:val="auto"/>
              </w:rPr>
            </w:pPr>
            <w:r>
              <w:rPr>
                <w:rFonts w:ascii="Arial" w:cs="Arial" w:eastAsia="Arial" w:hAnsi="Arial"/>
                <w:sz w:val="17"/>
                <w:szCs w:val="17"/>
                <w:color w:val="auto"/>
              </w:rPr>
              <w:t>Total Senior and Subordinated Debt</w:t>
            </w:r>
          </w:p>
        </w:tc>
        <w:tc>
          <w:tcPr>
            <w:tcW w:w="5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1,226.9</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w w:val="88"/>
              </w:rPr>
              <w:t>1,236.9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center"/>
              <w:spacing w:after="0"/>
              <w:rPr>
                <w:sz w:val="20"/>
                <w:szCs w:val="20"/>
                <w:color w:val="auto"/>
              </w:rPr>
            </w:pPr>
            <w:r>
              <w:rPr>
                <w:rFonts w:ascii="Arial" w:cs="Arial" w:eastAsia="Arial" w:hAnsi="Arial"/>
                <w:sz w:val="17"/>
                <w:szCs w:val="17"/>
                <w:color w:val="auto"/>
                <w:w w:val="94"/>
              </w:rPr>
              <w:t>(10.0)</w:t>
            </w: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116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8" w:lineRule="exact"/>
        <w:rPr>
          <w:sz w:val="20"/>
          <w:szCs w:val="20"/>
          <w:color w:val="auto"/>
        </w:rPr>
      </w:pPr>
    </w:p>
    <w:p>
      <w:pPr>
        <w:ind w:left="460" w:right="440" w:hanging="456"/>
        <w:spacing w:after="0" w:line="260"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During the year ended December 31, 2010 the Company repurchased $10.0 million principal amount of its 7.125% Senior Notes, and, with respect thereto, recognized an aggregate loss of $0.4 million in “revenue-other”.</w:t>
      </w:r>
    </w:p>
    <w:p>
      <w:pPr>
        <w:ind w:left="460" w:right="560" w:hanging="456"/>
        <w:spacing w:after="0" w:line="272"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During the year ended December 31, 2009, the Company repurchased $0.9 million principal amount of its 6.85% Senior Notes, and, with respect thereto, recognized an aggregate gain of $0.3 million in “revenue-other”.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48"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460" w:right="200" w:hanging="456"/>
        <w:spacing w:after="0" w:line="280"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Convertible into shares of Class A common stock at an effective conversion price of $57 per share. One third in principal amount became convertible on and after each of July 1, 2008, July 1, 2009, and July 1, 2010, and no principal amount is convertible after June 30, 2011.</w:t>
      </w:r>
    </w:p>
    <w:p>
      <w:pPr>
        <w:spacing w:after="0" w:line="105"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115" w:lineRule="exact"/>
        <w:rPr>
          <w:sz w:val="20"/>
          <w:szCs w:val="20"/>
          <w:color w:val="auto"/>
        </w:rPr>
      </w:pPr>
    </w:p>
    <w:p>
      <w:pPr>
        <w:ind w:right="40" w:firstLine="457"/>
        <w:spacing w:after="0" w:line="302" w:lineRule="auto"/>
        <w:rPr>
          <w:sz w:val="20"/>
          <w:szCs w:val="20"/>
          <w:color w:val="auto"/>
        </w:rPr>
      </w:pPr>
      <w:r>
        <w:rPr>
          <w:rFonts w:ascii="Arial" w:cs="Arial" w:eastAsia="Arial" w:hAnsi="Arial"/>
          <w:sz w:val="15"/>
          <w:szCs w:val="15"/>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December 31, 2010 Lazard Group was in compliance with such ratios, with its Consolidated Leverage Ratio being 1.80 to 1.00 and its Consolidated Interest Coverage Ratio being 9.66 to 1.00. In any event, no amounts were outstanding under the Credit Facility as of December 31, 2010.</w:t>
      </w:r>
    </w:p>
    <w:p>
      <w:pPr>
        <w:spacing w:after="0" w:line="94"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December 31, 2010,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13 of Notes to Consolidated Financial Statements for additional information regarding senior and subordinated debt.</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300"/>
          </w:cols>
          <w:pgMar w:left="240" w:top="448" w:right="3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Stockholders’ Equity</w:t>
      </w:r>
    </w:p>
    <w:p>
      <w:pPr>
        <w:spacing w:after="0" w:line="79"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At December 31, 2010, total stockholders’ equity was $796 million as compared to $523 million and $312 million at December 31, 2009 and 2008, respectively, including $144 million, $168 million and $61 million of noncontrolling interests on the respective dates. The net activity in stockholders’ equity in the years ended December 31, 2010 and 2009 is reflected in the table below (in millions of dollars):</w:t>
      </w:r>
    </w:p>
    <w:p>
      <w:pPr>
        <w:spacing w:after="0" w:line="10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4"/>
          </w:tcPr>
          <w:p>
            <w:pPr>
              <w:jc w:val="right"/>
              <w:ind w:right="15"/>
              <w:spacing w:after="0"/>
              <w:rPr>
                <w:sz w:val="20"/>
                <w:szCs w:val="20"/>
                <w:color w:val="auto"/>
              </w:rPr>
            </w:pPr>
            <w:r>
              <w:rPr>
                <w:rFonts w:ascii="Arial" w:cs="Arial" w:eastAsia="Arial" w:hAnsi="Arial"/>
                <w:sz w:val="13"/>
                <w:szCs w:val="13"/>
                <w:b w:val="1"/>
                <w:bCs w:val="1"/>
                <w:color w:val="auto"/>
              </w:rPr>
              <w:t>Year Ended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2010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 – Beginning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523</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7600" w:type="dxa"/>
            <w:vAlign w:val="bottom"/>
            <w:gridSpan w:val="2"/>
          </w:tcPr>
          <w:p>
            <w:pPr>
              <w:spacing w:after="0"/>
              <w:rPr>
                <w:sz w:val="20"/>
                <w:szCs w:val="20"/>
                <w:color w:val="auto"/>
              </w:rPr>
            </w:pPr>
            <w:r>
              <w:rPr>
                <w:rFonts w:ascii="Arial" w:cs="Arial" w:eastAsia="Arial" w:hAnsi="Arial"/>
                <w:sz w:val="17"/>
                <w:szCs w:val="17"/>
                <w:color w:val="auto"/>
              </w:rPr>
              <w:t>Increase (decrease) due to:</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Net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194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400"/>
              <w:spacing w:after="0"/>
              <w:rPr>
                <w:sz w:val="20"/>
                <w:szCs w:val="20"/>
                <w:color w:val="auto"/>
              </w:rPr>
            </w:pPr>
            <w:r>
              <w:rPr>
                <w:rFonts w:ascii="Arial" w:cs="Arial" w:eastAsia="Arial" w:hAnsi="Arial"/>
                <w:sz w:val="17"/>
                <w:szCs w:val="17"/>
                <w:color w:val="auto"/>
              </w:rPr>
              <w:t>Amortization of share-based incentive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8"/>
              </w:rPr>
              <w:t>305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Delivery of Class A common stock in connection with share-based incentive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400"/>
              <w:spacing w:after="0"/>
              <w:rPr>
                <w:sz w:val="20"/>
                <w:szCs w:val="20"/>
                <w:color w:val="auto"/>
              </w:rPr>
            </w:pPr>
            <w:r>
              <w:rPr>
                <w:rFonts w:ascii="Arial" w:cs="Arial" w:eastAsia="Arial" w:hAnsi="Arial"/>
                <w:sz w:val="17"/>
                <w:szCs w:val="17"/>
                <w:color w:val="auto"/>
              </w:rPr>
              <w:t>AOCI (including noncontrolling interests’ portion thereof)(*)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Class A common stock dividends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400"/>
              <w:spacing w:after="0"/>
              <w:rPr>
                <w:sz w:val="20"/>
                <w:szCs w:val="20"/>
                <w:color w:val="auto"/>
              </w:rPr>
            </w:pPr>
            <w:r>
              <w:rPr>
                <w:rFonts w:ascii="Arial" w:cs="Arial" w:eastAsia="Arial" w:hAnsi="Arial"/>
                <w:sz w:val="17"/>
                <w:szCs w:val="17"/>
                <w:color w:val="auto"/>
              </w:rPr>
              <w:t>Purchase of Class A common stock and Lazard Group common membership interests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w w:val="85"/>
              </w:rPr>
              <w:t>(157)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Acquisitions of (distributions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80" w:type="dxa"/>
            <w:vAlign w:val="bottom"/>
          </w:tcPr>
          <w:p>
            <w:pPr>
              <w:ind w:left="400"/>
              <w:spacing w:after="0"/>
              <w:rPr>
                <w:sz w:val="20"/>
                <w:szCs w:val="20"/>
                <w:color w:val="auto"/>
              </w:rPr>
            </w:pPr>
            <w:r>
              <w:rPr>
                <w:rFonts w:ascii="Arial" w:cs="Arial" w:eastAsia="Arial" w:hAnsi="Arial"/>
                <w:sz w:val="17"/>
                <w:szCs w:val="17"/>
                <w:color w:val="auto"/>
              </w:rPr>
              <w:t>Other – net</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 –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796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7"/>
                <w:szCs w:val="17"/>
                <w:color w:val="auto"/>
              </w:rPr>
              <w:t>(*) Includes: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Net positive (negative) foreign currency translation adjustments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580" w:type="dxa"/>
            <w:vAlign w:val="bottom"/>
          </w:tcPr>
          <w:p>
            <w:pPr>
              <w:ind w:left="400"/>
              <w:spacing w:after="0"/>
              <w:rPr>
                <w:sz w:val="20"/>
                <w:szCs w:val="20"/>
                <w:color w:val="auto"/>
              </w:rPr>
            </w:pPr>
            <w:r>
              <w:rPr>
                <w:rFonts w:ascii="Arial" w:cs="Arial" w:eastAsia="Arial" w:hAnsi="Arial"/>
                <w:sz w:val="17"/>
                <w:szCs w:val="17"/>
                <w:color w:val="auto"/>
                <w:w w:val="99"/>
              </w:rPr>
              <w:t>Net mark-ups and adjustments for items reclassified to earnings related to securities designated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Arial" w:cs="Arial" w:eastAsia="Arial" w:hAnsi="Arial"/>
                <w:sz w:val="17"/>
                <w:szCs w:val="17"/>
                <w:color w:val="auto"/>
              </w:rPr>
              <w:t>as “available-for-sale”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Employee benefit plan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vMerge w:val="restart"/>
          </w:tcPr>
          <w:p>
            <w:pPr>
              <w:ind w:left="40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24</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57"/>
        <w:spacing w:after="0" w:line="259" w:lineRule="auto"/>
        <w:rPr>
          <w:sz w:val="20"/>
          <w:szCs w:val="20"/>
          <w:color w:val="auto"/>
        </w:rPr>
      </w:pPr>
      <w:r>
        <w:rPr>
          <w:rFonts w:ascii="Arial" w:cs="Arial" w:eastAsia="Arial" w:hAnsi="Arial"/>
          <w:sz w:val="17"/>
          <w:szCs w:val="17"/>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During the year ended December 31, 2010 the Company repurchased 4,686,892 shares of Class A common stock, at an aggregate cost of $150 million and 224,382 Lazard Group common membership interests at an aggregate cost of $7 million. Accordingly, at December 31, 2010, $43 million of the share purchase authorization remained available for future repurchases. In addition to the repurchases of 4,686,892 shares of Class A common stock described above, during the year ended December 31, 2010, in order, among other reasons, to help neutralize the dilutive effect of our share-based incentive compensation plans, the Company utilized $58 million to satisfy certain employees’ withholding tax obligations on vested RSUs in lieu of issuing 1,674,261 shares. In February 2011, the Board of Directors of Lazard Ltd authorized the repurchase of up to an additional $250 million in aggregate cost of Lazard Ltd Class A common stock and Lazard Group common membership interests through December 31, 2012.</w:t>
      </w:r>
    </w:p>
    <w:p>
      <w:pPr>
        <w:spacing w:after="0" w:line="124" w:lineRule="exact"/>
        <w:rPr>
          <w:sz w:val="20"/>
          <w:szCs w:val="20"/>
          <w:color w:val="auto"/>
        </w:rPr>
      </w:pPr>
    </w:p>
    <w:p>
      <w:pPr>
        <w:ind w:firstLine="457"/>
        <w:spacing w:after="0" w:line="280" w:lineRule="auto"/>
        <w:rPr>
          <w:sz w:val="20"/>
          <w:szCs w:val="20"/>
          <w:color w:val="auto"/>
        </w:rPr>
      </w:pPr>
      <w:r>
        <w:rPr>
          <w:rFonts w:ascii="Arial" w:cs="Arial" w:eastAsia="Arial" w:hAnsi="Arial"/>
          <w:sz w:val="17"/>
          <w:szCs w:val="17"/>
          <w:color w:val="auto"/>
        </w:rPr>
        <w:t>See Note 15 of Notes to Consolidated Financial Statements for information regarding (i) the issuance of Class A common stock, (ii) secondary offerings of Class A common stock, (iii) exchanges of Lazard Group common membership interests and (iv) the share repurchase program.</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Capital</w:t>
      </w:r>
    </w:p>
    <w:p>
      <w:pPr>
        <w:spacing w:after="0" w:line="83" w:lineRule="exact"/>
        <w:rPr>
          <w:sz w:val="20"/>
          <w:szCs w:val="20"/>
          <w:color w:val="auto"/>
        </w:rPr>
      </w:pPr>
    </w:p>
    <w:p>
      <w:pPr>
        <w:ind w:right="100" w:firstLine="457"/>
        <w:spacing w:after="0" w:line="349" w:lineRule="auto"/>
        <w:rPr>
          <w:sz w:val="20"/>
          <w:szCs w:val="20"/>
          <w:color w:val="auto"/>
        </w:rPr>
      </w:pPr>
      <w:r>
        <w:rPr>
          <w:rFonts w:ascii="Arial" w:cs="Arial" w:eastAsia="Arial" w:hAnsi="Arial"/>
          <w:sz w:val="15"/>
          <w:szCs w:val="15"/>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00"/>
          </w:cols>
          <w:pgMar w:left="240" w:top="448"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procedures, relationships with customers, experience and training requirements for employees and certain other requirements and procedures. These regulatory requirements may restrict the flow of funds to affiliates. See Note 22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1-Business—Regulation” included in this Form 10-K.</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relating to Lazard’s contractual obligations as of December 31, 2010: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color w:val="auto"/>
                <w:w w:val="94"/>
              </w:rPr>
              <w:t>Contractual Obligations Payment Due by Period</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6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ind w:right="8"/>
              <w:spacing w:after="0" w:line="124" w:lineRule="exact"/>
              <w:rPr>
                <w:sz w:val="20"/>
                <w:szCs w:val="20"/>
                <w:color w:val="auto"/>
              </w:rPr>
            </w:pPr>
            <w:r>
              <w:rPr>
                <w:rFonts w:ascii="Arial" w:cs="Arial" w:eastAsia="Arial" w:hAnsi="Arial"/>
                <w:sz w:val="13"/>
                <w:szCs w:val="13"/>
                <w:b w:val="1"/>
                <w:bCs w:val="1"/>
                <w:color w:val="auto"/>
                <w:w w:val="98"/>
              </w:rPr>
              <w:t>Less than</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820" w:type="dxa"/>
            <w:vAlign w:val="bottom"/>
          </w:tcPr>
          <w:p>
            <w:pPr>
              <w:jc w:val="right"/>
              <w:ind w:right="178"/>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c>
          <w:tcPr>
            <w:tcW w:w="700" w:type="dxa"/>
            <w:vAlign w:val="bottom"/>
          </w:tcPr>
          <w:p>
            <w:pPr>
              <w:jc w:val="right"/>
              <w:ind w:right="108"/>
              <w:spacing w:after="0"/>
              <w:rPr>
                <w:sz w:val="20"/>
                <w:szCs w:val="20"/>
                <w:color w:val="auto"/>
              </w:rPr>
            </w:pPr>
            <w:r>
              <w:rPr>
                <w:rFonts w:ascii="Arial" w:cs="Arial" w:eastAsia="Arial" w:hAnsi="Arial"/>
                <w:sz w:val="13"/>
                <w:szCs w:val="13"/>
                <w:b w:val="1"/>
                <w:bCs w:val="1"/>
                <w:color w:val="auto"/>
              </w:rPr>
              <w:t>1 Year</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1-3 Years</w:t>
            </w: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3-5 Years</w:t>
            </w: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5 Years</w:t>
            </w: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vMerge w:val="continue"/>
          </w:tcPr>
          <w:p>
            <w:pPr>
              <w:spacing w:after="0"/>
              <w:rPr>
                <w:sz w:val="11"/>
                <w:szCs w:val="11"/>
                <w:color w:val="auto"/>
              </w:rPr>
            </w:pPr>
          </w:p>
        </w:tc>
        <w:tc>
          <w:tcPr>
            <w:tcW w:w="7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70"/>
              </w:rPr>
              <w:t>$ in thousands)</w:t>
            </w:r>
          </w:p>
        </w:tc>
        <w:tc>
          <w:tcPr>
            <w:tcW w:w="2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and Subordinated Debt (including interest) (a)</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$ 1,672,141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80,093</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$ 160,185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$669,857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   762,006</w:t>
            </w:r>
          </w:p>
        </w:tc>
        <w:tc>
          <w:tcPr>
            <w:tcW w:w="0" w:type="dxa"/>
            <w:vAlign w:val="bottom"/>
          </w:tcPr>
          <w:p>
            <w:pPr>
              <w:spacing w:after="0"/>
              <w:rPr>
                <w:sz w:val="1"/>
                <w:szCs w:val="1"/>
                <w:color w:val="auto"/>
              </w:rPr>
            </w:pPr>
          </w:p>
        </w:tc>
      </w:tr>
      <w:tr>
        <w:trPr>
          <w:trHeight w:val="209"/>
        </w:trPr>
        <w:tc>
          <w:tcPr>
            <w:tcW w:w="6720" w:type="dxa"/>
            <w:vAlign w:val="bottom"/>
            <w:gridSpan w:val="2"/>
          </w:tcPr>
          <w:p>
            <w:pPr>
              <w:spacing w:after="0"/>
              <w:rPr>
                <w:sz w:val="20"/>
                <w:szCs w:val="20"/>
                <w:color w:val="auto"/>
              </w:rPr>
            </w:pPr>
            <w:r>
              <w:rPr>
                <w:rFonts w:ascii="Arial" w:cs="Arial" w:eastAsia="Arial" w:hAnsi="Arial"/>
                <w:sz w:val="17"/>
                <w:szCs w:val="17"/>
                <w:color w:val="auto"/>
              </w:rPr>
              <w:t>Operating Leases (exclusive of $94,405 of sublease income) (b)</w:t>
            </w:r>
          </w:p>
        </w:tc>
        <w:tc>
          <w:tcPr>
            <w:tcW w:w="820" w:type="dxa"/>
            <w:vAlign w:val="bottom"/>
          </w:tcPr>
          <w:p>
            <w:pPr>
              <w:jc w:val="right"/>
              <w:spacing w:after="0"/>
              <w:rPr>
                <w:sz w:val="20"/>
                <w:szCs w:val="20"/>
                <w:color w:val="auto"/>
              </w:rPr>
            </w:pPr>
            <w:r>
              <w:rPr>
                <w:rFonts w:ascii="Arial" w:cs="Arial" w:eastAsia="Arial" w:hAnsi="Arial"/>
                <w:sz w:val="17"/>
                <w:szCs w:val="17"/>
                <w:color w:val="auto"/>
              </w:rPr>
              <w:t>372,285</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68,004</w:t>
            </w:r>
          </w:p>
        </w:tc>
        <w:tc>
          <w:tcPr>
            <w:tcW w:w="1100" w:type="dxa"/>
            <w:vAlign w:val="bottom"/>
            <w:gridSpan w:val="3"/>
          </w:tcPr>
          <w:p>
            <w:pPr>
              <w:jc w:val="right"/>
              <w:ind w:right="200"/>
              <w:spacing w:after="0"/>
              <w:rPr>
                <w:sz w:val="20"/>
                <w:szCs w:val="20"/>
                <w:color w:val="auto"/>
              </w:rPr>
            </w:pPr>
            <w:r>
              <w:rPr>
                <w:rFonts w:ascii="Arial" w:cs="Arial" w:eastAsia="Arial" w:hAnsi="Arial"/>
                <w:sz w:val="17"/>
                <w:szCs w:val="17"/>
                <w:color w:val="auto"/>
              </w:rPr>
              <w:t>84,985</w:t>
            </w:r>
          </w:p>
        </w:tc>
        <w:tc>
          <w:tcPr>
            <w:tcW w:w="740" w:type="dxa"/>
            <w:vAlign w:val="bottom"/>
          </w:tcPr>
          <w:p>
            <w:pPr>
              <w:jc w:val="right"/>
              <w:spacing w:after="0"/>
              <w:rPr>
                <w:sz w:val="20"/>
                <w:szCs w:val="20"/>
                <w:color w:val="auto"/>
              </w:rPr>
            </w:pPr>
            <w:r>
              <w:rPr>
                <w:rFonts w:ascii="Arial" w:cs="Arial" w:eastAsia="Arial" w:hAnsi="Arial"/>
                <w:sz w:val="17"/>
                <w:szCs w:val="17"/>
                <w:color w:val="auto"/>
              </w:rPr>
              <w:t>59,402</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159,894</w:t>
            </w:r>
          </w:p>
        </w:tc>
        <w:tc>
          <w:tcPr>
            <w:tcW w:w="0" w:type="dxa"/>
            <w:vAlign w:val="bottom"/>
          </w:tcPr>
          <w:p>
            <w:pPr>
              <w:spacing w:after="0"/>
              <w:rPr>
                <w:sz w:val="1"/>
                <w:szCs w:val="1"/>
                <w:color w:val="auto"/>
              </w:rPr>
            </w:pPr>
          </w:p>
        </w:tc>
      </w:tr>
      <w:tr>
        <w:trPr>
          <w:trHeight w:val="209"/>
        </w:trPr>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LAM Merger cash consideration (c)</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90,348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gridSpan w:val="2"/>
          </w:tcPr>
          <w:p>
            <w:pPr>
              <w:spacing w:after="0"/>
              <w:rPr>
                <w:sz w:val="20"/>
                <w:szCs w:val="20"/>
                <w:color w:val="auto"/>
              </w:rPr>
            </w:pPr>
            <w:r>
              <w:rPr>
                <w:rFonts w:ascii="Arial" w:cs="Arial" w:eastAsia="Arial" w:hAnsi="Arial"/>
                <w:sz w:val="17"/>
                <w:szCs w:val="17"/>
                <w:color w:val="auto"/>
              </w:rPr>
              <w:t>Capital Leases (including interest) (b)</w:t>
            </w:r>
          </w:p>
        </w:tc>
        <w:tc>
          <w:tcPr>
            <w:tcW w:w="820" w:type="dxa"/>
            <w:vAlign w:val="bottom"/>
          </w:tcPr>
          <w:p>
            <w:pPr>
              <w:jc w:val="right"/>
              <w:spacing w:after="0"/>
              <w:rPr>
                <w:sz w:val="20"/>
                <w:szCs w:val="20"/>
                <w:color w:val="auto"/>
              </w:rPr>
            </w:pPr>
            <w:r>
              <w:rPr>
                <w:rFonts w:ascii="Arial" w:cs="Arial" w:eastAsia="Arial" w:hAnsi="Arial"/>
                <w:sz w:val="17"/>
                <w:szCs w:val="17"/>
                <w:color w:val="auto"/>
              </w:rPr>
              <w:t>28,680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4,133</w:t>
            </w:r>
          </w:p>
        </w:tc>
        <w:tc>
          <w:tcPr>
            <w:tcW w:w="1100" w:type="dxa"/>
            <w:vAlign w:val="bottom"/>
            <w:gridSpan w:val="3"/>
          </w:tcPr>
          <w:p>
            <w:pPr>
              <w:jc w:val="right"/>
              <w:ind w:right="200"/>
              <w:spacing w:after="0"/>
              <w:rPr>
                <w:sz w:val="20"/>
                <w:szCs w:val="20"/>
                <w:color w:val="auto"/>
              </w:rPr>
            </w:pPr>
            <w:r>
              <w:rPr>
                <w:rFonts w:ascii="Arial" w:cs="Arial" w:eastAsia="Arial" w:hAnsi="Arial"/>
                <w:sz w:val="17"/>
                <w:szCs w:val="17"/>
                <w:color w:val="auto"/>
              </w:rPr>
              <w:t>7,208</w:t>
            </w:r>
          </w:p>
        </w:tc>
        <w:tc>
          <w:tcPr>
            <w:tcW w:w="740" w:type="dxa"/>
            <w:vAlign w:val="bottom"/>
          </w:tcPr>
          <w:p>
            <w:pPr>
              <w:jc w:val="right"/>
              <w:spacing w:after="0"/>
              <w:rPr>
                <w:sz w:val="20"/>
                <w:szCs w:val="20"/>
                <w:color w:val="auto"/>
              </w:rPr>
            </w:pPr>
            <w:r>
              <w:rPr>
                <w:rFonts w:ascii="Arial" w:cs="Arial" w:eastAsia="Arial" w:hAnsi="Arial"/>
                <w:sz w:val="17"/>
                <w:szCs w:val="17"/>
                <w:color w:val="auto"/>
              </w:rPr>
              <w:t>5,714</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11,625</w:t>
            </w:r>
          </w:p>
        </w:tc>
        <w:tc>
          <w:tcPr>
            <w:tcW w:w="0" w:type="dxa"/>
            <w:vAlign w:val="bottom"/>
          </w:tcPr>
          <w:p>
            <w:pPr>
              <w:spacing w:after="0"/>
              <w:rPr>
                <w:sz w:val="1"/>
                <w:szCs w:val="1"/>
                <w:color w:val="auto"/>
              </w:rPr>
            </w:pPr>
          </w:p>
        </w:tc>
      </w:tr>
      <w:tr>
        <w:trPr>
          <w:trHeight w:val="209"/>
        </w:trPr>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Private Equity Funding Commitments (b)</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5,290</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5,290</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20" w:type="dxa"/>
            <w:vAlign w:val="bottom"/>
            <w:gridSpan w:val="2"/>
          </w:tcPr>
          <w:p>
            <w:pPr>
              <w:spacing w:after="0"/>
              <w:rPr>
                <w:sz w:val="20"/>
                <w:szCs w:val="20"/>
                <w:color w:val="auto"/>
              </w:rPr>
            </w:pPr>
            <w:r>
              <w:rPr>
                <w:rFonts w:ascii="Arial" w:cs="Arial" w:eastAsia="Arial" w:hAnsi="Arial"/>
                <w:sz w:val="17"/>
                <w:szCs w:val="17"/>
                <w:color w:val="auto"/>
              </w:rPr>
              <w:t>Total (d)(e)</w:t>
            </w:r>
          </w:p>
        </w:tc>
        <w:tc>
          <w:tcPr>
            <w:tcW w:w="820" w:type="dxa"/>
            <w:vAlign w:val="bottom"/>
          </w:tcPr>
          <w:p>
            <w:pPr>
              <w:jc w:val="right"/>
              <w:spacing w:after="0"/>
              <w:rPr>
                <w:sz w:val="20"/>
                <w:szCs w:val="20"/>
                <w:color w:val="auto"/>
              </w:rPr>
            </w:pPr>
            <w:r>
              <w:rPr>
                <w:rFonts w:ascii="Arial" w:cs="Arial" w:eastAsia="Arial" w:hAnsi="Arial"/>
                <w:sz w:val="17"/>
                <w:szCs w:val="17"/>
                <w:color w:val="auto"/>
                <w:w w:val="89"/>
              </w:rPr>
              <w:t>$ 2,168,744</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$ 247,868</w:t>
            </w:r>
          </w:p>
        </w:tc>
        <w:tc>
          <w:tcPr>
            <w:tcW w:w="1100" w:type="dxa"/>
            <w:vAlign w:val="bottom"/>
            <w:gridSpan w:val="3"/>
          </w:tcPr>
          <w:p>
            <w:pPr>
              <w:jc w:val="right"/>
              <w:ind w:right="200"/>
              <w:spacing w:after="0"/>
              <w:rPr>
                <w:sz w:val="20"/>
                <w:szCs w:val="20"/>
                <w:color w:val="auto"/>
              </w:rPr>
            </w:pPr>
            <w:r>
              <w:rPr>
                <w:rFonts w:ascii="Arial" w:cs="Arial" w:eastAsia="Arial" w:hAnsi="Arial"/>
                <w:sz w:val="17"/>
                <w:szCs w:val="17"/>
                <w:color w:val="auto"/>
              </w:rPr>
              <w:t>$ 252,378</w:t>
            </w:r>
          </w:p>
        </w:tc>
        <w:tc>
          <w:tcPr>
            <w:tcW w:w="740" w:type="dxa"/>
            <w:vAlign w:val="bottom"/>
          </w:tcPr>
          <w:p>
            <w:pPr>
              <w:jc w:val="right"/>
              <w:spacing w:after="0"/>
              <w:rPr>
                <w:sz w:val="20"/>
                <w:szCs w:val="20"/>
                <w:color w:val="auto"/>
              </w:rPr>
            </w:pPr>
            <w:r>
              <w:rPr>
                <w:rFonts w:ascii="Arial" w:cs="Arial" w:eastAsia="Arial" w:hAnsi="Arial"/>
                <w:sz w:val="17"/>
                <w:szCs w:val="17"/>
                <w:color w:val="auto"/>
                <w:w w:val="93"/>
              </w:rPr>
              <w:t>$734,973</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$933,525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16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hanging="456"/>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See Note 13 of Notes to Consolidated Financial Statements.</w:t>
      </w:r>
    </w:p>
    <w:p>
      <w:pPr>
        <w:spacing w:after="0" w:line="19" w:lineRule="exact"/>
        <w:rPr>
          <w:rFonts w:ascii="Arial" w:cs="Arial" w:eastAsia="Arial" w:hAnsi="Arial"/>
          <w:sz w:val="17"/>
          <w:szCs w:val="17"/>
          <w:color w:val="auto"/>
        </w:rPr>
      </w:pPr>
    </w:p>
    <w:p>
      <w:pPr>
        <w:ind w:left="460" w:hanging="456"/>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See Note 14 of Notes to Consolidated Financial Statements.</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See Note 8 of Notes to Consolidated Financial Statements.</w:t>
      </w:r>
    </w:p>
    <w:p>
      <w:pPr>
        <w:spacing w:after="0" w:line="13" w:lineRule="exact"/>
        <w:rPr>
          <w:rFonts w:ascii="Arial" w:cs="Arial" w:eastAsia="Arial" w:hAnsi="Arial"/>
          <w:sz w:val="17"/>
          <w:szCs w:val="17"/>
          <w:color w:val="auto"/>
        </w:rPr>
      </w:pPr>
    </w:p>
    <w:p>
      <w:pPr>
        <w:ind w:left="460" w:right="160" w:hanging="456"/>
        <w:spacing w:after="0" w:line="256"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table above excludes contingent obligations and any possible payments for uncertain tax positions given the inability to estimate the timing of the latter payments. See Notes 14, 16, 17 and 19 of Notes to Consolidated Financial Statements regarding information in connection with commitments, incentive plans, employee benefit plans and income taxes.</w:t>
      </w:r>
    </w:p>
    <w:p>
      <w:pPr>
        <w:ind w:left="460" w:right="120" w:hanging="456"/>
        <w:spacing w:after="0" w:line="307"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Company has agreed to enter into an amendment (the “Lease Amendment”) of the leases relating to its offices in Rockefeller Center, New York, New York (the “Leased Premises”). The effectiveness of the Lease Amendment is conditioned upon receipt of customary documentation evidencing, among other things, the consent of the lender holding a mortgage covering the Leased Premises. The Lease Amendment provides that the term of the lease will be extended until 2033, and would commit the Company for approximately $600 million of aggregate incremental rentals over the amounts included in the table above.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w:t>
      </w:r>
    </w:p>
    <w:p>
      <w:pPr>
        <w:spacing w:after="0" w:line="83"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it may adversely affect our financial position and results of operations by reducing AUM, net revenue or otherwise. See “Risk Factors—Other Business Risks—Difficult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83" w:lineRule="exact"/>
        <w:rPr>
          <w:sz w:val="20"/>
          <w:szCs w:val="20"/>
          <w:color w:val="auto"/>
        </w:rPr>
      </w:pPr>
    </w:p>
    <w:p>
      <w:pPr>
        <w:ind w:right="300" w:firstLine="457"/>
        <w:spacing w:after="0" w:line="292"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48"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620" w:firstLine="457"/>
        <w:spacing w:after="0" w:line="280" w:lineRule="auto"/>
        <w:rPr>
          <w:sz w:val="20"/>
          <w:szCs w:val="20"/>
          <w:color w:val="auto"/>
        </w:rPr>
      </w:pPr>
      <w:r>
        <w:rPr>
          <w:rFonts w:ascii="Arial" w:cs="Arial" w:eastAsia="Arial" w:hAnsi="Arial"/>
          <w:sz w:val="17"/>
          <w:szCs w:val="17"/>
          <w:color w:val="auto"/>
        </w:rPr>
        <w:t>Lazard believes that the critical accounting policies set forth below comprise the most significant estimates and judgments used in the preparation of its consolidated financial statements.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79" w:lineRule="exact"/>
        <w:rPr>
          <w:sz w:val="20"/>
          <w:szCs w:val="20"/>
          <w:color w:val="auto"/>
        </w:rPr>
      </w:pPr>
    </w:p>
    <w:p>
      <w:pPr>
        <w:ind w:right="200" w:firstLine="457"/>
        <w:spacing w:after="0" w:line="280" w:lineRule="auto"/>
        <w:rPr>
          <w:sz w:val="20"/>
          <w:szCs w:val="20"/>
          <w:color w:val="auto"/>
        </w:rPr>
      </w:pPr>
      <w:r>
        <w:rPr>
          <w:rFonts w:ascii="Arial" w:cs="Arial" w:eastAsia="Arial" w:hAnsi="Arial"/>
          <w:sz w:val="17"/>
          <w:szCs w:val="17"/>
          <w:color w:val="auto"/>
        </w:rPr>
        <w:t>Lazard generates substantially all of its net revenue from providing Financial Advisory and Asset Management services to clients. Lazard recognizes revenue when the following criteria are met:</w:t>
      </w:r>
    </w:p>
    <w:p>
      <w:pPr>
        <w:spacing w:after="0" w:line="27" w:lineRule="exact"/>
        <w:rPr>
          <w:sz w:val="20"/>
          <w:szCs w:val="20"/>
          <w:color w:val="auto"/>
        </w:rPr>
      </w:pPr>
    </w:p>
    <w:p>
      <w:pPr>
        <w:ind w:left="780" w:hanging="319"/>
        <w:spacing w:after="0"/>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there is persuasive evidence of an arrangement with a client,</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agreed-upon services have been provided,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fees are fixed or determinable,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collection is probable.</w:t>
      </w:r>
    </w:p>
    <w:p>
      <w:pPr>
        <w:spacing w:after="0" w:line="183" w:lineRule="exact"/>
        <w:rPr>
          <w:sz w:val="20"/>
          <w:szCs w:val="20"/>
          <w:color w:val="auto"/>
        </w:rPr>
      </w:pPr>
    </w:p>
    <w:p>
      <w:pPr>
        <w:ind w:right="160" w:firstLine="457"/>
        <w:spacing w:after="0" w:line="280" w:lineRule="auto"/>
        <w:rPr>
          <w:sz w:val="20"/>
          <w:szCs w:val="20"/>
          <w:color w:val="auto"/>
        </w:rPr>
      </w:pPr>
      <w:r>
        <w:rPr>
          <w:rFonts w:ascii="Arial" w:cs="Arial" w:eastAsia="Arial" w:hAnsi="Arial"/>
          <w:sz w:val="17"/>
          <w:szCs w:val="17"/>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05"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119"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26" w:lineRule="exact"/>
        <w:rPr>
          <w:sz w:val="20"/>
          <w:szCs w:val="20"/>
          <w:color w:val="auto"/>
        </w:rPr>
      </w:pPr>
    </w:p>
    <w:p>
      <w:pPr>
        <w:ind w:right="440" w:firstLine="457"/>
        <w:spacing w:after="0" w:line="280" w:lineRule="auto"/>
        <w:rPr>
          <w:sz w:val="20"/>
          <w:szCs w:val="20"/>
          <w:color w:val="auto"/>
        </w:rPr>
      </w:pPr>
      <w:r>
        <w:rPr>
          <w:rFonts w:ascii="Arial" w:cs="Arial" w:eastAsia="Arial" w:hAnsi="Arial"/>
          <w:sz w:val="17"/>
          <w:szCs w:val="17"/>
          <w:color w:val="auto"/>
        </w:rPr>
        <w:t>At December 31, 2010 and 2009, the Company had receivables past due of approximately $17 million and $14 million, respectively, and its allowance for doubtful accounts was $15 million and $12 million, respectively.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Income Taxes</w:t>
      </w:r>
    </w:p>
    <w:p>
      <w:pPr>
        <w:spacing w:after="0" w:line="79" w:lineRule="exact"/>
        <w:rPr>
          <w:sz w:val="20"/>
          <w:szCs w:val="20"/>
          <w:color w:val="auto"/>
        </w:rPr>
      </w:pPr>
    </w:p>
    <w:p>
      <w:pPr>
        <w:ind w:right="100" w:firstLine="457"/>
        <w:spacing w:after="0" w:line="292"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360"/>
          </w:cols>
          <w:pgMar w:left="240" w:top="448" w:right="29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2010, the Company recorded deferred tax assets of approximately $1.3 billion, with such amount partially offset by a valuation allowance of approximately $1.2 billion due to the uncertainty of realizing the benefits of the book versus tax basis differences and certain net operating loss carry-forwards.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117"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Investments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68"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described in Note 5 of Notes to Consolidated Financial Statements, effective July 1, 2008, as permitted under U.S. GAAP, certain debt securities held by LFB, which were previously designated as “trading” securities, were re-designated as “available-for-sale” securities. As of December 31, 2010, there are no securities designated as “available-for-sale” or “held-to-maturity”.</w:t>
      </w:r>
    </w:p>
    <w:p>
      <w:pPr>
        <w:spacing w:after="0" w:line="108" w:lineRule="exact"/>
        <w:rPr>
          <w:sz w:val="20"/>
          <w:szCs w:val="20"/>
          <w:color w:val="auto"/>
        </w:rPr>
      </w:pPr>
    </w:p>
    <w:p>
      <w:pPr>
        <w:ind w:right="80" w:firstLine="457"/>
        <w:spacing w:after="0" w:line="280" w:lineRule="auto"/>
        <w:rPr>
          <w:sz w:val="20"/>
          <w:szCs w:val="20"/>
          <w:color w:val="auto"/>
        </w:rPr>
      </w:pPr>
      <w:r>
        <w:rPr>
          <w:rFonts w:ascii="Arial" w:cs="Arial" w:eastAsia="Arial" w:hAnsi="Arial"/>
          <w:sz w:val="17"/>
          <w:szCs w:val="17"/>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360"/>
          </w:cols>
          <w:pgMar w:left="240" w:top="448" w:right="29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Data relating to net investments at December 31, 2010 and 2009 is set forth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rPr>
              <w:t>December 31,</w:t>
            </w: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200"/>
              <w:spacing w:after="0" w:line="137" w:lineRule="exact"/>
              <w:rPr>
                <w:sz w:val="20"/>
                <w:szCs w:val="20"/>
                <w:color w:val="auto"/>
              </w:rPr>
            </w:pPr>
            <w:r>
              <w:rPr>
                <w:rFonts w:ascii="Arial" w:cs="Arial" w:eastAsia="Arial" w:hAnsi="Arial"/>
                <w:sz w:val="13"/>
                <w:szCs w:val="13"/>
                <w:b w:val="1"/>
                <w:bCs w:val="1"/>
                <w:color w:val="auto"/>
              </w:rPr>
              <w:t>2010</w:t>
            </w:r>
          </w:p>
        </w:tc>
        <w:tc>
          <w:tcPr>
            <w:tcW w:w="3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200"/>
              <w:spacing w:after="0" w:line="137" w:lineRule="exact"/>
              <w:rPr>
                <w:sz w:val="20"/>
                <w:szCs w:val="20"/>
                <w:color w:val="auto"/>
              </w:rPr>
            </w:pPr>
            <w:r>
              <w:rPr>
                <w:rFonts w:ascii="Arial" w:cs="Arial" w:eastAsia="Arial" w:hAnsi="Arial"/>
                <w:sz w:val="13"/>
                <w:szCs w:val="13"/>
                <w:b w:val="1"/>
                <w:bCs w:val="1"/>
                <w:color w:val="auto"/>
              </w:rPr>
              <w:t>2009</w:t>
            </w: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16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660" w:type="dxa"/>
            <w:vAlign w:val="bottom"/>
            <w:gridSpan w:val="3"/>
          </w:tcPr>
          <w:p>
            <w:pPr>
              <w:jc w:val="right"/>
              <w:ind w:right="20"/>
              <w:spacing w:after="0" w:line="124" w:lineRule="exact"/>
              <w:rPr>
                <w:sz w:val="20"/>
                <w:szCs w:val="20"/>
                <w:color w:val="auto"/>
              </w:rPr>
            </w:pPr>
            <w:r>
              <w:rPr>
                <w:rFonts w:ascii="Arial" w:cs="Arial" w:eastAsia="Arial" w:hAnsi="Arial"/>
                <w:sz w:val="13"/>
                <w:szCs w:val="13"/>
                <w:b w:val="1"/>
                <w:bCs w:val="1"/>
                <w:color w:val="auto"/>
                <w:w w:val="90"/>
              </w:rPr>
              <w:t>in millions)</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spacing w:after="0"/>
              <w:rPr>
                <w:sz w:val="13"/>
                <w:szCs w:val="13"/>
                <w:color w:val="auto"/>
              </w:rPr>
            </w:pPr>
          </w:p>
        </w:tc>
        <w:tc>
          <w:tcPr>
            <w:tcW w:w="32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Debt securities (a)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96</w:t>
            </w:r>
          </w:p>
        </w:tc>
        <w:tc>
          <w:tcPr>
            <w:tcW w:w="6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23%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461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0"/>
        </w:trPr>
        <w:tc>
          <w:tcPr>
            <w:tcW w:w="8140" w:type="dxa"/>
            <w:vAlign w:val="bottom"/>
            <w:gridSpan w:val="2"/>
          </w:tcPr>
          <w:p>
            <w:pPr>
              <w:spacing w:after="0"/>
              <w:rPr>
                <w:sz w:val="20"/>
                <w:szCs w:val="20"/>
                <w:color w:val="auto"/>
              </w:rPr>
            </w:pPr>
            <w:r>
              <w:rPr>
                <w:rFonts w:ascii="Arial" w:cs="Arial" w:eastAsia="Arial" w:hAnsi="Arial"/>
                <w:sz w:val="17"/>
                <w:szCs w:val="17"/>
                <w:color w:val="auto"/>
              </w:rPr>
              <w:t>Equity securities (net of $3 and $5 of securities sold, not yet purchased at December 31, 2010 and 2009,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40" w:type="dxa"/>
            <w:vAlign w:val="bottom"/>
            <w:gridSpan w:val="2"/>
          </w:tcPr>
          <w:p>
            <w:pPr>
              <w:ind w:left="220"/>
              <w:spacing w:after="0"/>
              <w:rPr>
                <w:sz w:val="20"/>
                <w:szCs w:val="20"/>
                <w:color w:val="auto"/>
              </w:rPr>
            </w:pPr>
            <w:r>
              <w:rPr>
                <w:rFonts w:ascii="Arial" w:cs="Arial" w:eastAsia="Arial" w:hAnsi="Arial"/>
                <w:sz w:val="17"/>
                <w:szCs w:val="17"/>
                <w:color w:val="auto"/>
              </w:rPr>
              <w:t>respectively) (b)</w:t>
            </w:r>
          </w:p>
        </w:tc>
        <w:tc>
          <w:tcPr>
            <w:tcW w:w="16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7"/>
                <w:szCs w:val="17"/>
                <w:color w:val="auto"/>
              </w:rPr>
              <w:t>86</w:t>
            </w:r>
          </w:p>
        </w:tc>
        <w:tc>
          <w:tcPr>
            <w:tcW w:w="640" w:type="dxa"/>
            <w:vAlign w:val="bottom"/>
            <w:gridSpan w:val="2"/>
          </w:tcPr>
          <w:p>
            <w:pPr>
              <w:jc w:val="right"/>
              <w:ind w:right="115"/>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7"/>
                <w:szCs w:val="17"/>
                <w:color w:val="auto"/>
              </w:rPr>
              <w:t>77</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1"/>
        </w:trPr>
        <w:tc>
          <w:tcPr>
            <w:tcW w:w="8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LAM alternative asset management funds (principally GP interests in LAM-managed hedge funds) (c)</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50</w:t>
            </w:r>
          </w:p>
        </w:tc>
        <w:tc>
          <w:tcPr>
            <w:tcW w:w="6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9"/>
        </w:trPr>
        <w:tc>
          <w:tcPr>
            <w:tcW w:w="8140" w:type="dxa"/>
            <w:vAlign w:val="bottom"/>
            <w:gridSpan w:val="2"/>
          </w:tcPr>
          <w:p>
            <w:pPr>
              <w:spacing w:after="0"/>
              <w:rPr>
                <w:sz w:val="20"/>
                <w:szCs w:val="20"/>
                <w:color w:val="auto"/>
              </w:rPr>
            </w:pPr>
            <w:r>
              <w:rPr>
                <w:rFonts w:ascii="Arial" w:cs="Arial" w:eastAsia="Arial" w:hAnsi="Arial"/>
                <w:sz w:val="17"/>
                <w:szCs w:val="17"/>
                <w:color w:val="auto"/>
              </w:rPr>
              <w:t>Private equity (d)</w:t>
            </w:r>
          </w:p>
        </w:tc>
        <w:tc>
          <w:tcPr>
            <w:tcW w:w="16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7"/>
                <w:szCs w:val="17"/>
                <w:color w:val="auto"/>
              </w:rPr>
              <w:t>96</w:t>
            </w:r>
          </w:p>
        </w:tc>
        <w:tc>
          <w:tcPr>
            <w:tcW w:w="640" w:type="dxa"/>
            <w:vAlign w:val="bottom"/>
            <w:gridSpan w:val="2"/>
          </w:tcPr>
          <w:p>
            <w:pPr>
              <w:jc w:val="right"/>
              <w:ind w:right="115"/>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7"/>
                <w:szCs w:val="17"/>
                <w:color w:val="auto"/>
              </w:rPr>
              <w:t>103</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9"/>
        </w:trPr>
        <w:tc>
          <w:tcPr>
            <w:tcW w:w="8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112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7"/>
                <w:szCs w:val="17"/>
                <w:color w:val="auto"/>
              </w:rPr>
              <w:t>Net investments</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14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415</w:t>
            </w:r>
          </w:p>
        </w:tc>
        <w:tc>
          <w:tcPr>
            <w:tcW w:w="480" w:type="dxa"/>
            <w:vAlign w:val="bottom"/>
          </w:tcPr>
          <w:p>
            <w:pPr>
              <w:spacing w:after="0"/>
              <w:rPr>
                <w:sz w:val="18"/>
                <w:szCs w:val="18"/>
                <w:color w:val="auto"/>
              </w:rPr>
            </w:pPr>
          </w:p>
        </w:tc>
        <w:tc>
          <w:tcPr>
            <w:tcW w:w="640" w:type="dxa"/>
            <w:vAlign w:val="bottom"/>
            <w:gridSpan w:val="2"/>
          </w:tcPr>
          <w:p>
            <w:pPr>
              <w:jc w:val="right"/>
              <w:ind w:right="115"/>
              <w:spacing w:after="0"/>
              <w:rPr>
                <w:sz w:val="20"/>
                <w:szCs w:val="20"/>
                <w:color w:val="auto"/>
              </w:rPr>
            </w:pPr>
            <w:r>
              <w:rPr>
                <w:rFonts w:ascii="Arial" w:cs="Arial" w:eastAsia="Arial" w:hAnsi="Arial"/>
                <w:sz w:val="17"/>
                <w:szCs w:val="17"/>
                <w:color w:val="auto"/>
              </w:rPr>
              <w:t>100%</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7"/>
                <w:szCs w:val="17"/>
                <w:color w:val="auto"/>
              </w:rPr>
              <w:t>803</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3,423</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5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3,148</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7"/>
                <w:szCs w:val="17"/>
                <w:color w:val="auto"/>
              </w:rPr>
              <w:t>Net investments, as a percentage of total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12%</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7"/>
                <w:szCs w:val="17"/>
                <w:color w:val="auto"/>
              </w:rPr>
              <w:t>26%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160" w:type="dxa"/>
            <w:vAlign w:val="bottom"/>
            <w:tcBorders>
              <w:bottom w:val="single" w:sz="8" w:color="auto"/>
            </w:tcBorders>
          </w:tcPr>
          <w:p>
            <w:pPr>
              <w:spacing w:after="0"/>
              <w:rPr>
                <w:sz w:val="8"/>
                <w:szCs w:val="8"/>
                <w:color w:val="auto"/>
              </w:rPr>
            </w:pPr>
          </w:p>
        </w:tc>
        <w:tc>
          <w:tcPr>
            <w:tcW w:w="6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right="300" w:hanging="456"/>
        <w:spacing w:after="0" w:line="280"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Debt securities primarily consist of securities issued by the U.S. Government and its agencies, and fixed income funds, all of which subject Lazard to market risk.</w:t>
      </w:r>
    </w:p>
    <w:p>
      <w:pPr>
        <w:spacing w:after="0" w:line="26" w:lineRule="exact"/>
        <w:rPr>
          <w:rFonts w:ascii="Arial" w:cs="Arial" w:eastAsia="Arial" w:hAnsi="Arial"/>
          <w:sz w:val="17"/>
          <w:szCs w:val="17"/>
          <w:color w:val="auto"/>
        </w:rPr>
      </w:pPr>
    </w:p>
    <w:p>
      <w:pPr>
        <w:ind w:left="460" w:right="40" w:hanging="456"/>
        <w:spacing w:after="0" w:line="294"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Company’s equity securities are primarily comprised of funds seeding products of our Asset Management segment. Hedging strategies are employed to reduce market risk, and, in turn, the volatility to earnings. Additional information regarding equity securities as of December 31, 2010 and 2009 is shown below:</w:t>
      </w:r>
    </w:p>
    <w:tbl>
      <w:tblPr>
        <w:tblLayout w:type="fixed"/>
        <w:tblInd w:w="0" w:type="dxa"/>
        <w:tblCellMar>
          <w:top w:w="0" w:type="dxa"/>
          <w:left w:w="0" w:type="dxa"/>
          <w:bottom w:w="0" w:type="dxa"/>
          <w:right w:w="0" w:type="dxa"/>
        </w:tblCellMar>
      </w:tblPr>
      <w:tr>
        <w:trPr>
          <w:trHeight w:val="147"/>
        </w:trPr>
        <w:tc>
          <w:tcPr>
            <w:tcW w:w="97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b w:val="1"/>
                <w:bCs w:val="1"/>
                <w:color w:val="auto"/>
                <w:w w:val="89"/>
              </w:rPr>
              <w:t>December 31,</w:t>
            </w:r>
          </w:p>
        </w:tc>
        <w:tc>
          <w:tcPr>
            <w:tcW w:w="3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780" w:type="dxa"/>
            <w:vAlign w:val="bottom"/>
          </w:tcPr>
          <w:p>
            <w:pPr>
              <w:spacing w:after="0"/>
              <w:rPr>
                <w:sz w:val="11"/>
                <w:szCs w:val="11"/>
                <w:color w:val="auto"/>
              </w:rPr>
            </w:pPr>
          </w:p>
        </w:tc>
        <w:tc>
          <w:tcPr>
            <w:tcW w:w="3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9"/>
              </w:rPr>
              <w:t>2010</w:t>
            </w:r>
          </w:p>
        </w:tc>
        <w:tc>
          <w:tcPr>
            <w:tcW w:w="820" w:type="dxa"/>
            <w:vAlign w:val="bottom"/>
          </w:tcPr>
          <w:p>
            <w:pPr>
              <w:spacing w:after="0"/>
              <w:rPr>
                <w:sz w:val="11"/>
                <w:szCs w:val="11"/>
                <w:color w:val="auto"/>
              </w:rPr>
            </w:pPr>
          </w:p>
        </w:tc>
        <w:tc>
          <w:tcPr>
            <w:tcW w:w="3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9"/>
              </w:rPr>
              <w:t>2009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978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Percentage invested in:</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780" w:type="dxa"/>
            <w:vAlign w:val="bottom"/>
          </w:tcPr>
          <w:p>
            <w:pPr>
              <w:ind w:left="1420"/>
              <w:spacing w:after="0"/>
              <w:rPr>
                <w:sz w:val="20"/>
                <w:szCs w:val="20"/>
                <w:color w:val="auto"/>
              </w:rPr>
            </w:pPr>
            <w:r>
              <w:rPr>
                <w:rFonts w:ascii="Arial" w:cs="Arial" w:eastAsia="Arial" w:hAnsi="Arial"/>
                <w:sz w:val="17"/>
                <w:szCs w:val="17"/>
                <w:color w:val="auto"/>
              </w:rPr>
              <w:t>Consumer</w:t>
            </w:r>
          </w:p>
        </w:tc>
        <w:tc>
          <w:tcPr>
            <w:tcW w:w="1140" w:type="dxa"/>
            <w:vAlign w:val="bottom"/>
            <w:gridSpan w:val="2"/>
          </w:tcPr>
          <w:p>
            <w:pPr>
              <w:jc w:val="right"/>
              <w:ind w:right="615"/>
              <w:spacing w:after="0"/>
              <w:rPr>
                <w:sz w:val="20"/>
                <w:szCs w:val="20"/>
                <w:color w:val="auto"/>
              </w:rPr>
            </w:pPr>
            <w:r>
              <w:rPr>
                <w:rFonts w:ascii="Arial" w:cs="Arial" w:eastAsia="Arial" w:hAnsi="Arial"/>
                <w:sz w:val="17"/>
                <w:szCs w:val="17"/>
                <w:color w:val="auto"/>
              </w:rPr>
              <w:t>28%</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9"/>
        </w:trPr>
        <w:tc>
          <w:tcPr>
            <w:tcW w:w="9780" w:type="dxa"/>
            <w:vAlign w:val="bottom"/>
            <w:shd w:val="clear" w:color="auto" w:fill="CCEEFF"/>
          </w:tcPr>
          <w:p>
            <w:pPr>
              <w:ind w:left="1420"/>
              <w:spacing w:after="0"/>
              <w:rPr>
                <w:sz w:val="20"/>
                <w:szCs w:val="20"/>
                <w:color w:val="auto"/>
              </w:rPr>
            </w:pPr>
            <w:r>
              <w:rPr>
                <w:rFonts w:ascii="Arial" w:cs="Arial" w:eastAsia="Arial" w:hAnsi="Arial"/>
                <w:sz w:val="17"/>
                <w:szCs w:val="17"/>
                <w:color w:val="auto"/>
              </w:rPr>
              <w:t>Financials</w:t>
            </w:r>
          </w:p>
        </w:tc>
        <w:tc>
          <w:tcPr>
            <w:tcW w:w="1140" w:type="dxa"/>
            <w:vAlign w:val="bottom"/>
            <w:gridSpan w:val="2"/>
            <w:shd w:val="clear" w:color="auto" w:fill="CCEEFF"/>
          </w:tcPr>
          <w:p>
            <w:pPr>
              <w:jc w:val="right"/>
              <w:ind w:right="615"/>
              <w:spacing w:after="0"/>
              <w:rPr>
                <w:sz w:val="20"/>
                <w:szCs w:val="20"/>
                <w:color w:val="auto"/>
              </w:rPr>
            </w:pPr>
            <w:r>
              <w:rPr>
                <w:rFonts w:ascii="Arial" w:cs="Arial" w:eastAsia="Arial" w:hAnsi="Arial"/>
                <w:sz w:val="17"/>
                <w:szCs w:val="17"/>
                <w:color w:val="auto"/>
              </w:rPr>
              <w:t>28%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9"/>
        </w:trPr>
        <w:tc>
          <w:tcPr>
            <w:tcW w:w="9780" w:type="dxa"/>
            <w:vAlign w:val="bottom"/>
          </w:tcPr>
          <w:p>
            <w:pPr>
              <w:ind w:left="1420"/>
              <w:spacing w:after="0"/>
              <w:rPr>
                <w:sz w:val="20"/>
                <w:szCs w:val="20"/>
                <w:color w:val="auto"/>
              </w:rPr>
            </w:pPr>
            <w:r>
              <w:rPr>
                <w:rFonts w:ascii="Arial" w:cs="Arial" w:eastAsia="Arial" w:hAnsi="Arial"/>
                <w:sz w:val="17"/>
                <w:szCs w:val="17"/>
                <w:color w:val="auto"/>
              </w:rPr>
              <w:t>Industrial</w:t>
            </w:r>
          </w:p>
        </w:tc>
        <w:tc>
          <w:tcPr>
            <w:tcW w:w="1140" w:type="dxa"/>
            <w:vAlign w:val="bottom"/>
            <w:gridSpan w:val="2"/>
          </w:tcPr>
          <w:p>
            <w:pPr>
              <w:jc w:val="right"/>
              <w:ind w:right="615"/>
              <w:spacing w:after="0"/>
              <w:rPr>
                <w:sz w:val="20"/>
                <w:szCs w:val="20"/>
                <w:color w:val="auto"/>
              </w:rPr>
            </w:pPr>
            <w:r>
              <w:rPr>
                <w:rFonts w:ascii="Arial" w:cs="Arial" w:eastAsia="Arial" w:hAnsi="Arial"/>
                <w:sz w:val="17"/>
                <w:szCs w:val="17"/>
                <w:color w:val="auto"/>
              </w:rPr>
              <w:t>9%</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9"/>
        </w:trPr>
        <w:tc>
          <w:tcPr>
            <w:tcW w:w="9780" w:type="dxa"/>
            <w:vAlign w:val="bottom"/>
            <w:shd w:val="clear" w:color="auto" w:fill="CCEEFF"/>
          </w:tcPr>
          <w:p>
            <w:pPr>
              <w:ind w:left="1420"/>
              <w:spacing w:after="0"/>
              <w:rPr>
                <w:sz w:val="20"/>
                <w:szCs w:val="20"/>
                <w:color w:val="auto"/>
              </w:rPr>
            </w:pPr>
            <w:r>
              <w:rPr>
                <w:rFonts w:ascii="Arial" w:cs="Arial" w:eastAsia="Arial" w:hAnsi="Arial"/>
                <w:sz w:val="17"/>
                <w:szCs w:val="17"/>
                <w:color w:val="auto"/>
              </w:rPr>
              <w:t>Other</w:t>
            </w:r>
          </w:p>
        </w:tc>
        <w:tc>
          <w:tcPr>
            <w:tcW w:w="1140" w:type="dxa"/>
            <w:vAlign w:val="bottom"/>
            <w:gridSpan w:val="2"/>
            <w:shd w:val="clear" w:color="auto" w:fill="CCEEFF"/>
          </w:tcPr>
          <w:p>
            <w:pPr>
              <w:jc w:val="right"/>
              <w:ind w:right="615"/>
              <w:spacing w:after="0"/>
              <w:rPr>
                <w:sz w:val="20"/>
                <w:szCs w:val="20"/>
                <w:color w:val="auto"/>
              </w:rPr>
            </w:pPr>
            <w:r>
              <w:rPr>
                <w:rFonts w:ascii="Arial" w:cs="Arial" w:eastAsia="Arial" w:hAnsi="Arial"/>
                <w:sz w:val="17"/>
                <w:szCs w:val="17"/>
                <w:color w:val="auto"/>
              </w:rPr>
              <w:t>35%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
        </w:trPr>
        <w:tc>
          <w:tcPr>
            <w:tcW w:w="9780" w:type="dxa"/>
            <w:vAlign w:val="bottom"/>
            <w:vMerge w:val="restart"/>
          </w:tcPr>
          <w:p>
            <w:pPr>
              <w:ind w:left="1840"/>
              <w:spacing w:after="0"/>
              <w:rPr>
                <w:sz w:val="20"/>
                <w:szCs w:val="20"/>
                <w:color w:val="auto"/>
              </w:rPr>
            </w:pPr>
            <w:r>
              <w:rPr>
                <w:rFonts w:ascii="Arial" w:cs="Arial" w:eastAsia="Arial" w:hAnsi="Arial"/>
                <w:sz w:val="17"/>
                <w:szCs w:val="17"/>
                <w:color w:val="auto"/>
              </w:rPr>
              <w:t>Total</w:t>
            </w:r>
          </w:p>
        </w:tc>
        <w:tc>
          <w:tcPr>
            <w:tcW w:w="3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780" w:type="dxa"/>
            <w:vAlign w:val="bottom"/>
            <w:vMerge w:val="continue"/>
          </w:tcPr>
          <w:p>
            <w:pPr>
              <w:spacing w:after="0"/>
              <w:rPr>
                <w:sz w:val="18"/>
                <w:szCs w:val="18"/>
                <w:color w:val="auto"/>
              </w:rPr>
            </w:pPr>
          </w:p>
        </w:tc>
        <w:tc>
          <w:tcPr>
            <w:tcW w:w="1140" w:type="dxa"/>
            <w:vAlign w:val="bottom"/>
            <w:gridSpan w:val="2"/>
          </w:tcPr>
          <w:p>
            <w:pPr>
              <w:jc w:val="right"/>
              <w:ind w:right="615"/>
              <w:spacing w:after="0"/>
              <w:rPr>
                <w:sz w:val="20"/>
                <w:szCs w:val="20"/>
                <w:color w:val="auto"/>
              </w:rPr>
            </w:pPr>
            <w:r>
              <w:rPr>
                <w:rFonts w:ascii="Arial" w:cs="Arial" w:eastAsia="Arial" w:hAnsi="Arial"/>
                <w:sz w:val="17"/>
                <w:szCs w:val="17"/>
                <w:color w:val="auto"/>
              </w:rPr>
              <w:t>100%</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100%</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60" w:right="120" w:hanging="456"/>
        <w:spacing w:after="0" w:line="280"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26" w:lineRule="exact"/>
        <w:rPr>
          <w:rFonts w:ascii="Arial" w:cs="Arial" w:eastAsia="Arial" w:hAnsi="Arial"/>
          <w:sz w:val="17"/>
          <w:szCs w:val="17"/>
          <w:color w:val="auto"/>
        </w:rPr>
      </w:pPr>
    </w:p>
    <w:p>
      <w:pPr>
        <w:ind w:left="460" w:right="440" w:hanging="456"/>
        <w:spacing w:after="0" w:line="260"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Comprised of investments in private equity funds and direct private equity interests that are generally not subject to short-term market fluctuation, but may subject Lazard to market or credit risk.</w:t>
      </w:r>
    </w:p>
    <w:p>
      <w:pPr>
        <w:ind w:left="460" w:right="420"/>
        <w:spacing w:after="0" w:line="256" w:lineRule="auto"/>
        <w:rPr>
          <w:rFonts w:ascii="Arial" w:cs="Arial" w:eastAsia="Arial" w:hAnsi="Arial"/>
          <w:sz w:val="17"/>
          <w:szCs w:val="17"/>
          <w:color w:val="auto"/>
        </w:rPr>
      </w:pPr>
      <w:r>
        <w:rPr>
          <w:rFonts w:ascii="Arial" w:cs="Arial" w:eastAsia="Arial" w:hAnsi="Arial"/>
          <w:sz w:val="17"/>
          <w:szCs w:val="17"/>
          <w:color w:val="auto"/>
        </w:rPr>
        <w:t>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and (iii) Senior Housing, which acquires companies and assets in senior housing, extended stay and shopping center sectors.</w:t>
      </w:r>
    </w:p>
    <w:p>
      <w:pPr>
        <w:ind w:left="460"/>
        <w:spacing w:after="0"/>
        <w:rPr>
          <w:rFonts w:ascii="Arial" w:cs="Arial" w:eastAsia="Arial" w:hAnsi="Arial"/>
          <w:sz w:val="17"/>
          <w:szCs w:val="17"/>
          <w:color w:val="auto"/>
        </w:rPr>
      </w:pPr>
      <w:r>
        <w:rPr>
          <w:rFonts w:ascii="Arial" w:cs="Arial" w:eastAsia="Arial" w:hAnsi="Arial"/>
          <w:sz w:val="17"/>
          <w:szCs w:val="17"/>
          <w:color w:val="auto"/>
        </w:rPr>
        <w:t>Private equity investments represent approximately 3% of total assets at both December 31, 2010 and 2009.</w:t>
      </w:r>
    </w:p>
    <w:p>
      <w:pPr>
        <w:spacing w:after="0" w:line="72" w:lineRule="exact"/>
        <w:rPr>
          <w:rFonts w:ascii="Arial" w:cs="Arial" w:eastAsia="Arial" w:hAnsi="Arial"/>
          <w:sz w:val="17"/>
          <w:szCs w:val="17"/>
          <w:color w:val="auto"/>
        </w:rPr>
      </w:pPr>
    </w:p>
    <w:p>
      <w:pPr>
        <w:ind w:left="460" w:right="60" w:hanging="456"/>
        <w:spacing w:after="0" w:line="26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investments (i) accounted for under the equity method of accounting and (ii) private equity and general partnership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115" w:lineRule="exact"/>
        <w:rPr>
          <w:sz w:val="20"/>
          <w:szCs w:val="20"/>
          <w:color w:val="auto"/>
        </w:rPr>
      </w:pPr>
    </w:p>
    <w:p>
      <w:pPr>
        <w:ind w:right="620" w:firstLine="457"/>
        <w:spacing w:after="0" w:line="280" w:lineRule="auto"/>
        <w:rPr>
          <w:sz w:val="20"/>
          <w:szCs w:val="20"/>
          <w:color w:val="auto"/>
        </w:rPr>
      </w:pPr>
      <w:r>
        <w:rPr>
          <w:rFonts w:ascii="Arial" w:cs="Arial" w:eastAsia="Arial" w:hAnsi="Arial"/>
          <w:sz w:val="17"/>
          <w:szCs w:val="17"/>
          <w:color w:val="auto"/>
        </w:rPr>
        <w:t>The decline in the aggregate investments at December 31, 2010 compared to December 31, 2009 of $388 million relates principally to the disposition of corporate debt securities and a substantial portion of our U.S government securities holdings in the fourth quarter of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8"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Lazard categorizes its investments and certain other assets and liabilities recorded at fair value into a three-level fair value hierarchy as follows:</w:t>
      </w:r>
    </w:p>
    <w:p>
      <w:pPr>
        <w:spacing w:after="0" w:line="79" w:lineRule="exact"/>
        <w:rPr>
          <w:sz w:val="20"/>
          <w:szCs w:val="20"/>
          <w:color w:val="auto"/>
        </w:rPr>
      </w:pPr>
    </w:p>
    <w:p>
      <w:pPr>
        <w:ind w:left="460" w:right="120" w:firstLine="438"/>
        <w:spacing w:after="0" w:line="280" w:lineRule="auto"/>
        <w:rPr>
          <w:sz w:val="20"/>
          <w:szCs w:val="20"/>
          <w:color w:val="auto"/>
        </w:rPr>
      </w:pPr>
      <w:r>
        <w:rPr>
          <w:rFonts w:ascii="Arial" w:cs="Arial" w:eastAsia="Arial" w:hAnsi="Arial"/>
          <w:sz w:val="17"/>
          <w:szCs w:val="17"/>
          <w:color w:val="auto"/>
        </w:rPr>
        <w:t>Level 1. Assets and liabilities whose values are based on unadjusted quoted prices for identical assets or liabilities in an active market that Lazard has the ability to access.</w:t>
      </w:r>
    </w:p>
    <w:p>
      <w:pPr>
        <w:spacing w:after="0" w:line="27" w:lineRule="exact"/>
        <w:rPr>
          <w:sz w:val="20"/>
          <w:szCs w:val="20"/>
          <w:color w:val="auto"/>
        </w:rPr>
      </w:pPr>
    </w:p>
    <w:p>
      <w:pPr>
        <w:jc w:val="both"/>
        <w:ind w:left="460" w:right="280" w:firstLine="438"/>
        <w:spacing w:after="0" w:line="268" w:lineRule="auto"/>
        <w:rPr>
          <w:sz w:val="20"/>
          <w:szCs w:val="20"/>
          <w:color w:val="auto"/>
        </w:rPr>
      </w:pPr>
      <w:r>
        <w:rPr>
          <w:rFonts w:ascii="Arial" w:cs="Arial" w:eastAsia="Arial" w:hAnsi="Arial"/>
          <w:sz w:val="17"/>
          <w:szCs w:val="17"/>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37" w:lineRule="exact"/>
        <w:rPr>
          <w:sz w:val="20"/>
          <w:szCs w:val="20"/>
          <w:color w:val="auto"/>
        </w:rPr>
      </w:pPr>
    </w:p>
    <w:p>
      <w:pPr>
        <w:ind w:left="460" w:firstLine="438"/>
        <w:spacing w:after="0" w:line="310"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8" w:lineRule="exact"/>
        <w:rPr>
          <w:sz w:val="20"/>
          <w:szCs w:val="20"/>
          <w:color w:val="auto"/>
        </w:rPr>
      </w:pPr>
    </w:p>
    <w:p>
      <w:pPr>
        <w:ind w:right="120" w:firstLine="457"/>
        <w:spacing w:after="0" w:line="292" w:lineRule="auto"/>
        <w:rPr>
          <w:sz w:val="20"/>
          <w:szCs w:val="20"/>
          <w:color w:val="auto"/>
        </w:rPr>
      </w:pPr>
      <w:r>
        <w:rPr>
          <w:rFonts w:ascii="Arial" w:cs="Arial" w:eastAsia="Arial" w:hAnsi="Arial"/>
          <w:sz w:val="16"/>
          <w:szCs w:val="16"/>
          <w:color w:val="auto"/>
        </w:rPr>
        <w:t>At December 31, 2010, the Company’s investments in U.S Government and agency debt securities as well as its corporate and other debt securities were considered Level 1 assets with the respective fair values based on unadjusted quoted prices in active markets. The Company’s investments in fixed income funds were considered Level 2 assets with its fair value primarily based on broker quotes as provided by external pricing services.</w:t>
      </w:r>
    </w:p>
    <w:p>
      <w:pPr>
        <w:spacing w:after="0" w:line="98" w:lineRule="exact"/>
        <w:rPr>
          <w:sz w:val="20"/>
          <w:szCs w:val="20"/>
          <w:color w:val="auto"/>
        </w:rPr>
      </w:pPr>
    </w:p>
    <w:p>
      <w:pPr>
        <w:ind w:right="120" w:firstLine="457"/>
        <w:spacing w:after="0" w:line="292" w:lineRule="auto"/>
        <w:rPr>
          <w:sz w:val="20"/>
          <w:szCs w:val="20"/>
          <w:color w:val="auto"/>
        </w:rPr>
      </w:pPr>
      <w:r>
        <w:rPr>
          <w:rFonts w:ascii="Arial" w:cs="Arial" w:eastAsia="Arial" w:hAnsi="Arial"/>
          <w:sz w:val="16"/>
          <w:szCs w:val="16"/>
          <w:color w:val="auto"/>
        </w:rPr>
        <w:t>At December 31, 2009, most of the Company’s investments in corporate and other debt securities were considered Level 2 assets with the respective fair values based on observable data, principally broker quotes as provided by external pricing services. The Company’s other debt securities, including U.S Government and agency debt securities, were considered Level 1 assets with the respective fair values based on unadjusted quoted prices in active markets.</w:t>
      </w:r>
    </w:p>
    <w:p>
      <w:pPr>
        <w:spacing w:after="0" w:line="98"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119" w:lineRule="exact"/>
        <w:rPr>
          <w:sz w:val="20"/>
          <w:szCs w:val="20"/>
          <w:color w:val="auto"/>
        </w:rPr>
      </w:pPr>
    </w:p>
    <w:p>
      <w:pPr>
        <w:ind w:right="420" w:firstLine="457"/>
        <w:spacing w:after="0" w:line="280" w:lineRule="auto"/>
        <w:rPr>
          <w:sz w:val="20"/>
          <w:szCs w:val="20"/>
          <w:color w:val="auto"/>
        </w:rPr>
      </w:pPr>
      <w:r>
        <w:rPr>
          <w:rFonts w:ascii="Arial" w:cs="Arial" w:eastAsia="Arial" w:hAnsi="Arial"/>
          <w:sz w:val="17"/>
          <w:szCs w:val="17"/>
          <w:color w:val="auto"/>
        </w:rPr>
        <w:t>The fair value of our interests in LAM alternative asset management funds is classified as Level 2 and is based on information provided by external pricing services.</w:t>
      </w:r>
    </w:p>
    <w:p>
      <w:pPr>
        <w:spacing w:after="0" w:line="105" w:lineRule="exact"/>
        <w:rPr>
          <w:sz w:val="20"/>
          <w:szCs w:val="20"/>
          <w:color w:val="auto"/>
        </w:rPr>
      </w:pPr>
    </w:p>
    <w:p>
      <w:pPr>
        <w:ind w:right="140" w:firstLine="457"/>
        <w:spacing w:after="0" w:line="280" w:lineRule="auto"/>
        <w:rPr>
          <w:sz w:val="20"/>
          <w:szCs w:val="20"/>
          <w:color w:val="auto"/>
        </w:rPr>
      </w:pPr>
      <w:r>
        <w:rPr>
          <w:rFonts w:ascii="Arial" w:cs="Arial" w:eastAsia="Arial" w:hAnsi="Arial"/>
          <w:sz w:val="17"/>
          <w:szCs w:val="17"/>
          <w:color w:val="auto"/>
        </w:rPr>
        <w:t>The fair value of our private equity investments is classified as Level 3 and is based on financial statements provided by fund managers, appraisals and internal valuations.</w:t>
      </w:r>
    </w:p>
    <w:p>
      <w:pPr>
        <w:spacing w:after="0" w:line="105" w:lineRule="exact"/>
        <w:rPr>
          <w:sz w:val="20"/>
          <w:szCs w:val="20"/>
          <w:color w:val="auto"/>
        </w:rPr>
      </w:pPr>
    </w:p>
    <w:p>
      <w:pPr>
        <w:ind w:right="60" w:firstLine="457"/>
        <w:spacing w:after="0" w:line="280" w:lineRule="auto"/>
        <w:rPr>
          <w:sz w:val="20"/>
          <w:szCs w:val="20"/>
          <w:color w:val="auto"/>
        </w:rPr>
      </w:pPr>
      <w:r>
        <w:rPr>
          <w:rFonts w:ascii="Arial" w:cs="Arial" w:eastAsia="Arial" w:hAnsi="Arial"/>
          <w:sz w:val="17"/>
          <w:szCs w:val="17"/>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05" w:lineRule="exact"/>
        <w:rPr>
          <w:sz w:val="20"/>
          <w:szCs w:val="20"/>
          <w:color w:val="auto"/>
        </w:rPr>
      </w:pPr>
    </w:p>
    <w:p>
      <w:pPr>
        <w:ind w:right="60" w:firstLine="457"/>
        <w:spacing w:after="0" w:line="280" w:lineRule="auto"/>
        <w:rPr>
          <w:sz w:val="20"/>
          <w:szCs w:val="20"/>
          <w:color w:val="auto"/>
        </w:rPr>
      </w:pPr>
      <w:r>
        <w:rPr>
          <w:rFonts w:ascii="Arial" w:cs="Arial" w:eastAsia="Arial" w:hAnsi="Arial"/>
          <w:sz w:val="17"/>
          <w:szCs w:val="17"/>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additional information regarding risks associated with our investments, see “Risk Management—Market and Credit Risks.”</w:t>
      </w:r>
    </w:p>
    <w:p>
      <w:pPr>
        <w:spacing w:after="0" w:line="157" w:lineRule="exact"/>
        <w:rPr>
          <w:sz w:val="20"/>
          <w:szCs w:val="20"/>
          <w:color w:val="auto"/>
        </w:rPr>
      </w:pPr>
    </w:p>
    <w:p>
      <w:pPr>
        <w:ind w:right="600" w:firstLine="457"/>
        <w:spacing w:after="0" w:line="280" w:lineRule="auto"/>
        <w:rPr>
          <w:sz w:val="20"/>
          <w:szCs w:val="20"/>
          <w:color w:val="auto"/>
        </w:rPr>
      </w:pPr>
      <w:r>
        <w:rPr>
          <w:rFonts w:ascii="Arial" w:cs="Arial" w:eastAsia="Arial" w:hAnsi="Arial"/>
          <w:sz w:val="17"/>
          <w:szCs w:val="17"/>
          <w:color w:val="auto"/>
        </w:rPr>
        <w:t>See Notes 5 and 6 of Notes to Consolidated Financial Statements for additional information regarding investments and certain other assets and liabilities measured at fair value, including the levels of fair value within which such measurements of fair value fall.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8"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Assets Under Management</w:t>
      </w:r>
    </w:p>
    <w:p>
      <w:pPr>
        <w:spacing w:after="0" w:line="79" w:lineRule="exact"/>
        <w:rPr>
          <w:sz w:val="20"/>
          <w:szCs w:val="20"/>
          <w:color w:val="auto"/>
        </w:rPr>
      </w:pPr>
    </w:p>
    <w:p>
      <w:pPr>
        <w:ind w:right="80" w:firstLine="457"/>
        <w:spacing w:after="0" w:line="268" w:lineRule="auto"/>
        <w:rPr>
          <w:sz w:val="20"/>
          <w:szCs w:val="20"/>
          <w:color w:val="auto"/>
        </w:rPr>
      </w:pPr>
      <w:r>
        <w:rPr>
          <w:rFonts w:ascii="Arial" w:cs="Arial" w:eastAsia="Arial" w:hAnsi="Arial"/>
          <w:sz w:val="17"/>
          <w:szCs w:val="17"/>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Goodwill</w:t>
      </w:r>
    </w:p>
    <w:p>
      <w:pPr>
        <w:spacing w:after="0" w:line="79"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11 of Notes to Consolidated Financial Statements for additional information regarding goodwill.</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Consolidation of VIEs</w:t>
      </w:r>
    </w:p>
    <w:p>
      <w:pPr>
        <w:spacing w:after="0" w:line="79" w:lineRule="exact"/>
        <w:rPr>
          <w:sz w:val="20"/>
          <w:szCs w:val="20"/>
          <w:color w:val="auto"/>
        </w:rPr>
      </w:pPr>
    </w:p>
    <w:p>
      <w:pPr>
        <w:ind w:right="180" w:firstLine="457"/>
        <w:spacing w:after="0" w:line="335" w:lineRule="auto"/>
        <w:rPr>
          <w:sz w:val="20"/>
          <w:szCs w:val="20"/>
          <w:color w:val="auto"/>
        </w:rPr>
      </w:pPr>
      <w:r>
        <w:rPr>
          <w:rFonts w:ascii="Arial" w:cs="Arial" w:eastAsia="Arial" w:hAnsi="Arial"/>
          <w:sz w:val="15"/>
          <w:szCs w:val="15"/>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1" w:lineRule="exact"/>
        <w:rPr>
          <w:sz w:val="20"/>
          <w:szCs w:val="20"/>
          <w:color w:val="auto"/>
        </w:rPr>
      </w:pPr>
    </w:p>
    <w:p>
      <w:pPr>
        <w:ind w:left="1240" w:right="180" w:hanging="440"/>
        <w:spacing w:after="0" w:line="264" w:lineRule="auto"/>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0" w:lineRule="exact"/>
        <w:rPr>
          <w:rFonts w:ascii="Arial" w:cs="Arial" w:eastAsia="Arial" w:hAnsi="Arial"/>
          <w:sz w:val="17"/>
          <w:szCs w:val="17"/>
          <w:color w:val="auto"/>
        </w:rPr>
      </w:pPr>
    </w:p>
    <w:p>
      <w:pPr>
        <w:ind w:left="1240" w:right="20" w:hanging="440"/>
        <w:spacing w:after="0" w:line="280" w:lineRule="auto"/>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105" w:lineRule="exact"/>
        <w:rPr>
          <w:sz w:val="20"/>
          <w:szCs w:val="20"/>
          <w:color w:val="auto"/>
        </w:rPr>
      </w:pPr>
    </w:p>
    <w:p>
      <w:pPr>
        <w:ind w:right="240" w:firstLine="457"/>
        <w:spacing w:after="0" w:line="264" w:lineRule="auto"/>
        <w:rPr>
          <w:sz w:val="20"/>
          <w:szCs w:val="20"/>
          <w:color w:val="auto"/>
        </w:rPr>
      </w:pPr>
      <w:r>
        <w:rPr>
          <w:rFonts w:ascii="Arial" w:cs="Arial" w:eastAsia="Arial" w:hAnsi="Arial"/>
          <w:sz w:val="17"/>
          <w:szCs w:val="17"/>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83"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Market and Credit Risks</w:t>
      </w:r>
    </w:p>
    <w:p>
      <w:pPr>
        <w:spacing w:after="0" w:line="79" w:lineRule="exact"/>
        <w:rPr>
          <w:sz w:val="20"/>
          <w:szCs w:val="20"/>
          <w:color w:val="auto"/>
        </w:rPr>
      </w:pPr>
    </w:p>
    <w:p>
      <w:pPr>
        <w:jc w:val="both"/>
        <w:ind w:right="120" w:firstLine="457"/>
        <w:spacing w:after="0" w:line="268" w:lineRule="auto"/>
        <w:rPr>
          <w:sz w:val="20"/>
          <w:szCs w:val="20"/>
          <w:color w:val="auto"/>
        </w:rPr>
      </w:pPr>
      <w:r>
        <w:rPr>
          <w:rFonts w:ascii="Arial" w:cs="Arial" w:eastAsia="Arial" w:hAnsi="Arial"/>
          <w:sz w:val="17"/>
          <w:szCs w:val="17"/>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“Critical Accounting Policies and Estimates— Investments” above.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00"/>
          </w:cols>
          <w:pgMar w:left="240" w:top="448" w:right="2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160" w:firstLine="457"/>
        <w:spacing w:after="0" w:line="280" w:lineRule="auto"/>
        <w:rPr>
          <w:sz w:val="20"/>
          <w:szCs w:val="20"/>
          <w:color w:val="auto"/>
        </w:rPr>
      </w:pPr>
      <w:r>
        <w:rPr>
          <w:rFonts w:ascii="Arial" w:cs="Arial" w:eastAsia="Arial" w:hAnsi="Arial"/>
          <w:sz w:val="17"/>
          <w:szCs w:val="17"/>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05" w:lineRule="exact"/>
        <w:rPr>
          <w:sz w:val="20"/>
          <w:szCs w:val="20"/>
          <w:color w:val="auto"/>
        </w:rPr>
      </w:pPr>
    </w:p>
    <w:p>
      <w:pPr>
        <w:ind w:right="360" w:firstLine="457"/>
        <w:spacing w:after="0" w:line="268" w:lineRule="auto"/>
        <w:rPr>
          <w:sz w:val="20"/>
          <w:szCs w:val="20"/>
          <w:color w:val="auto"/>
        </w:rPr>
      </w:pPr>
      <w:r>
        <w:rPr>
          <w:rFonts w:ascii="Arial" w:cs="Arial" w:eastAsia="Arial" w:hAnsi="Arial"/>
          <w:sz w:val="17"/>
          <w:szCs w:val="17"/>
          <w:color w:val="auto"/>
        </w:rPr>
        <w:t>At December 31, 2010 and 2009, derivative contracts related primarily to interest rate swaps, equity and foreign currency exchange rate contracts, and are recorded at fair value. Derivative assets amounted to $2 million and $1 million at December 31, 2010 and 2009, respectively, and derivative liabilities amounted to $3 million and $17 million at such respective dates.</w:t>
      </w:r>
    </w:p>
    <w:p>
      <w:pPr>
        <w:spacing w:after="0" w:line="115" w:lineRule="exact"/>
        <w:rPr>
          <w:sz w:val="20"/>
          <w:szCs w:val="20"/>
          <w:color w:val="auto"/>
        </w:rPr>
      </w:pPr>
    </w:p>
    <w:p>
      <w:pPr>
        <w:ind w:right="80" w:firstLine="457"/>
        <w:spacing w:after="0" w:line="320" w:lineRule="auto"/>
        <w:rPr>
          <w:sz w:val="20"/>
          <w:szCs w:val="20"/>
          <w:color w:val="auto"/>
        </w:rPr>
      </w:pPr>
      <w:r>
        <w:rPr>
          <w:rFonts w:ascii="Arial" w:cs="Arial" w:eastAsia="Arial" w:hAnsi="Arial"/>
          <w:sz w:val="15"/>
          <w:szCs w:val="15"/>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80"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The primary market risks associated with LFB’s foreign currency exchange hedging and lending activities are sensitivity to changes in the general level of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year ended December 31, 2010:</w:t>
      </w:r>
    </w:p>
    <w:p>
      <w:pPr>
        <w:spacing w:after="0" w:line="40" w:lineRule="exact"/>
        <w:rPr>
          <w:sz w:val="20"/>
          <w:szCs w:val="20"/>
          <w:color w:val="auto"/>
        </w:rPr>
      </w:pPr>
    </w:p>
    <w:p>
      <w:pPr>
        <w:ind w:left="780" w:hanging="319"/>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LFB’s interest rate risk as measured by a 100+/– basis point change in interest rates totaled $820 thousand.</w:t>
      </w:r>
    </w:p>
    <w:p>
      <w:pPr>
        <w:spacing w:after="0" w:line="104" w:lineRule="exact"/>
        <w:rPr>
          <w:rFonts w:ascii="Arial" w:cs="Arial" w:eastAsia="Arial" w:hAnsi="Arial"/>
          <w:sz w:val="17"/>
          <w:szCs w:val="17"/>
          <w:color w:val="auto"/>
        </w:rPr>
      </w:pPr>
    </w:p>
    <w:p>
      <w:pPr>
        <w:ind w:left="780" w:right="260" w:hanging="319"/>
        <w:spacing w:after="0" w:line="280" w:lineRule="auto"/>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Foreign currency risk associated with LFB’s open positions, in the aggregate, as measured by a 200+/– basis point change against the U.S. dollar, totaled approximately $23 thousand.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LFB fully secures its collateralized financing transactions with fixed income securities.</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Risks Related to Receivables</w:t>
      </w:r>
    </w:p>
    <w:p>
      <w:pPr>
        <w:spacing w:after="0" w:line="79"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December 31, 2010, total receivables amounted to $569 million, net of an allowance for doubtful accounts of $15 million. As of that date, financial advisory and asset management fees, customer and related party receivables comprised 85%, 11% and 4% of total receivables, respectively. At December 31, 2009, total receivables amounted to $526 million, net of an allowance for doubtful accounts of $12 million. As of that date, financial advisory and asset management fees, customer and related party receivables comprised 83%, 14% and 3% of total receivables, respectively. See also “Critical Accounting Policies and Estimates—Revenue Recognition” above and Note 4 of Notes to Consolidated Financial Statements for additional information regarding receivables.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Credit Concentration</w:t>
      </w:r>
    </w:p>
    <w:p>
      <w:pPr>
        <w:spacing w:after="0" w:line="79" w:lineRule="exact"/>
        <w:rPr>
          <w:sz w:val="20"/>
          <w:szCs w:val="20"/>
          <w:color w:val="auto"/>
        </w:rPr>
      </w:pPr>
    </w:p>
    <w:p>
      <w:pPr>
        <w:ind w:right="420" w:firstLine="457"/>
        <w:spacing w:after="0" w:line="268" w:lineRule="auto"/>
        <w:rPr>
          <w:sz w:val="20"/>
          <w:szCs w:val="20"/>
          <w:color w:val="auto"/>
        </w:rPr>
      </w:pPr>
      <w:r>
        <w:rPr>
          <w:rFonts w:ascii="Arial" w:cs="Arial" w:eastAsia="Arial" w:hAnsi="Arial"/>
          <w:sz w:val="17"/>
          <w:szCs w:val="17"/>
          <w:color w:val="auto"/>
        </w:rPr>
        <w:t>To reduce the exposure to concentrations of credit from banking activities within LFB, the Company has established limits for corporate counterparties and monitors the exposure against such limits. At December 31, 2010, excluding deposits with inter-bank counterparties, LFB had no exposure to an individual counterparty that exceeded $31 million, with such amount being fully collateralized.</w:t>
      </w:r>
    </w:p>
    <w:p>
      <w:pPr>
        <w:spacing w:after="0" w:line="115" w:lineRule="exact"/>
        <w:rPr>
          <w:sz w:val="20"/>
          <w:szCs w:val="20"/>
          <w:color w:val="auto"/>
        </w:rPr>
      </w:pPr>
    </w:p>
    <w:p>
      <w:pPr>
        <w:ind w:right="700" w:firstLine="457"/>
        <w:spacing w:after="0" w:line="313" w:lineRule="auto"/>
        <w:rPr>
          <w:sz w:val="20"/>
          <w:szCs w:val="20"/>
          <w:color w:val="auto"/>
        </w:rPr>
      </w:pPr>
      <w:r>
        <w:rPr>
          <w:rFonts w:ascii="Arial" w:cs="Arial" w:eastAsia="Arial" w:hAnsi="Arial"/>
          <w:sz w:val="16"/>
          <w:szCs w:val="16"/>
          <w:color w:val="auto"/>
        </w:rPr>
        <w:t>With respect to activities outside LFB, as of December 31, 2010, the Company’s largest individual counterparty exposure was a Financial Advisory fee receivable of $25 million related to our Private Fund Advisory Group, the terms of which require payment over a four year period.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448"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Risks Related to Short-Term Investments and Corporate Indebtedness</w:t>
      </w:r>
    </w:p>
    <w:p>
      <w:pPr>
        <w:spacing w:after="0" w:line="7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A significant portion of the Company’s liabilities has fixed interest rates, while its cash and short-term investments generally have floating interest rates. Based on account balances as of December 31, 2010, Lazard estimates that its annual operating income relating to cash and short-term investments and corporate indebtedness would increase by approximately $12 million in the event interest rates were to increase by 1% and decrease by approximately $3 million if rates were to decrease by 1%.</w:t>
      </w:r>
    </w:p>
    <w:p>
      <w:pPr>
        <w:spacing w:after="0" w:line="119" w:lineRule="exact"/>
        <w:rPr>
          <w:sz w:val="20"/>
          <w:szCs w:val="20"/>
          <w:color w:val="auto"/>
        </w:rPr>
      </w:pPr>
    </w:p>
    <w:p>
      <w:pPr>
        <w:ind w:right="200" w:firstLine="457"/>
        <w:spacing w:after="0" w:line="285" w:lineRule="auto"/>
        <w:rPr>
          <w:sz w:val="20"/>
          <w:szCs w:val="20"/>
          <w:color w:val="auto"/>
        </w:rPr>
      </w:pPr>
      <w:r>
        <w:rPr>
          <w:rFonts w:ascii="Arial" w:cs="Arial" w:eastAsia="Arial" w:hAnsi="Arial"/>
          <w:sz w:val="16"/>
          <w:szCs w:val="16"/>
          <w:color w:val="auto"/>
        </w:rPr>
        <w:t>As of December 31, 2010, the Company’s cash and cash equivalents totaled $1.2 billion. Substantially all of the Company’s cash and cash equivalents were invested in highly liquid institutional money market funds (a significant majority of which were invested solely in U.S. Government or agency securities)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Risks</w:t>
      </w:r>
    </w:p>
    <w:p>
      <w:pPr>
        <w:spacing w:after="0" w:line="83" w:lineRule="exact"/>
        <w:rPr>
          <w:sz w:val="20"/>
          <w:szCs w:val="20"/>
          <w:color w:val="auto"/>
        </w:rPr>
      </w:pPr>
    </w:p>
    <w:p>
      <w:pPr>
        <w:ind w:right="120" w:firstLine="457"/>
        <w:spacing w:after="0" w:line="302" w:lineRule="auto"/>
        <w:rPr>
          <w:sz w:val="20"/>
          <w:szCs w:val="20"/>
          <w:color w:val="auto"/>
        </w:rPr>
      </w:pPr>
      <w:r>
        <w:rPr>
          <w:rFonts w:ascii="Arial" w:cs="Arial" w:eastAsia="Arial" w:hAnsi="Arial"/>
          <w:sz w:val="15"/>
          <w:szCs w:val="15"/>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Developments</w:t>
      </w:r>
    </w:p>
    <w:p>
      <w:pPr>
        <w:spacing w:after="0" w:line="83" w:lineRule="exact"/>
        <w:rPr>
          <w:sz w:val="20"/>
          <w:szCs w:val="20"/>
          <w:color w:val="auto"/>
        </w:rPr>
      </w:pPr>
    </w:p>
    <w:p>
      <w:pPr>
        <w:ind w:right="80" w:firstLine="457"/>
        <w:spacing w:after="0" w:line="280" w:lineRule="auto"/>
        <w:rPr>
          <w:sz w:val="20"/>
          <w:szCs w:val="20"/>
          <w:color w:val="auto"/>
        </w:rPr>
      </w:pPr>
      <w:r>
        <w:rPr>
          <w:rFonts w:ascii="Arial" w:cs="Arial" w:eastAsia="Arial" w:hAnsi="Arial"/>
          <w:sz w:val="17"/>
          <w:szCs w:val="17"/>
          <w:color w:val="auto"/>
        </w:rPr>
        <w:t>For a discussion of recently issued accounting pronouncements and their impact or potential impact on Lazard’s consolidated financial statements, see Note 3 of Notes to Consolidated Financial Statements.</w:t>
      </w:r>
    </w:p>
    <w:p>
      <w:pPr>
        <w:spacing w:after="0" w:line="10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83" w:lineRule="exact"/>
        <w:rPr>
          <w:sz w:val="20"/>
          <w:szCs w:val="20"/>
          <w:color w:val="auto"/>
        </w:rPr>
      </w:pPr>
    </w:p>
    <w:p>
      <w:pPr>
        <w:ind w:right="260" w:firstLine="457"/>
        <w:spacing w:after="0" w:line="280" w:lineRule="auto"/>
        <w:rPr>
          <w:sz w:val="20"/>
          <w:szCs w:val="20"/>
          <w:color w:val="auto"/>
        </w:rPr>
      </w:pPr>
      <w:r>
        <w:rPr>
          <w:rFonts w:ascii="Arial" w:cs="Arial" w:eastAsia="Arial" w:hAnsi="Arial"/>
          <w:sz w:val="17"/>
          <w:szCs w:val="17"/>
          <w:color w:val="auto"/>
        </w:rPr>
        <w:t>Quantitative and qualitative disclosures about market risk are included under the caption “Management’s Discussion and Analysis of Financial Condition and Results of Operations—Risk Management.”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48"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60" w:type="dxa"/>
            <w:vAlign w:val="bottom"/>
            <w:gridSpan w:val="2"/>
          </w:tcPr>
          <w:p>
            <w:pPr>
              <w:spacing w:after="0"/>
              <w:rPr>
                <w:sz w:val="20"/>
                <w:szCs w:val="20"/>
                <w:color w:val="auto"/>
              </w:rPr>
            </w:pPr>
            <w:r>
              <w:rPr>
                <w:rFonts w:ascii="Arial" w:cs="Arial" w:eastAsia="Arial" w:hAnsi="Arial"/>
                <w:sz w:val="17"/>
                <w:szCs w:val="17"/>
                <w:b w:val="1"/>
                <w:bCs w:val="1"/>
                <w:color w:val="auto"/>
              </w:rPr>
              <w:t>Item 8.</w:t>
            </w:r>
          </w:p>
        </w:tc>
        <w:tc>
          <w:tcPr>
            <w:tcW w:w="10080" w:type="dxa"/>
            <w:vAlign w:val="bottom"/>
            <w:gridSpan w:val="15"/>
          </w:tcPr>
          <w:p>
            <w:pPr>
              <w:ind w:left="260"/>
              <w:spacing w:after="0"/>
              <w:rPr>
                <w:sz w:val="20"/>
                <w:szCs w:val="20"/>
                <w:color w:val="auto"/>
              </w:rPr>
            </w:pPr>
            <w:r>
              <w:rPr>
                <w:rFonts w:ascii="Arial" w:cs="Arial" w:eastAsia="Arial" w:hAnsi="Arial"/>
                <w:sz w:val="17"/>
                <w:szCs w:val="17"/>
                <w:b w:val="1"/>
                <w:bCs w:val="1"/>
                <w:color w:val="auto"/>
              </w:rPr>
              <w:t>Financial Statements and Supplementary Data</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2"/>
        </w:trPr>
        <w:tc>
          <w:tcPr>
            <w:tcW w:w="10840" w:type="dxa"/>
            <w:vAlign w:val="bottom"/>
            <w:gridSpan w:val="17"/>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500" w:type="dxa"/>
            <w:vAlign w:val="bottom"/>
            <w:gridSpan w:val="2"/>
          </w:tcPr>
          <w:p>
            <w:pPr>
              <w:ind w:left="100"/>
              <w:spacing w:after="0"/>
              <w:rPr>
                <w:sz w:val="20"/>
                <w:szCs w:val="20"/>
                <w:color w:val="auto"/>
              </w:rPr>
            </w:pPr>
            <w:r>
              <w:rPr>
                <w:rFonts w:ascii="Arial" w:cs="Arial" w:eastAsia="Arial" w:hAnsi="Arial"/>
                <w:sz w:val="13"/>
                <w:szCs w:val="13"/>
                <w:b w:val="1"/>
                <w:bCs w:val="1"/>
                <w:color w:val="auto"/>
              </w:rPr>
              <w:t>Page</w:t>
            </w:r>
          </w:p>
        </w:tc>
      </w:tr>
      <w:tr>
        <w:trPr>
          <w:trHeight w:val="163"/>
        </w:trPr>
        <w:tc>
          <w:tcPr>
            <w:tcW w:w="420" w:type="dxa"/>
            <w:vAlign w:val="bottom"/>
          </w:tcPr>
          <w:p>
            <w:pPr>
              <w:spacing w:after="0"/>
              <w:rPr>
                <w:sz w:val="14"/>
                <w:szCs w:val="14"/>
                <w:color w:val="auto"/>
              </w:rPr>
            </w:pPr>
          </w:p>
        </w:tc>
        <w:tc>
          <w:tcPr>
            <w:tcW w:w="10420" w:type="dxa"/>
            <w:vAlign w:val="bottom"/>
            <w:gridSpan w:val="16"/>
          </w:tcPr>
          <w:p>
            <w:pPr>
              <w:spacing w:after="0" w:line="163" w:lineRule="exact"/>
              <w:rPr>
                <w:rFonts w:ascii="Arial" w:cs="Arial" w:eastAsia="Arial" w:hAnsi="Arial"/>
                <w:sz w:val="17"/>
                <w:szCs w:val="17"/>
                <w:color w:val="0000EE"/>
              </w:rPr>
            </w:pPr>
            <w:hyperlink w:anchor="page74">
              <w:r>
                <w:rPr>
                  <w:rFonts w:ascii="Arial" w:cs="Arial" w:eastAsia="Arial" w:hAnsi="Arial"/>
                  <w:sz w:val="17"/>
                  <w:szCs w:val="17"/>
                  <w:color w:val="0000EE"/>
                </w:rPr>
                <w:t>Management’s Report On Internal Control Over Financial Reporting</w:t>
              </w:r>
            </w:hyperlink>
          </w:p>
        </w:tc>
        <w:tc>
          <w:tcPr>
            <w:tcW w:w="4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72</w:t>
            </w:r>
          </w:p>
        </w:tc>
        <w:tc>
          <w:tcPr>
            <w:tcW w:w="20" w:type="dxa"/>
            <w:vAlign w:val="bottom"/>
          </w:tcPr>
          <w:p>
            <w:pPr>
              <w:spacing w:after="0"/>
              <w:rPr>
                <w:sz w:val="14"/>
                <w:szCs w:val="14"/>
                <w:color w:val="auto"/>
              </w:rPr>
            </w:pPr>
          </w:p>
        </w:tc>
      </w:tr>
      <w:tr>
        <w:trPr>
          <w:trHeight w:val="293"/>
        </w:trPr>
        <w:tc>
          <w:tcPr>
            <w:tcW w:w="420" w:type="dxa"/>
            <w:vAlign w:val="bottom"/>
          </w:tcPr>
          <w:p>
            <w:pPr>
              <w:spacing w:after="0"/>
              <w:rPr>
                <w:sz w:val="24"/>
                <w:szCs w:val="24"/>
                <w:color w:val="auto"/>
              </w:rPr>
            </w:pPr>
          </w:p>
        </w:tc>
        <w:tc>
          <w:tcPr>
            <w:tcW w:w="4660" w:type="dxa"/>
            <w:vAlign w:val="bottom"/>
            <w:tcBorders>
              <w:top w:val="single" w:sz="8" w:color="0000EE"/>
            </w:tcBorders>
            <w:gridSpan w:val="7"/>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Reports of Independent Registered Public Accounting Firm</w:t>
              </w:r>
            </w:hyperlink>
          </w:p>
        </w:tc>
        <w:tc>
          <w:tcPr>
            <w:tcW w:w="5760" w:type="dxa"/>
            <w:vAlign w:val="bottom"/>
            <w:gridSpan w:val="9"/>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73-74</w:t>
            </w:r>
          </w:p>
        </w:tc>
      </w:tr>
      <w:tr>
        <w:trPr>
          <w:trHeight w:val="20"/>
        </w:trPr>
        <w:tc>
          <w:tcPr>
            <w:tcW w:w="4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93"/>
        </w:trPr>
        <w:tc>
          <w:tcPr>
            <w:tcW w:w="420" w:type="dxa"/>
            <w:vAlign w:val="bottom"/>
          </w:tcPr>
          <w:p>
            <w:pPr>
              <w:spacing w:after="0"/>
              <w:rPr>
                <w:sz w:val="24"/>
                <w:szCs w:val="24"/>
                <w:color w:val="auto"/>
              </w:rPr>
            </w:pPr>
          </w:p>
        </w:tc>
        <w:tc>
          <w:tcPr>
            <w:tcW w:w="5680" w:type="dxa"/>
            <w:vAlign w:val="bottom"/>
            <w:tcBorders>
              <w:bottom w:val="single" w:sz="8" w:color="0000EE"/>
            </w:tcBorders>
            <w:gridSpan w:val="9"/>
          </w:tcPr>
          <w:p>
            <w:pPr>
              <w:spacing w:after="0"/>
              <w:rPr>
                <w:rFonts w:ascii="Arial" w:cs="Arial" w:eastAsia="Arial" w:hAnsi="Arial"/>
                <w:sz w:val="17"/>
                <w:szCs w:val="17"/>
                <w:color w:val="0000EE"/>
                <w:w w:val="89"/>
              </w:rPr>
            </w:pPr>
            <w:hyperlink w:anchor="page77">
              <w:r>
                <w:rPr>
                  <w:rFonts w:ascii="Arial" w:cs="Arial" w:eastAsia="Arial" w:hAnsi="Arial"/>
                  <w:sz w:val="17"/>
                  <w:szCs w:val="17"/>
                  <w:color w:val="0000EE"/>
                  <w:w w:val="89"/>
                </w:rPr>
                <w:t>Consolidated Statements of Financial Condition as of December 31, 2010 and 2009</w:t>
              </w:r>
            </w:hyperlink>
          </w:p>
        </w:tc>
        <w:tc>
          <w:tcPr>
            <w:tcW w:w="4740" w:type="dxa"/>
            <w:vAlign w:val="bottom"/>
            <w:gridSpan w:val="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75</w:t>
            </w:r>
          </w:p>
        </w:tc>
      </w:tr>
      <w:tr>
        <w:trPr>
          <w:trHeight w:val="293"/>
        </w:trPr>
        <w:tc>
          <w:tcPr>
            <w:tcW w:w="42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Consolidated Statements of Operations for the years ended December 31, 2010, 2009 and 2008</w:t>
              </w:r>
            </w:hyperlink>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77</w:t>
            </w:r>
          </w:p>
        </w:tc>
      </w:tr>
      <w:tr>
        <w:trPr>
          <w:trHeight w:val="20"/>
        </w:trPr>
        <w:tc>
          <w:tcPr>
            <w:tcW w:w="4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93"/>
        </w:trPr>
        <w:tc>
          <w:tcPr>
            <w:tcW w:w="420" w:type="dxa"/>
            <w:vAlign w:val="bottom"/>
          </w:tcPr>
          <w:p>
            <w:pPr>
              <w:spacing w:after="0"/>
              <w:rPr>
                <w:sz w:val="24"/>
                <w:szCs w:val="24"/>
                <w:color w:val="auto"/>
              </w:rPr>
            </w:pPr>
          </w:p>
        </w:tc>
        <w:tc>
          <w:tcPr>
            <w:tcW w:w="6520" w:type="dxa"/>
            <w:vAlign w:val="bottom"/>
            <w:tcBorders>
              <w:bottom w:val="single" w:sz="8" w:color="0000EE"/>
            </w:tcBorders>
            <w:gridSpan w:val="13"/>
          </w:tcPr>
          <w:p>
            <w:pPr>
              <w:spacing w:after="0"/>
              <w:rPr>
                <w:rFonts w:ascii="Arial" w:cs="Arial" w:eastAsia="Arial" w:hAnsi="Arial"/>
                <w:sz w:val="17"/>
                <w:szCs w:val="17"/>
                <w:color w:val="0000EE"/>
                <w:w w:val="88"/>
              </w:rPr>
            </w:pPr>
            <w:hyperlink w:anchor="page80">
              <w:r>
                <w:rPr>
                  <w:rFonts w:ascii="Arial" w:cs="Arial" w:eastAsia="Arial" w:hAnsi="Arial"/>
                  <w:sz w:val="17"/>
                  <w:szCs w:val="17"/>
                  <w:color w:val="0000EE"/>
                  <w:w w:val="88"/>
                </w:rPr>
                <w:t>Consolidated Statements of Cash Flows for the years ended December 31, 2010, 2009 and 2008</w:t>
              </w:r>
            </w:hyperlink>
          </w:p>
        </w:tc>
        <w:tc>
          <w:tcPr>
            <w:tcW w:w="3900" w:type="dxa"/>
            <w:vAlign w:val="bottom"/>
            <w:gridSpan w:val="3"/>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78</w:t>
            </w:r>
          </w:p>
        </w:tc>
      </w:tr>
      <w:tr>
        <w:trPr>
          <w:trHeight w:val="293"/>
        </w:trPr>
        <w:tc>
          <w:tcPr>
            <w:tcW w:w="420" w:type="dxa"/>
            <w:vAlign w:val="bottom"/>
          </w:tcPr>
          <w:p>
            <w:pPr>
              <w:spacing w:after="0"/>
              <w:rPr>
                <w:sz w:val="24"/>
                <w:szCs w:val="24"/>
                <w:color w:val="auto"/>
              </w:rPr>
            </w:pPr>
          </w:p>
        </w:tc>
        <w:tc>
          <w:tcPr>
            <w:tcW w:w="8000" w:type="dxa"/>
            <w:vAlign w:val="bottom"/>
            <w:tcBorders>
              <w:bottom w:val="single" w:sz="8" w:color="0000EE"/>
            </w:tcBorders>
            <w:gridSpan w:val="15"/>
          </w:tcPr>
          <w:p>
            <w:pPr>
              <w:spacing w:after="0"/>
              <w:rPr>
                <w:rFonts w:ascii="Arial" w:cs="Arial" w:eastAsia="Arial" w:hAnsi="Arial"/>
                <w:sz w:val="17"/>
                <w:szCs w:val="17"/>
                <w:color w:val="0000EE"/>
                <w:w w:val="90"/>
              </w:rPr>
            </w:pPr>
            <w:hyperlink w:anchor="page81">
              <w:r>
                <w:rPr>
                  <w:rFonts w:ascii="Arial" w:cs="Arial" w:eastAsia="Arial" w:hAnsi="Arial"/>
                  <w:sz w:val="17"/>
                  <w:szCs w:val="17"/>
                  <w:color w:val="0000EE"/>
                  <w:w w:val="90"/>
                </w:rPr>
                <w:t>Consolidated Statements of Changes in Stockholders’ Equity for the years ended December 31, 2010, 2009 and 2008</w:t>
              </w:r>
            </w:hyperlink>
          </w:p>
        </w:tc>
        <w:tc>
          <w:tcPr>
            <w:tcW w:w="24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r>
      <w:tr>
        <w:trPr>
          <w:trHeight w:val="293"/>
        </w:trPr>
        <w:tc>
          <w:tcPr>
            <w:tcW w:w="420" w:type="dxa"/>
            <w:vAlign w:val="bottom"/>
          </w:tcPr>
          <w:p>
            <w:pPr>
              <w:spacing w:after="0"/>
              <w:rPr>
                <w:sz w:val="24"/>
                <w:szCs w:val="24"/>
                <w:color w:val="auto"/>
              </w:rPr>
            </w:pPr>
          </w:p>
        </w:tc>
        <w:tc>
          <w:tcPr>
            <w:tcW w:w="2980" w:type="dxa"/>
            <w:vAlign w:val="bottom"/>
            <w:tcBorders>
              <w:bottom w:val="single" w:sz="8" w:color="0000EE"/>
            </w:tcBorders>
            <w:gridSpan w:val="5"/>
          </w:tcPr>
          <w:p>
            <w:pPr>
              <w:spacing w:after="0"/>
              <w:rPr>
                <w:rFonts w:ascii="Arial" w:cs="Arial" w:eastAsia="Arial" w:hAnsi="Arial"/>
                <w:sz w:val="17"/>
                <w:szCs w:val="17"/>
                <w:color w:val="0000EE"/>
                <w:w w:val="89"/>
              </w:rPr>
            </w:pPr>
            <w:hyperlink w:anchor="page84">
              <w:r>
                <w:rPr>
                  <w:rFonts w:ascii="Arial" w:cs="Arial" w:eastAsia="Arial" w:hAnsi="Arial"/>
                  <w:sz w:val="17"/>
                  <w:szCs w:val="17"/>
                  <w:color w:val="0000EE"/>
                  <w:w w:val="89"/>
                </w:rPr>
                <w:t>Notes to Consolidated Financial Statements</w:t>
              </w:r>
            </w:hyperlink>
          </w:p>
        </w:tc>
        <w:tc>
          <w:tcPr>
            <w:tcW w:w="7440" w:type="dxa"/>
            <w:vAlign w:val="bottom"/>
            <w:gridSpan w:val="11"/>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82</w:t>
            </w:r>
          </w:p>
        </w:tc>
      </w:tr>
      <w:tr>
        <w:trPr>
          <w:trHeight w:val="254"/>
        </w:trPr>
        <w:tc>
          <w:tcPr>
            <w:tcW w:w="2660" w:type="dxa"/>
            <w:vAlign w:val="bottom"/>
            <w:tcBorders>
              <w:bottom w:val="single" w:sz="8" w:color="0000EE"/>
            </w:tcBorders>
            <w:gridSpan w:val="4"/>
          </w:tcPr>
          <w:p>
            <w:pPr>
              <w:spacing w:after="0"/>
              <w:rPr>
                <w:rFonts w:ascii="Arial" w:cs="Arial" w:eastAsia="Arial" w:hAnsi="Arial"/>
                <w:sz w:val="17"/>
                <w:szCs w:val="17"/>
                <w:b w:val="1"/>
                <w:bCs w:val="1"/>
                <w:color w:val="0000EE"/>
                <w:w w:val="91"/>
              </w:rPr>
            </w:pPr>
            <w:hyperlink w:anchor="page136">
              <w:r>
                <w:rPr>
                  <w:rFonts w:ascii="Arial" w:cs="Arial" w:eastAsia="Arial" w:hAnsi="Arial"/>
                  <w:sz w:val="17"/>
                  <w:szCs w:val="17"/>
                  <w:b w:val="1"/>
                  <w:bCs w:val="1"/>
                  <w:color w:val="0000EE"/>
                  <w:w w:val="91"/>
                </w:rPr>
                <w:t>Supplemental Financial Information</w:t>
              </w:r>
            </w:hyperlink>
          </w:p>
        </w:tc>
        <w:tc>
          <w:tcPr>
            <w:tcW w:w="8180" w:type="dxa"/>
            <w:vAlign w:val="bottom"/>
            <w:gridSpan w:val="13"/>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3"/>
        </w:trPr>
        <w:tc>
          <w:tcPr>
            <w:tcW w:w="420" w:type="dxa"/>
            <w:vAlign w:val="bottom"/>
          </w:tcPr>
          <w:p>
            <w:pPr>
              <w:spacing w:after="0"/>
              <w:rPr>
                <w:sz w:val="24"/>
                <w:szCs w:val="24"/>
                <w:color w:val="auto"/>
              </w:rPr>
            </w:pPr>
          </w:p>
        </w:tc>
        <w:tc>
          <w:tcPr>
            <w:tcW w:w="120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136">
              <w:r>
                <w:rPr>
                  <w:rFonts w:ascii="Arial" w:cs="Arial" w:eastAsia="Arial" w:hAnsi="Arial"/>
                  <w:sz w:val="17"/>
                  <w:szCs w:val="17"/>
                  <w:color w:val="0000EE"/>
                  <w:w w:val="89"/>
                </w:rPr>
                <w:t>Quarterly Results</w:t>
              </w:r>
            </w:hyperlink>
          </w:p>
        </w:tc>
        <w:tc>
          <w:tcPr>
            <w:tcW w:w="9220" w:type="dxa"/>
            <w:vAlign w:val="bottom"/>
            <w:gridSpan w:val="1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134</w:t>
            </w:r>
          </w:p>
        </w:tc>
      </w:tr>
      <w:tr>
        <w:trPr>
          <w:trHeight w:val="291"/>
        </w:trPr>
        <w:tc>
          <w:tcPr>
            <w:tcW w:w="10840" w:type="dxa"/>
            <w:vAlign w:val="bottom"/>
            <w:gridSpan w:val="17"/>
          </w:tcPr>
          <w:p>
            <w:pPr>
              <w:spacing w:after="0"/>
              <w:rPr>
                <w:sz w:val="20"/>
                <w:szCs w:val="20"/>
                <w:color w:val="auto"/>
              </w:rPr>
            </w:pPr>
            <w:r>
              <w:rPr>
                <w:rFonts w:ascii="Arial" w:cs="Arial" w:eastAsia="Arial" w:hAnsi="Arial"/>
                <w:sz w:val="17"/>
                <w:szCs w:val="17"/>
                <w:b w:val="1"/>
                <w:bCs w:val="1"/>
                <w:color w:val="auto"/>
              </w:rPr>
              <w:t>Financial Statement Schedule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4"/>
        </w:trPr>
        <w:tc>
          <w:tcPr>
            <w:tcW w:w="10840" w:type="dxa"/>
            <w:vAlign w:val="bottom"/>
            <w:gridSpan w:val="17"/>
          </w:tcPr>
          <w:p>
            <w:pPr>
              <w:spacing w:after="0"/>
              <w:rPr>
                <w:sz w:val="20"/>
                <w:szCs w:val="20"/>
                <w:color w:val="auto"/>
              </w:rPr>
            </w:pPr>
            <w:r>
              <w:rPr>
                <w:rFonts w:ascii="Arial" w:cs="Arial" w:eastAsia="Arial" w:hAnsi="Arial"/>
                <w:sz w:val="17"/>
                <w:szCs w:val="17"/>
                <w:color w:val="auto"/>
              </w:rPr>
              <w:t>Schedule I—Condensed Financial Information of Registrant (Parent Company Only)</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6"/>
        </w:trPr>
        <w:tc>
          <w:tcPr>
            <w:tcW w:w="420" w:type="dxa"/>
            <w:vAlign w:val="bottom"/>
          </w:tcPr>
          <w:p>
            <w:pPr>
              <w:spacing w:after="0"/>
              <w:rPr>
                <w:sz w:val="24"/>
                <w:szCs w:val="24"/>
                <w:color w:val="auto"/>
              </w:rPr>
            </w:pPr>
          </w:p>
        </w:tc>
        <w:tc>
          <w:tcPr>
            <w:tcW w:w="554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147">
              <w:r>
                <w:rPr>
                  <w:rFonts w:ascii="Arial" w:cs="Arial" w:eastAsia="Arial" w:hAnsi="Arial"/>
                  <w:sz w:val="17"/>
                  <w:szCs w:val="17"/>
                  <w:color w:val="0000EE"/>
                  <w:w w:val="89"/>
                </w:rPr>
                <w:t>Condensed Statements of Financial Condition as of December 31, 2010 and 2009</w:t>
              </w:r>
            </w:hyperlink>
          </w:p>
        </w:tc>
        <w:tc>
          <w:tcPr>
            <w:tcW w:w="4880" w:type="dxa"/>
            <w:vAlign w:val="bottom"/>
            <w:gridSpan w:val="8"/>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7"/>
                <w:szCs w:val="17"/>
                <w:color w:val="auto"/>
                <w:w w:val="93"/>
              </w:rPr>
              <w:t>F-2</w:t>
            </w:r>
          </w:p>
        </w:tc>
      </w:tr>
      <w:tr>
        <w:trPr>
          <w:trHeight w:val="293"/>
        </w:trPr>
        <w:tc>
          <w:tcPr>
            <w:tcW w:w="42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17"/>
                <w:szCs w:val="17"/>
                <w:color w:val="0000EE"/>
              </w:rPr>
            </w:pPr>
            <w:hyperlink w:anchor="page148">
              <w:r>
                <w:rPr>
                  <w:rFonts w:ascii="Arial" w:cs="Arial" w:eastAsia="Arial" w:hAnsi="Arial"/>
                  <w:sz w:val="17"/>
                  <w:szCs w:val="17"/>
                  <w:color w:val="0000EE"/>
                </w:rPr>
                <w:t>Condensed Statements of Operations for the years ended December 31, 2010, 2009 and 2008</w:t>
              </w:r>
            </w:hyperlink>
          </w:p>
        </w:tc>
        <w:tc>
          <w:tcPr>
            <w:tcW w:w="500" w:type="dxa"/>
            <w:vAlign w:val="bottom"/>
            <w:gridSpan w:val="2"/>
          </w:tcPr>
          <w:p>
            <w:pPr>
              <w:ind w:left="240"/>
              <w:spacing w:after="0"/>
              <w:rPr>
                <w:sz w:val="20"/>
                <w:szCs w:val="20"/>
                <w:color w:val="auto"/>
              </w:rPr>
            </w:pPr>
            <w:r>
              <w:rPr>
                <w:rFonts w:ascii="Arial" w:cs="Arial" w:eastAsia="Arial" w:hAnsi="Arial"/>
                <w:sz w:val="17"/>
                <w:szCs w:val="17"/>
                <w:color w:val="auto"/>
                <w:w w:val="93"/>
              </w:rPr>
              <w:t>F-3</w:t>
            </w:r>
          </w:p>
        </w:tc>
      </w:tr>
      <w:tr>
        <w:trPr>
          <w:trHeight w:val="20"/>
        </w:trPr>
        <w:tc>
          <w:tcPr>
            <w:tcW w:w="420" w:type="dxa"/>
            <w:vAlign w:val="bottom"/>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35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93"/>
        </w:trPr>
        <w:tc>
          <w:tcPr>
            <w:tcW w:w="420" w:type="dxa"/>
            <w:vAlign w:val="bottom"/>
          </w:tcPr>
          <w:p>
            <w:pPr>
              <w:spacing w:after="0"/>
              <w:rPr>
                <w:sz w:val="24"/>
                <w:szCs w:val="24"/>
                <w:color w:val="auto"/>
              </w:rPr>
            </w:pPr>
          </w:p>
        </w:tc>
        <w:tc>
          <w:tcPr>
            <w:tcW w:w="6380" w:type="dxa"/>
            <w:vAlign w:val="bottom"/>
            <w:tcBorders>
              <w:bottom w:val="single" w:sz="8" w:color="0000EE"/>
            </w:tcBorders>
            <w:gridSpan w:val="11"/>
          </w:tcPr>
          <w:p>
            <w:pPr>
              <w:spacing w:after="0"/>
              <w:rPr>
                <w:rFonts w:ascii="Arial" w:cs="Arial" w:eastAsia="Arial" w:hAnsi="Arial"/>
                <w:sz w:val="17"/>
                <w:szCs w:val="17"/>
                <w:color w:val="0000EE"/>
                <w:w w:val="88"/>
              </w:rPr>
            </w:pPr>
            <w:hyperlink w:anchor="page149">
              <w:r>
                <w:rPr>
                  <w:rFonts w:ascii="Arial" w:cs="Arial" w:eastAsia="Arial" w:hAnsi="Arial"/>
                  <w:sz w:val="17"/>
                  <w:szCs w:val="17"/>
                  <w:color w:val="0000EE"/>
                  <w:w w:val="88"/>
                </w:rPr>
                <w:t>Condensed Statements of Cash Flows for the years ended December 31, 2010, 2009 and 2008</w:t>
              </w:r>
            </w:hyperlink>
          </w:p>
        </w:tc>
        <w:tc>
          <w:tcPr>
            <w:tcW w:w="4040" w:type="dxa"/>
            <w:vAlign w:val="bottom"/>
            <w:gridSpan w:val="5"/>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7"/>
                <w:szCs w:val="17"/>
                <w:color w:val="auto"/>
                <w:w w:val="93"/>
              </w:rPr>
              <w:t>F-4</w:t>
            </w:r>
          </w:p>
        </w:tc>
      </w:tr>
      <w:tr>
        <w:trPr>
          <w:trHeight w:val="293"/>
        </w:trPr>
        <w:tc>
          <w:tcPr>
            <w:tcW w:w="42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Arial" w:cs="Arial" w:eastAsia="Arial" w:hAnsi="Arial"/>
                <w:sz w:val="17"/>
                <w:szCs w:val="17"/>
                <w:color w:val="0000EE"/>
                <w:w w:val="89"/>
              </w:rPr>
            </w:pPr>
            <w:hyperlink w:anchor="page150">
              <w:r>
                <w:rPr>
                  <w:rFonts w:ascii="Arial" w:cs="Arial" w:eastAsia="Arial" w:hAnsi="Arial"/>
                  <w:sz w:val="17"/>
                  <w:szCs w:val="17"/>
                  <w:color w:val="0000EE"/>
                  <w:w w:val="89"/>
                </w:rPr>
                <w:t>Condensed Statements of Changes in Stockholders’ Equity for the years ended December 31, 2010, 2009 and 2008</w:t>
              </w:r>
            </w:hyperlink>
          </w:p>
        </w:tc>
        <w:tc>
          <w:tcPr>
            <w:tcW w:w="2560" w:type="dxa"/>
            <w:vAlign w:val="bottom"/>
            <w:gridSpan w:val="2"/>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7"/>
                <w:szCs w:val="17"/>
                <w:color w:val="auto"/>
                <w:w w:val="93"/>
              </w:rPr>
              <w:t>F-5</w:t>
            </w:r>
          </w:p>
        </w:tc>
      </w:tr>
      <w:tr>
        <w:trPr>
          <w:trHeight w:val="293"/>
        </w:trPr>
        <w:tc>
          <w:tcPr>
            <w:tcW w:w="42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17"/>
                <w:szCs w:val="17"/>
                <w:color w:val="0000EE"/>
              </w:rPr>
            </w:pPr>
            <w:hyperlink w:anchor="page153">
              <w:r>
                <w:rPr>
                  <w:rFonts w:ascii="Arial" w:cs="Arial" w:eastAsia="Arial" w:hAnsi="Arial"/>
                  <w:sz w:val="17"/>
                  <w:szCs w:val="17"/>
                  <w:color w:val="0000EE"/>
                </w:rPr>
                <w:t>Notes to Condensed Financial Statements</w:t>
              </w:r>
            </w:hyperlink>
          </w:p>
        </w:tc>
        <w:tc>
          <w:tcPr>
            <w:tcW w:w="500" w:type="dxa"/>
            <w:vAlign w:val="bottom"/>
            <w:gridSpan w:val="2"/>
          </w:tcPr>
          <w:p>
            <w:pPr>
              <w:ind w:left="240"/>
              <w:spacing w:after="0"/>
              <w:rPr>
                <w:sz w:val="20"/>
                <w:szCs w:val="20"/>
                <w:color w:val="auto"/>
              </w:rPr>
            </w:pPr>
            <w:r>
              <w:rPr>
                <w:rFonts w:ascii="Arial" w:cs="Arial" w:eastAsia="Arial" w:hAnsi="Arial"/>
                <w:sz w:val="17"/>
                <w:szCs w:val="17"/>
                <w:color w:val="auto"/>
                <w:w w:val="93"/>
              </w:rPr>
              <w:t>F-8</w:t>
            </w:r>
          </w:p>
        </w:tc>
      </w:tr>
      <w:tr>
        <w:trPr>
          <w:trHeight w:val="369"/>
        </w:trPr>
        <w:tc>
          <w:tcPr>
            <w:tcW w:w="4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80" w:type="dxa"/>
            <w:vAlign w:val="bottom"/>
            <w:tcBorders>
              <w:top w:val="single" w:sz="8" w:color="0000EE"/>
            </w:tcBorders>
            <w:gridSpan w:val="3"/>
          </w:tcPr>
          <w:p>
            <w:pPr>
              <w:spacing w:after="0"/>
              <w:rPr>
                <w:sz w:val="24"/>
                <w:szCs w:val="24"/>
                <w:color w:val="auto"/>
              </w:rPr>
            </w:pPr>
          </w:p>
        </w:tc>
        <w:tc>
          <w:tcPr>
            <w:tcW w:w="2720" w:type="dxa"/>
            <w:vAlign w:val="bottom"/>
            <w:gridSpan w:val="4"/>
          </w:tcPr>
          <w:p>
            <w:pPr>
              <w:jc w:val="right"/>
              <w:ind w:right="160"/>
              <w:spacing w:after="0"/>
              <w:rPr>
                <w:sz w:val="20"/>
                <w:szCs w:val="20"/>
                <w:color w:val="auto"/>
              </w:rPr>
            </w:pPr>
            <w:r>
              <w:rPr>
                <w:rFonts w:ascii="Arial" w:cs="Arial" w:eastAsia="Arial" w:hAnsi="Arial"/>
                <w:sz w:val="17"/>
                <w:szCs w:val="17"/>
                <w:color w:val="auto"/>
              </w:rPr>
              <w:t>71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48" w:right="3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61"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Management of Lazard Ltd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internal control over financial reporting includes those policies and procedures that:</w:t>
      </w:r>
    </w:p>
    <w:p>
      <w:pPr>
        <w:spacing w:after="0" w:line="79" w:lineRule="exact"/>
        <w:rPr>
          <w:sz w:val="20"/>
          <w:szCs w:val="20"/>
          <w:color w:val="auto"/>
        </w:rPr>
      </w:pPr>
    </w:p>
    <w:p>
      <w:pPr>
        <w:ind w:left="780" w:hanging="319"/>
        <w:spacing w:after="0"/>
        <w:tabs>
          <w:tab w:leader="none" w:pos="7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127" w:lineRule="exact"/>
        <w:rPr>
          <w:rFonts w:ascii="Arial" w:cs="Arial" w:eastAsia="Arial" w:hAnsi="Arial"/>
          <w:sz w:val="15"/>
          <w:szCs w:val="15"/>
          <w:color w:val="auto"/>
        </w:rPr>
      </w:pPr>
    </w:p>
    <w:p>
      <w:pPr>
        <w:ind w:left="780" w:right="160" w:hanging="319"/>
        <w:spacing w:after="0" w:line="268" w:lineRule="auto"/>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the Company’s management and directors; and</w:t>
      </w:r>
    </w:p>
    <w:p>
      <w:pPr>
        <w:spacing w:after="0" w:line="36" w:lineRule="exact"/>
        <w:rPr>
          <w:rFonts w:ascii="Arial" w:cs="Arial" w:eastAsia="Arial" w:hAnsi="Arial"/>
          <w:sz w:val="17"/>
          <w:szCs w:val="17"/>
          <w:color w:val="auto"/>
        </w:rPr>
      </w:pPr>
    </w:p>
    <w:p>
      <w:pPr>
        <w:ind w:left="780" w:right="440" w:hanging="319"/>
        <w:spacing w:after="0" w:line="280" w:lineRule="auto"/>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105" w:lineRule="exact"/>
        <w:rPr>
          <w:sz w:val="20"/>
          <w:szCs w:val="20"/>
          <w:color w:val="auto"/>
        </w:rPr>
      </w:pPr>
    </w:p>
    <w:p>
      <w:pPr>
        <w:ind w:right="440" w:firstLine="457"/>
        <w:spacing w:after="0" w:line="264" w:lineRule="auto"/>
        <w:rPr>
          <w:sz w:val="20"/>
          <w:szCs w:val="20"/>
          <w:color w:val="auto"/>
        </w:rPr>
      </w:pPr>
      <w:r>
        <w:rPr>
          <w:rFonts w:ascii="Arial" w:cs="Arial" w:eastAsia="Arial" w:hAnsi="Arial"/>
          <w:sz w:val="17"/>
          <w:szCs w:val="17"/>
          <w:color w:val="auto"/>
        </w:rPr>
        <w:t xml:space="preserve">Management assessed the effectiveness of the Company’s internal control over financial reporting as of December 31, 2010.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Based on management’s assessment and those criteria, management believes that the Company maintained effective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as of December 31, 2010.</w:t>
      </w:r>
    </w:p>
    <w:p>
      <w:pPr>
        <w:spacing w:after="0" w:line="119"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ind w:right="140" w:firstLine="457"/>
        <w:spacing w:after="0" w:line="280" w:lineRule="auto"/>
        <w:rPr>
          <w:sz w:val="20"/>
          <w:szCs w:val="20"/>
          <w:color w:val="auto"/>
        </w:rPr>
      </w:pPr>
      <w:r>
        <w:rPr>
          <w:rFonts w:ascii="Arial" w:cs="Arial" w:eastAsia="Arial" w:hAnsi="Arial"/>
          <w:sz w:val="17"/>
          <w:szCs w:val="17"/>
          <w:color w:val="auto"/>
        </w:rPr>
        <w:t>The Company’s independent registered public accounting firm, Deloitte &amp; Touche LLP, audited the Company’s internal control over financial reporting as of December 31, 2010, as stated in their report which appears under “Reports of Independent Registered Public Accounting Firm.”</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60"/>
          </w:cols>
          <w:pgMar w:left="240" w:top="448" w:right="39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right="2800" w:firstLine="2805"/>
        <w:spacing w:after="0" w:line="43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Stockholders of Lazard Ltd:</w:t>
      </w:r>
    </w:p>
    <w:p>
      <w:pPr>
        <w:ind w:firstLine="457"/>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Lazard Ltd and subsidiaries (the “Company”) as of December 31, 2010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21"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1"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9" w:lineRule="exact"/>
        <w:rPr>
          <w:sz w:val="20"/>
          <w:szCs w:val="20"/>
          <w:color w:val="auto"/>
        </w:rPr>
      </w:pPr>
    </w:p>
    <w:p>
      <w:pPr>
        <w:ind w:right="500" w:firstLine="457"/>
        <w:spacing w:after="0" w:line="313"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2010,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1" w:lineRule="exact"/>
        <w:rPr>
          <w:sz w:val="20"/>
          <w:szCs w:val="20"/>
          <w:color w:val="auto"/>
        </w:rPr>
      </w:pPr>
    </w:p>
    <w:p>
      <w:pPr>
        <w:ind w:right="480" w:firstLine="457"/>
        <w:spacing w:after="0" w:line="29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2010 of the Company, and our report dated February 25, 2011 expressed an unqualified opinion on those consolidated financial statements and financial statement schedule.</w:t>
      </w:r>
    </w:p>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Deloitte &amp; Touche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February 25,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448" w:right="2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right="2800" w:firstLine="2805"/>
        <w:spacing w:after="0" w:line="43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Stockholders of Lazard Ltd:</w:t>
      </w:r>
    </w:p>
    <w:p>
      <w:pPr>
        <w:ind w:right="40" w:firstLine="457"/>
        <w:spacing w:after="0" w:line="262" w:lineRule="auto"/>
        <w:rPr>
          <w:sz w:val="20"/>
          <w:szCs w:val="20"/>
          <w:color w:val="auto"/>
        </w:rPr>
      </w:pPr>
      <w:r>
        <w:rPr>
          <w:rFonts w:ascii="Arial" w:cs="Arial" w:eastAsia="Arial" w:hAnsi="Arial"/>
          <w:sz w:val="17"/>
          <w:szCs w:val="17"/>
          <w:color w:val="auto"/>
        </w:rPr>
        <w:t>We have audited the accompanying consolidated statements of financial condition of Lazard Ltd and subsidiaries (the “Company”) as of December 31, 2010 and 2009, and the related consolidated statements of operations, cash flows, and changes in stockholders’ equity, for each of the three years in the period ended December 31, 2010.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21"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8"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Lazard Ltd and subsidiaries at December 31, 2010 and 2009, and the results of their operations and their cash flows for each of the three years in the period ended December 31, 2010,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0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the Company’s internal control over financial reporting as of December 31, 2010, based on the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and our report dated February 25, 2011 expressed an unqualified opinion on the Company’s internal control over financial reporting.</w:t>
      </w:r>
    </w:p>
    <w:p>
      <w:pPr>
        <w:spacing w:after="0" w:line="119"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Deloitte &amp; Touche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February 25,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448" w:right="2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CONSOLIDATED STATEMENTS OF FINANCIAL CONDITION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2010 and 2009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2180" w:type="dxa"/>
            <w:vAlign w:val="bottom"/>
            <w:gridSpan w:val="5"/>
          </w:tcPr>
          <w:p>
            <w:pPr>
              <w:ind w:left="6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ind w:right="218"/>
              <w:spacing w:after="0" w:line="137" w:lineRule="exact"/>
              <w:rPr>
                <w:sz w:val="20"/>
                <w:szCs w:val="20"/>
                <w:color w:val="auto"/>
              </w:rPr>
            </w:pPr>
            <w:r>
              <w:rPr>
                <w:rFonts w:ascii="Arial" w:cs="Arial" w:eastAsia="Arial" w:hAnsi="Arial"/>
                <w:sz w:val="13"/>
                <w:szCs w:val="13"/>
                <w:b w:val="1"/>
                <w:bCs w:val="1"/>
                <w:color w:val="auto"/>
              </w:rPr>
              <w:t>2010</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7"/>
              <w:spacing w:after="0" w:line="137"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$1,209,695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917,329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Deposits with banks</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356,539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143,778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7"/>
                <w:szCs w:val="17"/>
                <w:color w:val="auto"/>
              </w:rPr>
              <w:t>Cash deposited with clearing organizations and other segregated cash</w:t>
            </w:r>
          </w:p>
        </w:tc>
        <w:tc>
          <w:tcPr>
            <w:tcW w:w="1300" w:type="dxa"/>
            <w:vAlign w:val="bottom"/>
            <w:gridSpan w:val="2"/>
          </w:tcPr>
          <w:p>
            <w:pPr>
              <w:jc w:val="right"/>
              <w:ind w:right="440"/>
              <w:spacing w:after="0"/>
              <w:rPr>
                <w:sz w:val="20"/>
                <w:szCs w:val="20"/>
                <w:color w:val="auto"/>
              </w:rPr>
            </w:pPr>
            <w:r>
              <w:rPr>
                <w:rFonts w:ascii="Arial" w:cs="Arial" w:eastAsia="Arial" w:hAnsi="Arial"/>
                <w:sz w:val="17"/>
                <w:szCs w:val="17"/>
                <w:color w:val="auto"/>
              </w:rPr>
              <w:t>92,911</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20,217</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9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Receivables-net:</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7"/>
                <w:szCs w:val="17"/>
                <w:color w:val="auto"/>
              </w:rPr>
              <w:t>Fees</w:t>
            </w:r>
          </w:p>
        </w:tc>
        <w:tc>
          <w:tcPr>
            <w:tcW w:w="860" w:type="dxa"/>
            <w:vAlign w:val="bottom"/>
          </w:tcPr>
          <w:p>
            <w:pPr>
              <w:jc w:val="right"/>
              <w:spacing w:after="0"/>
              <w:rPr>
                <w:sz w:val="20"/>
                <w:szCs w:val="20"/>
                <w:color w:val="auto"/>
              </w:rPr>
            </w:pPr>
            <w:r>
              <w:rPr>
                <w:rFonts w:ascii="Arial" w:cs="Arial" w:eastAsia="Arial" w:hAnsi="Arial"/>
                <w:sz w:val="17"/>
                <w:szCs w:val="17"/>
                <w:color w:val="auto"/>
              </w:rPr>
              <w:t>480,340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437,532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Customers and other</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73,750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7"/>
                <w:szCs w:val="17"/>
                <w:color w:val="auto"/>
              </w:rPr>
              <w:t>Related parties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24,874</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568,704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525,697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7"/>
                <w:szCs w:val="17"/>
                <w:color w:val="auto"/>
              </w:rPr>
              <w:t>Investments (includes $0 and $136,630 of debt securities at amortized cost at</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7"/>
                <w:szCs w:val="17"/>
                <w:color w:val="auto"/>
              </w:rPr>
              <w:t>December 31, 2010 and 2009, respectively)</w:t>
            </w:r>
          </w:p>
        </w:tc>
        <w:tc>
          <w:tcPr>
            <w:tcW w:w="860" w:type="dxa"/>
            <w:vAlign w:val="bottom"/>
          </w:tcPr>
          <w:p>
            <w:pPr>
              <w:jc w:val="right"/>
              <w:spacing w:after="0"/>
              <w:rPr>
                <w:sz w:val="20"/>
                <w:szCs w:val="20"/>
                <w:color w:val="auto"/>
              </w:rPr>
            </w:pPr>
            <w:r>
              <w:rPr>
                <w:rFonts w:ascii="Arial" w:cs="Arial" w:eastAsia="Arial" w:hAnsi="Arial"/>
                <w:sz w:val="17"/>
                <w:szCs w:val="17"/>
                <w:color w:val="auto"/>
              </w:rPr>
              <w:t>417,410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807,693</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7"/>
                <w:szCs w:val="17"/>
                <w:color w:val="auto"/>
              </w:rPr>
              <w:t>Property (net of accumulated amortization and depreciation of $250,898 and $239,603 at December 31, 2010 and 2009,</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7"/>
                <w:szCs w:val="17"/>
                <w:color w:val="auto"/>
              </w:rPr>
              <w:t>respectively)</w:t>
            </w:r>
          </w:p>
        </w:tc>
        <w:tc>
          <w:tcPr>
            <w:tcW w:w="860" w:type="dxa"/>
            <w:vAlign w:val="bottom"/>
          </w:tcPr>
          <w:p>
            <w:pPr>
              <w:jc w:val="right"/>
              <w:spacing w:after="0"/>
              <w:rPr>
                <w:sz w:val="20"/>
                <w:szCs w:val="20"/>
                <w:color w:val="auto"/>
              </w:rPr>
            </w:pPr>
            <w:r>
              <w:rPr>
                <w:rFonts w:ascii="Arial" w:cs="Arial" w:eastAsia="Arial" w:hAnsi="Arial"/>
                <w:sz w:val="17"/>
                <w:szCs w:val="17"/>
                <w:color w:val="auto"/>
              </w:rPr>
              <w:t>150,524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166,913</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w w:val="96"/>
              </w:rPr>
              <w:t>Goodwill and other intangible assets (net of accumulated amortization of $15,007 and $7,140 at December 31, 2010 and 2009,</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respectively)</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361,439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317,780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7"/>
                <w:szCs w:val="17"/>
                <w:color w:val="auto"/>
              </w:rPr>
              <w:t>Other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265,310</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Total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$ 3,422,532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3,147,762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48" w:right="2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CONSOLIDATED STATEMENTS OF FINANCIAL CONDITION—(Continued)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2010 and 2009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2010</w:t>
            </w: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Deposits and other customer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361,553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322,101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7"/>
                <w:szCs w:val="17"/>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498,880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515,033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Senior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1,076,850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1,086,850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7"/>
                <w:szCs w:val="17"/>
                <w:color w:val="auto"/>
              </w:rPr>
              <w:t>Capital lease obligations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22,903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24,628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Related party payables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17,450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513,410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508,603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Subordinated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820"/>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9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2,626,415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2,624,665</w:t>
            </w:r>
          </w:p>
        </w:tc>
        <w:tc>
          <w:tcPr>
            <w:tcW w:w="0" w:type="dxa"/>
            <w:vAlign w:val="bottom"/>
          </w:tcPr>
          <w:p>
            <w:pPr>
              <w:spacing w:after="0"/>
              <w:rPr>
                <w:sz w:val="1"/>
                <w:szCs w:val="1"/>
                <w:color w:val="auto"/>
              </w:rPr>
            </w:pPr>
          </w:p>
        </w:tc>
      </w:tr>
      <w:tr>
        <w:trPr>
          <w:trHeight w:val="215"/>
        </w:trPr>
        <w:tc>
          <w:tcPr>
            <w:tcW w:w="9360" w:type="dxa"/>
            <w:vAlign w:val="bottom"/>
            <w:gridSpan w:val="2"/>
          </w:tcPr>
          <w:p>
            <w:pPr>
              <w:spacing w:after="0"/>
              <w:rPr>
                <w:sz w:val="20"/>
                <w:szCs w:val="20"/>
                <w:color w:val="auto"/>
              </w:rPr>
            </w:pPr>
            <w:r>
              <w:rPr>
                <w:rFonts w:ascii="Arial" w:cs="Arial" w:eastAsia="Arial" w:hAnsi="Arial"/>
                <w:sz w:val="17"/>
                <w:szCs w:val="17"/>
                <w:color w:val="auto"/>
              </w:rPr>
              <w:t>Commitments and contingencies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9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7"/>
                <w:szCs w:val="17"/>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Series A - 22,021 and 26,883 shares issued and outstanding at December 31, 2010 and 2009, respectively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tcPr>
          <w:p>
            <w:pPr>
              <w:ind w:left="820"/>
              <w:spacing w:after="0"/>
              <w:rPr>
                <w:sz w:val="20"/>
                <w:szCs w:val="20"/>
                <w:color w:val="auto"/>
              </w:rPr>
            </w:pPr>
            <w:r>
              <w:rPr>
                <w:rFonts w:ascii="Arial" w:cs="Arial" w:eastAsia="Arial" w:hAnsi="Arial"/>
                <w:sz w:val="17"/>
                <w:szCs w:val="17"/>
                <w:color w:val="auto"/>
              </w:rPr>
              <w:t>Series B - no shares issued and outstanding</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340" w:type="dxa"/>
            <w:vAlign w:val="bottom"/>
          </w:tcPr>
          <w:p>
            <w:pPr>
              <w:ind w:left="820"/>
              <w:spacing w:after="0"/>
              <w:rPr>
                <w:sz w:val="20"/>
                <w:szCs w:val="20"/>
                <w:color w:val="auto"/>
              </w:rPr>
            </w:pPr>
            <w:r>
              <w:rPr>
                <w:rFonts w:ascii="Arial" w:cs="Arial" w:eastAsia="Arial" w:hAnsi="Arial"/>
                <w:sz w:val="17"/>
                <w:szCs w:val="17"/>
                <w:color w:val="auto"/>
                <w:w w:val="90"/>
              </w:rPr>
              <w:t>Class A, par value $.01 per share (500,000,000 shares authorized; 119,697,936 and 92,165,912 shares issued at December</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1020"/>
              <w:spacing w:after="0"/>
              <w:rPr>
                <w:sz w:val="20"/>
                <w:szCs w:val="20"/>
                <w:color w:val="auto"/>
              </w:rPr>
            </w:pPr>
            <w:r>
              <w:rPr>
                <w:rFonts w:ascii="Arial" w:cs="Arial" w:eastAsia="Arial" w:hAnsi="Arial"/>
                <w:sz w:val="17"/>
                <w:szCs w:val="17"/>
                <w:color w:val="auto"/>
              </w:rPr>
              <w:t>31, 2010 and 2009, respectively, including shares held by a subsidiary as indicated below)</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1,197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922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Class B, par value $.01 per share (1 share authorized, issued and outstanding at December 31, 2010 and 2009)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7"/>
                <w:szCs w:val="17"/>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758,841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549,931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166,468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52,726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7"/>
                <w:szCs w:val="17"/>
                <w:color w:val="auto"/>
              </w:rPr>
              <w:t>Accumulated other comprehensive loss, net of tax</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(46,158)</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(57,048)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880,348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546,531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340" w:type="dxa"/>
            <w:vAlign w:val="bottom"/>
          </w:tcPr>
          <w:p>
            <w:pPr>
              <w:ind w:left="400"/>
              <w:spacing w:after="0"/>
              <w:rPr>
                <w:sz w:val="20"/>
                <w:szCs w:val="20"/>
                <w:color w:val="auto"/>
              </w:rPr>
            </w:pPr>
            <w:r>
              <w:rPr>
                <w:rFonts w:ascii="Arial" w:cs="Arial" w:eastAsia="Arial" w:hAnsi="Arial"/>
                <w:sz w:val="17"/>
                <w:szCs w:val="17"/>
                <w:color w:val="auto"/>
                <w:w w:val="99"/>
              </w:rPr>
              <w:t>Class A common stock held by a subsidiary, at cost (6,847,508 and 5,850,775 shares at December 31, 2010 and 2009,</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620"/>
              <w:spacing w:after="0"/>
              <w:rPr>
                <w:sz w:val="20"/>
                <w:szCs w:val="20"/>
                <w:color w:val="auto"/>
              </w:rPr>
            </w:pPr>
            <w:r>
              <w:rPr>
                <w:rFonts w:ascii="Arial" w:cs="Arial" w:eastAsia="Arial" w:hAnsi="Arial"/>
                <w:sz w:val="17"/>
                <w:szCs w:val="17"/>
                <w:color w:val="auto"/>
              </w:rPr>
              <w:t>respectively)</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(227,950)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(191,140)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Total Lazard Ltd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652,398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355,391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7"/>
                <w:szCs w:val="17"/>
                <w:color w:val="auto"/>
              </w:rPr>
              <w:t>Noncontrolling interests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143,719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167,706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796,117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523,097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820"/>
              <w:spacing w:after="0"/>
              <w:rPr>
                <w:sz w:val="20"/>
                <w:szCs w:val="20"/>
                <w:color w:val="auto"/>
              </w:rPr>
            </w:pPr>
            <w:r>
              <w:rPr>
                <w:rFonts w:ascii="Arial" w:cs="Arial" w:eastAsia="Arial" w:hAnsi="Arial"/>
                <w:sz w:val="17"/>
                <w:szCs w:val="17"/>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93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3,422,532</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3,147,762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448" w:right="2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2010, 2009 AND 2008</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1"/>
              </w:rPr>
              <w:t>Year Ended December 31,</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8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REVENUE</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56"/>
              <w:spacing w:after="0" w:line="137" w:lineRule="exact"/>
              <w:rPr>
                <w:sz w:val="20"/>
                <w:szCs w:val="20"/>
                <w:color w:val="auto"/>
              </w:rPr>
            </w:pPr>
            <w:r>
              <w:rPr>
                <w:rFonts w:ascii="Arial" w:cs="Arial" w:eastAsia="Arial" w:hAnsi="Arial"/>
                <w:sz w:val="13"/>
                <w:szCs w:val="13"/>
                <w:b w:val="1"/>
                <w:bCs w:val="1"/>
                <w:color w:val="auto"/>
              </w:rPr>
              <w:t>2010</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16"/>
              <w:spacing w:after="0" w:line="137" w:lineRule="exact"/>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16"/>
              <w:spacing w:after="0" w:line="137"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7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Investment banking and other advisory fees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1,105,168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956,075</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990,923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ind w:left="400"/>
              <w:spacing w:after="0"/>
              <w:rPr>
                <w:sz w:val="20"/>
                <w:szCs w:val="20"/>
                <w:color w:val="auto"/>
              </w:rPr>
            </w:pPr>
            <w:r>
              <w:rPr>
                <w:rFonts w:ascii="Arial" w:cs="Arial" w:eastAsia="Arial" w:hAnsi="Arial"/>
                <w:sz w:val="17"/>
                <w:szCs w:val="17"/>
                <w:color w:val="auto"/>
              </w:rPr>
              <w:t>Money management fees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812,709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563,932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603,908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20,967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29,233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81,945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ind w:left="40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64,233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89,168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20,330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Total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2,003,077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1,638,408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1,697,106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ind w:left="40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97,709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107,890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139,899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Net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1,905,368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1,530,518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1,557,207</w:t>
            </w:r>
          </w:p>
        </w:tc>
        <w:tc>
          <w:tcPr>
            <w:tcW w:w="0" w:type="dxa"/>
            <w:vAlign w:val="bottom"/>
          </w:tcPr>
          <w:p>
            <w:pPr>
              <w:spacing w:after="0"/>
              <w:rPr>
                <w:sz w:val="1"/>
                <w:szCs w:val="1"/>
                <w:color w:val="auto"/>
              </w:rPr>
            </w:pPr>
          </w:p>
        </w:tc>
      </w:tr>
      <w:tr>
        <w:trPr>
          <w:trHeight w:val="214"/>
        </w:trPr>
        <w:tc>
          <w:tcPr>
            <w:tcW w:w="784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Compensation and benefits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1,194,168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1,309,240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1,128,253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ind w:left="400"/>
              <w:spacing w:after="0"/>
              <w:rPr>
                <w:sz w:val="20"/>
                <w:szCs w:val="20"/>
                <w:color w:val="auto"/>
              </w:rPr>
            </w:pPr>
            <w:r>
              <w:rPr>
                <w:rFonts w:ascii="Arial" w:cs="Arial" w:eastAsia="Arial" w:hAnsi="Arial"/>
                <w:sz w:val="17"/>
                <w:szCs w:val="17"/>
                <w:color w:val="auto"/>
              </w:rPr>
              <w:t>Occupancy and equipment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88,328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88,453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97,186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Marketing and business development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77,057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64,047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81,282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ind w:left="400"/>
              <w:spacing w:after="0"/>
              <w:rPr>
                <w:sz w:val="20"/>
                <w:szCs w:val="20"/>
                <w:color w:val="auto"/>
              </w:rPr>
            </w:pPr>
            <w:r>
              <w:rPr>
                <w:rFonts w:ascii="Arial" w:cs="Arial" w:eastAsia="Arial" w:hAnsi="Arial"/>
                <w:sz w:val="17"/>
                <w:szCs w:val="17"/>
                <w:color w:val="auto"/>
              </w:rPr>
              <w:t>Technology and information services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73,744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69,620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67,892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Professional services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43,502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ind w:left="400"/>
              <w:spacing w:after="0"/>
              <w:rPr>
                <w:sz w:val="20"/>
                <w:szCs w:val="20"/>
                <w:color w:val="auto"/>
              </w:rPr>
            </w:pPr>
            <w:r>
              <w:rPr>
                <w:rFonts w:ascii="Arial" w:cs="Arial" w:eastAsia="Arial" w:hAnsi="Arial"/>
                <w:sz w:val="17"/>
                <w:szCs w:val="17"/>
                <w:color w:val="auto"/>
              </w:rPr>
              <w:t>Fund administration and outsourced services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47,574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37,927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30,830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7,867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ind w:left="400"/>
              <w:spacing w:after="0"/>
              <w:rPr>
                <w:sz w:val="20"/>
                <w:szCs w:val="20"/>
                <w:color w:val="auto"/>
              </w:rPr>
            </w:pPr>
            <w:r>
              <w:rPr>
                <w:rFonts w:ascii="Arial" w:cs="Arial" w:eastAsia="Arial" w:hAnsi="Arial"/>
                <w:sz w:val="17"/>
                <w:szCs w:val="17"/>
                <w:color w:val="auto"/>
              </w:rPr>
              <w:t>Provision (benefit) pursuant to tax receivable agreement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2,361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(1,258)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17,084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Restructuring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87,108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62,550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ind w:left="40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40,009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32,614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51,737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1,661,718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1,712,752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1,532,067</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INCOME (LOSS)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243,650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(182,234)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25,140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Provision for 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49,227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6,011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25,379</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INCOME (LOSS)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194,423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(188,245)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LESS - NET INCOME (LOSS) ATTRIBUTABLE TO NONCONTROLLING INTERESTS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19,444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(58,003)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(3,377)</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INCOME (LOSS) ATTRIBUTABLE TO LAZARD LTD</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174,979</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(130,242)</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3,138</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ATTRIBUTABLE TO LAZARD LTD CLASS A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8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7"/>
                <w:szCs w:val="17"/>
                <w:b w:val="1"/>
                <w:bCs w:val="1"/>
                <w:color w:val="auto"/>
              </w:rPr>
              <w:t>WEIGHTED AVERAGE SHARES OF COMMON STOCK</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tcPr>
          <w:p>
            <w:pPr>
              <w:ind w:left="400"/>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6"/>
              </w:rPr>
              <w:t>104,411,253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78,311,947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60,874,734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62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86"/>
              </w:rPr>
              <w:t>138,469,654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w w:val="89"/>
              </w:rPr>
              <w:t>78,311,947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60,874,734</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Arial" w:cs="Arial" w:eastAsia="Arial" w:hAnsi="Arial"/>
                <w:sz w:val="17"/>
                <w:szCs w:val="17"/>
                <w:b w:val="1"/>
                <w:bCs w:val="1"/>
                <w:color w:val="auto"/>
              </w:rPr>
              <w:t>NET INCOME (LOSS) PER SHARE OF COMMON STOCK:</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620"/>
              <w:spacing w:after="0"/>
              <w:rPr>
                <w:sz w:val="20"/>
                <w:szCs w:val="20"/>
                <w:color w:val="auto"/>
              </w:rPr>
            </w:pPr>
            <w:r>
              <w:rPr>
                <w:rFonts w:ascii="Arial" w:cs="Arial" w:eastAsia="Arial" w:hAnsi="Arial"/>
                <w:sz w:val="17"/>
                <w:szCs w:val="17"/>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$1.36</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shd w:val="clear" w:color="auto" w:fill="CCEEFF"/>
          </w:tcPr>
          <w:p>
            <w:pPr>
              <w:ind w:left="200"/>
              <w:spacing w:after="0"/>
              <w:rPr>
                <w:sz w:val="20"/>
                <w:szCs w:val="20"/>
                <w:color w:val="auto"/>
              </w:rPr>
            </w:pPr>
            <w:r>
              <w:rPr>
                <w:rFonts w:ascii="Arial" w:cs="Arial" w:eastAsia="Arial" w:hAnsi="Arial"/>
                <w:sz w:val="17"/>
                <w:szCs w:val="17"/>
                <w:b w:val="1"/>
                <w:bCs w:val="1"/>
                <w:color w:val="auto"/>
              </w:rPr>
              <w:t>DIVIDENDS DECLARED PER SHARE OF COMMON STOCK</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$0.50</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48" w:right="2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2010, 2009 AND 2008</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9"/>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5"/>
              <w:spacing w:after="0" w:line="137" w:lineRule="exact"/>
              <w:rPr>
                <w:sz w:val="20"/>
                <w:szCs w:val="20"/>
                <w:color w:val="auto"/>
              </w:rPr>
            </w:pPr>
            <w:r>
              <w:rPr>
                <w:rFonts w:ascii="Arial" w:cs="Arial" w:eastAsia="Arial" w:hAnsi="Arial"/>
                <w:sz w:val="13"/>
                <w:szCs w:val="13"/>
                <w:b w:val="1"/>
                <w:bCs w:val="1"/>
                <w:color w:val="auto"/>
              </w:rPr>
              <w:t>2010</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5"/>
              <w:spacing w:after="0" w:line="137" w:lineRule="exact"/>
              <w:rPr>
                <w:sz w:val="20"/>
                <w:szCs w:val="20"/>
                <w:color w:val="auto"/>
              </w:rPr>
            </w:pPr>
            <w:r>
              <w:rPr>
                <w:rFonts w:ascii="Arial" w:cs="Arial" w:eastAsia="Arial" w:hAnsi="Arial"/>
                <w:sz w:val="13"/>
                <w:szCs w:val="13"/>
                <w:b w:val="1"/>
                <w:bCs w:val="1"/>
                <w:color w:val="auto"/>
              </w:rPr>
              <w:t>2009</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5"/>
              <w:spacing w:after="0" w:line="137" w:lineRule="exact"/>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88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spacing w:after="0" w:line="144" w:lineRule="exact"/>
              <w:rPr>
                <w:sz w:val="20"/>
                <w:szCs w:val="20"/>
                <w:color w:val="auto"/>
              </w:rPr>
            </w:pPr>
            <w:r>
              <w:rPr>
                <w:rFonts w:ascii="Arial" w:cs="Arial" w:eastAsia="Arial" w:hAnsi="Arial"/>
                <w:sz w:val="13"/>
                <w:szCs w:val="13"/>
                <w:color w:val="auto"/>
              </w:rPr>
              <w:t>Net income (loss)</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194,423</w:t>
            </w:r>
          </w:p>
        </w:tc>
        <w:tc>
          <w:tcPr>
            <w:tcW w:w="300" w:type="dxa"/>
            <w:vAlign w:val="bottom"/>
          </w:tcPr>
          <w:p>
            <w:pPr>
              <w:spacing w:after="0"/>
              <w:rPr>
                <w:sz w:val="12"/>
                <w:szCs w:val="12"/>
                <w:color w:val="auto"/>
              </w:rPr>
            </w:pP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w w:val="93"/>
              </w:rPr>
              <w:t>(188,245)</w:t>
            </w:r>
          </w:p>
        </w:tc>
        <w:tc>
          <w:tcPr>
            <w:tcW w:w="2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(239)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400"/>
              <w:spacing w:after="0" w:line="144" w:lineRule="exact"/>
              <w:rPr>
                <w:sz w:val="20"/>
                <w:szCs w:val="20"/>
                <w:color w:val="auto"/>
              </w:rPr>
            </w:pPr>
            <w:r>
              <w:rPr>
                <w:rFonts w:ascii="Arial" w:cs="Arial" w:eastAsia="Arial" w:hAnsi="Arial"/>
                <w:sz w:val="13"/>
                <w:szCs w:val="13"/>
                <w:color w:val="auto"/>
              </w:rPr>
              <w:t>Noncash items included in net income (loss):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820"/>
              <w:spacing w:after="0" w:line="144" w:lineRule="exact"/>
              <w:rPr>
                <w:sz w:val="20"/>
                <w:szCs w:val="20"/>
                <w:color w:val="auto"/>
              </w:rPr>
            </w:pPr>
            <w:r>
              <w:rPr>
                <w:rFonts w:ascii="Arial" w:cs="Arial" w:eastAsia="Arial" w:hAnsi="Arial"/>
                <w:sz w:val="13"/>
                <w:szCs w:val="13"/>
                <w:color w:val="auto"/>
              </w:rPr>
              <w:t>Depreciation and amortization of property</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22,712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22,541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820"/>
              <w:spacing w:after="0" w:line="144" w:lineRule="exact"/>
              <w:rPr>
                <w:sz w:val="20"/>
                <w:szCs w:val="20"/>
                <w:color w:val="auto"/>
              </w:rPr>
            </w:pPr>
            <w:r>
              <w:rPr>
                <w:rFonts w:ascii="Arial" w:cs="Arial" w:eastAsia="Arial" w:hAnsi="Arial"/>
                <w:sz w:val="13"/>
                <w:szCs w:val="13"/>
                <w:color w:val="auto"/>
              </w:rPr>
              <w:t>Amortization of deferred expenses, share-based incentive compensation and interest rate hedge</w:t>
            </w:r>
          </w:p>
        </w:tc>
        <w:tc>
          <w:tcPr>
            <w:tcW w:w="8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316,232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372,472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246,906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820"/>
              <w:spacing w:after="0" w:line="144" w:lineRule="exact"/>
              <w:rPr>
                <w:sz w:val="20"/>
                <w:szCs w:val="20"/>
                <w:color w:val="auto"/>
              </w:rPr>
            </w:pPr>
            <w:r>
              <w:rPr>
                <w:rFonts w:ascii="Arial" w:cs="Arial" w:eastAsia="Arial" w:hAnsi="Arial"/>
                <w:sz w:val="13"/>
                <w:szCs w:val="13"/>
                <w:color w:val="auto"/>
              </w:rPr>
              <w:t>Amortization of intangible assets related to acquisitions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7,867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4,990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4,596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820"/>
              <w:spacing w:after="0" w:line="144" w:lineRule="exact"/>
              <w:rPr>
                <w:sz w:val="20"/>
                <w:szCs w:val="20"/>
                <w:color w:val="auto"/>
              </w:rPr>
            </w:pPr>
            <w:r>
              <w:rPr>
                <w:rFonts w:ascii="Arial" w:cs="Arial" w:eastAsia="Arial" w:hAnsi="Arial"/>
                <w:sz w:val="13"/>
                <w:szCs w:val="13"/>
                <w:color w:val="auto"/>
              </w:rPr>
              <w:t>Deferred tax provision (benefit)</w:t>
            </w:r>
          </w:p>
        </w:tc>
        <w:tc>
          <w:tcPr>
            <w:tcW w:w="8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8,116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(23,434)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(31,652)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820"/>
              <w:spacing w:after="0" w:line="144" w:lineRule="exact"/>
              <w:rPr>
                <w:sz w:val="20"/>
                <w:szCs w:val="20"/>
                <w:color w:val="auto"/>
              </w:rPr>
            </w:pPr>
            <w:r>
              <w:rPr>
                <w:rFonts w:ascii="Arial" w:cs="Arial" w:eastAsia="Arial" w:hAnsi="Arial"/>
                <w:sz w:val="13"/>
                <w:szCs w:val="13"/>
                <w:color w:val="auto"/>
              </w:rPr>
              <w:t>Investment losses (including other-than-temporary impairment losses)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8,854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1,825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820"/>
              <w:spacing w:after="0" w:line="144" w:lineRule="exact"/>
              <w:rPr>
                <w:sz w:val="20"/>
                <w:szCs w:val="20"/>
                <w:color w:val="auto"/>
              </w:rPr>
            </w:pPr>
            <w:r>
              <w:rPr>
                <w:rFonts w:ascii="Arial" w:cs="Arial" w:eastAsia="Arial" w:hAnsi="Arial"/>
                <w:sz w:val="13"/>
                <w:szCs w:val="13"/>
                <w:color w:val="auto"/>
              </w:rPr>
              <w:t>(Gains) losses on extinguishment of debt</w:t>
            </w:r>
          </w:p>
        </w:tc>
        <w:tc>
          <w:tcPr>
            <w:tcW w:w="8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424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(20,253)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820"/>
              <w:spacing w:after="0" w:line="144" w:lineRule="exact"/>
              <w:rPr>
                <w:sz w:val="20"/>
                <w:szCs w:val="20"/>
                <w:color w:val="auto"/>
              </w:rPr>
            </w:pPr>
            <w:r>
              <w:rPr>
                <w:rFonts w:ascii="Arial" w:cs="Arial" w:eastAsia="Arial" w:hAnsi="Arial"/>
                <w:sz w:val="13"/>
                <w:szCs w:val="13"/>
                <w:color w:val="auto"/>
              </w:rPr>
              <w:t>Stock portion of charge related to LAM Merger</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64,512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400"/>
              <w:spacing w:after="0" w:line="144" w:lineRule="exact"/>
              <w:rPr>
                <w:sz w:val="20"/>
                <w:szCs w:val="20"/>
                <w:color w:val="auto"/>
              </w:rPr>
            </w:pPr>
            <w:r>
              <w:rPr>
                <w:rFonts w:ascii="Arial" w:cs="Arial" w:eastAsia="Arial" w:hAnsi="Arial"/>
                <w:sz w:val="13"/>
                <w:szCs w:val="13"/>
                <w:color w:val="auto"/>
              </w:rPr>
              <w:t>(Increase) decrease in operating assets: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820"/>
              <w:spacing w:after="0" w:line="144" w:lineRule="exact"/>
              <w:rPr>
                <w:sz w:val="20"/>
                <w:szCs w:val="20"/>
                <w:color w:val="auto"/>
              </w:rPr>
            </w:pPr>
            <w:r>
              <w:rPr>
                <w:rFonts w:ascii="Arial" w:cs="Arial" w:eastAsia="Arial" w:hAnsi="Arial"/>
                <w:sz w:val="13"/>
                <w:szCs w:val="13"/>
                <w:color w:val="auto"/>
              </w:rPr>
              <w:t>Deposits with banks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w w:val="96"/>
              </w:rPr>
              <w:t>(221,072)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84,033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248,438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820"/>
              <w:spacing w:after="0" w:line="144" w:lineRule="exact"/>
              <w:rPr>
                <w:sz w:val="20"/>
                <w:szCs w:val="20"/>
                <w:color w:val="auto"/>
              </w:rPr>
            </w:pPr>
            <w:r>
              <w:rPr>
                <w:rFonts w:ascii="Arial" w:cs="Arial" w:eastAsia="Arial" w:hAnsi="Arial"/>
                <w:sz w:val="13"/>
                <w:szCs w:val="13"/>
                <w:color w:val="auto"/>
              </w:rPr>
              <w:t>Cash deposited with clearing organizations and other segregated cash</w:t>
            </w: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(73,005)</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(5,004)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9,007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820"/>
              <w:spacing w:after="0" w:line="144" w:lineRule="exact"/>
              <w:rPr>
                <w:sz w:val="20"/>
                <w:szCs w:val="20"/>
                <w:color w:val="auto"/>
              </w:rPr>
            </w:pPr>
            <w:r>
              <w:rPr>
                <w:rFonts w:ascii="Arial" w:cs="Arial" w:eastAsia="Arial" w:hAnsi="Arial"/>
                <w:sz w:val="13"/>
                <w:szCs w:val="13"/>
                <w:color w:val="auto"/>
              </w:rPr>
              <w:t>Receivables-net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(52,690)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(26,357)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99,970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820"/>
              <w:spacing w:after="0" w:line="144" w:lineRule="exact"/>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(50,809)</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(37,293)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517,288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820"/>
              <w:spacing w:after="0" w:line="144" w:lineRule="exact"/>
              <w:rPr>
                <w:sz w:val="20"/>
                <w:szCs w:val="20"/>
                <w:color w:val="auto"/>
              </w:rPr>
            </w:pPr>
            <w:r>
              <w:rPr>
                <w:rFonts w:ascii="Arial" w:cs="Arial" w:eastAsia="Arial" w:hAnsi="Arial"/>
                <w:sz w:val="13"/>
                <w:szCs w:val="13"/>
                <w:color w:val="auto"/>
              </w:rPr>
              <w:t>Other assets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(11,534)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25,579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(16,406)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400"/>
              <w:spacing w:after="0" w:line="144" w:lineRule="exact"/>
              <w:rPr>
                <w:sz w:val="20"/>
                <w:szCs w:val="20"/>
                <w:color w:val="auto"/>
              </w:rPr>
            </w:pPr>
            <w:r>
              <w:rPr>
                <w:rFonts w:ascii="Arial" w:cs="Arial" w:eastAsia="Arial" w:hAnsi="Arial"/>
                <w:sz w:val="13"/>
                <w:szCs w:val="13"/>
                <w:color w:val="auto"/>
              </w:rPr>
              <w:t>Increase (decrease) in operating liabilities: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820"/>
              <w:spacing w:after="0" w:line="144" w:lineRule="exact"/>
              <w:rPr>
                <w:sz w:val="20"/>
                <w:szCs w:val="20"/>
                <w:color w:val="auto"/>
              </w:rPr>
            </w:pPr>
            <w:r>
              <w:rPr>
                <w:rFonts w:ascii="Arial" w:cs="Arial" w:eastAsia="Arial" w:hAnsi="Arial"/>
                <w:sz w:val="13"/>
                <w:szCs w:val="13"/>
                <w:color w:val="auto"/>
              </w:rPr>
              <w:t>Deposits and other payables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46,750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(249,777)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(274,128)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880" w:type="dxa"/>
            <w:vAlign w:val="bottom"/>
          </w:tcPr>
          <w:p>
            <w:pPr>
              <w:ind w:left="820"/>
              <w:spacing w:after="0" w:line="144" w:lineRule="exact"/>
              <w:rPr>
                <w:sz w:val="20"/>
                <w:szCs w:val="20"/>
                <w:color w:val="auto"/>
              </w:rPr>
            </w:pPr>
            <w:r>
              <w:rPr>
                <w:rFonts w:ascii="Arial" w:cs="Arial" w:eastAsia="Arial" w:hAnsi="Arial"/>
                <w:sz w:val="13"/>
                <w:szCs w:val="13"/>
                <w:color w:val="auto"/>
              </w:rPr>
              <w:t>Accrued compensation and benefits and other liabilities</w:t>
            </w:r>
          </w:p>
        </w:tc>
        <w:tc>
          <w:tcPr>
            <w:tcW w:w="80" w:type="dxa"/>
            <w:vAlign w:val="bottom"/>
          </w:tcPr>
          <w:p>
            <w:pPr>
              <w:spacing w:after="0"/>
              <w:rPr>
                <w:sz w:val="13"/>
                <w:szCs w:val="13"/>
                <w:color w:val="auto"/>
              </w:rPr>
            </w:pPr>
          </w:p>
        </w:tc>
        <w:tc>
          <w:tcPr>
            <w:tcW w:w="82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(27,470)</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263,703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(362,969)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1240"/>
              <w:spacing w:after="0" w:line="144" w:lineRule="exact"/>
              <w:rPr>
                <w:sz w:val="20"/>
                <w:szCs w:val="20"/>
                <w:color w:val="auto"/>
              </w:rPr>
            </w:pPr>
            <w:r>
              <w:rPr>
                <w:rFonts w:ascii="Arial" w:cs="Arial" w:eastAsia="Arial" w:hAnsi="Arial"/>
                <w:sz w:val="13"/>
                <w:szCs w:val="13"/>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168,798</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244,775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505,895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of businesses in 2009 (net of cash acquired of $6,641), and equity method investments</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(39,139)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(74,855)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400"/>
              <w:spacing w:after="0" w:line="144" w:lineRule="exact"/>
              <w:rPr>
                <w:sz w:val="20"/>
                <w:szCs w:val="20"/>
                <w:color w:val="auto"/>
              </w:rPr>
            </w:pPr>
            <w:r>
              <w:rPr>
                <w:rFonts w:ascii="Arial" w:cs="Arial" w:eastAsia="Arial" w:hAnsi="Arial"/>
                <w:sz w:val="13"/>
                <w:szCs w:val="13"/>
                <w:color w:val="auto"/>
              </w:rPr>
              <w:t>Disposition of and distributions from equity method investments</w:t>
            </w:r>
          </w:p>
        </w:tc>
        <w:tc>
          <w:tcPr>
            <w:tcW w:w="8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51,437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Additions to property</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(13,382)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(11,913)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(18,509)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400"/>
              <w:spacing w:after="0" w:line="144" w:lineRule="exact"/>
              <w:rPr>
                <w:sz w:val="20"/>
                <w:szCs w:val="20"/>
                <w:color w:val="auto"/>
              </w:rPr>
            </w:pPr>
            <w:r>
              <w:rPr>
                <w:rFonts w:ascii="Arial" w:cs="Arial" w:eastAsia="Arial" w:hAnsi="Arial"/>
                <w:sz w:val="13"/>
                <w:szCs w:val="13"/>
                <w:color w:val="auto"/>
              </w:rPr>
              <w:t>Disposals of property</w:t>
            </w:r>
          </w:p>
        </w:tc>
        <w:tc>
          <w:tcPr>
            <w:tcW w:w="8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432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583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743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Purchases of held-to-maturity securities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(136,095)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400"/>
              <w:spacing w:after="0" w:line="144" w:lineRule="exact"/>
              <w:rPr>
                <w:sz w:val="20"/>
                <w:szCs w:val="20"/>
                <w:color w:val="auto"/>
              </w:rPr>
            </w:pPr>
            <w:r>
              <w:rPr>
                <w:rFonts w:ascii="Arial" w:cs="Arial" w:eastAsia="Arial" w:hAnsi="Arial"/>
                <w:sz w:val="13"/>
                <w:szCs w:val="13"/>
                <w:color w:val="auto"/>
              </w:rPr>
              <w:t>Proceeds from sales of held-to-maturity securities</w:t>
            </w:r>
          </w:p>
        </w:tc>
        <w:tc>
          <w:tcPr>
            <w:tcW w:w="8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132,209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Purchases of available-for-sale securities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(3,466)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(147,340)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880" w:type="dxa"/>
            <w:vAlign w:val="bottom"/>
          </w:tcPr>
          <w:p>
            <w:pPr>
              <w:ind w:left="400"/>
              <w:spacing w:after="0" w:line="144" w:lineRule="exact"/>
              <w:rPr>
                <w:sz w:val="20"/>
                <w:szCs w:val="20"/>
                <w:color w:val="auto"/>
              </w:rPr>
            </w:pPr>
            <w:r>
              <w:rPr>
                <w:rFonts w:ascii="Arial" w:cs="Arial" w:eastAsia="Arial" w:hAnsi="Arial"/>
                <w:sz w:val="13"/>
                <w:szCs w:val="13"/>
                <w:color w:val="auto"/>
              </w:rPr>
              <w:t>Proceeds from sales and maturities of available-for-sale securities</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241,029</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93,472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88,033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1240"/>
              <w:spacing w:after="0" w:line="144" w:lineRule="exact"/>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411,725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(96,558)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(151,928)</w:t>
            </w:r>
          </w:p>
        </w:tc>
        <w:tc>
          <w:tcPr>
            <w:tcW w:w="0" w:type="dxa"/>
            <w:vAlign w:val="bottom"/>
          </w:tcPr>
          <w:p>
            <w:pPr>
              <w:spacing w:after="0"/>
              <w:rPr>
                <w:sz w:val="1"/>
                <w:szCs w:val="1"/>
                <w:color w:val="auto"/>
              </w:rPr>
            </w:pPr>
          </w:p>
        </w:tc>
      </w:tr>
      <w:tr>
        <w:trPr>
          <w:trHeight w:val="150"/>
        </w:trPr>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Proceeds from:</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820"/>
              <w:spacing w:after="0" w:line="14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2"/>
                <w:szCs w:val="12"/>
                <w:color w:val="auto"/>
              </w:rPr>
            </w:pPr>
          </w:p>
        </w:tc>
        <w:tc>
          <w:tcPr>
            <w:tcW w:w="820" w:type="dxa"/>
            <w:vAlign w:val="bottom"/>
            <w:gridSpan w:val="2"/>
          </w:tcPr>
          <w:p>
            <w:pPr>
              <w:jc w:val="right"/>
              <w:ind w:right="3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437,500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80" w:type="dxa"/>
            <w:vAlign w:val="bottom"/>
            <w:shd w:val="clear" w:color="auto" w:fill="CCEEFF"/>
          </w:tcPr>
          <w:p>
            <w:pPr>
              <w:ind w:left="820"/>
              <w:spacing w:after="0"/>
              <w:rPr>
                <w:sz w:val="20"/>
                <w:szCs w:val="20"/>
                <w:color w:val="auto"/>
              </w:rPr>
            </w:pPr>
            <w:r>
              <w:rPr>
                <w:rFonts w:ascii="Arial" w:cs="Arial" w:eastAsia="Arial" w:hAnsi="Arial"/>
                <w:sz w:val="13"/>
                <w:szCs w:val="13"/>
                <w:color w:val="auto"/>
              </w:rPr>
              <w:t>Contributions from noncontrolling interests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1,474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820"/>
              <w:spacing w:after="0" w:line="144" w:lineRule="exact"/>
              <w:rPr>
                <w:sz w:val="20"/>
                <w:szCs w:val="20"/>
                <w:color w:val="auto"/>
              </w:rPr>
            </w:pPr>
            <w:r>
              <w:rPr>
                <w:rFonts w:ascii="Arial" w:cs="Arial" w:eastAsia="Arial" w:hAnsi="Arial"/>
                <w:sz w:val="13"/>
                <w:szCs w:val="13"/>
                <w:color w:val="auto"/>
              </w:rPr>
              <w:t>Other financing activities</w:t>
            </w:r>
          </w:p>
        </w:tc>
        <w:tc>
          <w:tcPr>
            <w:tcW w:w="8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33,312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359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Payments for:</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820"/>
              <w:spacing w:after="0" w:line="144" w:lineRule="exact"/>
              <w:rPr>
                <w:sz w:val="20"/>
                <w:szCs w:val="20"/>
                <w:color w:val="auto"/>
              </w:rPr>
            </w:pPr>
            <w:r>
              <w:rPr>
                <w:rFonts w:ascii="Arial" w:cs="Arial" w:eastAsia="Arial" w:hAnsi="Arial"/>
                <w:sz w:val="13"/>
                <w:szCs w:val="13"/>
                <w:color w:val="auto"/>
              </w:rPr>
              <w:t>Senior borrowings</w:t>
            </w: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(10,375)</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(635)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(478,925)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820"/>
              <w:spacing w:after="0" w:line="144" w:lineRule="exact"/>
              <w:rPr>
                <w:sz w:val="20"/>
                <w:szCs w:val="20"/>
                <w:color w:val="auto"/>
              </w:rPr>
            </w:pPr>
            <w:r>
              <w:rPr>
                <w:rFonts w:ascii="Arial" w:cs="Arial" w:eastAsia="Arial" w:hAnsi="Arial"/>
                <w:sz w:val="13"/>
                <w:szCs w:val="13"/>
                <w:color w:val="auto"/>
              </w:rPr>
              <w:t>Capital lease obligations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(2,400)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(2,980)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(3,095)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820"/>
              <w:spacing w:after="0" w:line="144" w:lineRule="exact"/>
              <w:rPr>
                <w:sz w:val="20"/>
                <w:szCs w:val="20"/>
                <w:color w:val="auto"/>
              </w:rPr>
            </w:pPr>
            <w:r>
              <w:rPr>
                <w:rFonts w:ascii="Arial" w:cs="Arial" w:eastAsia="Arial" w:hAnsi="Arial"/>
                <w:sz w:val="13"/>
                <w:szCs w:val="13"/>
                <w:color w:val="auto"/>
              </w:rPr>
              <w:t>Distributions to noncontrolling interests</w:t>
            </w: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(37,587)</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(52,739)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(80,112)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820"/>
              <w:spacing w:after="0" w:line="144" w:lineRule="exact"/>
              <w:rPr>
                <w:sz w:val="20"/>
                <w:szCs w:val="20"/>
                <w:color w:val="auto"/>
              </w:rPr>
            </w:pPr>
            <w:r>
              <w:rPr>
                <w:rFonts w:ascii="Arial" w:cs="Arial" w:eastAsia="Arial" w:hAnsi="Arial"/>
                <w:sz w:val="13"/>
                <w:szCs w:val="13"/>
                <w:color w:val="auto"/>
              </w:rPr>
              <w:t>Repurchase of common membership interests from members of LAZ-MD Holdings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(7,248)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(13,285)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(2,559)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820"/>
              <w:spacing w:after="0" w:line="144" w:lineRule="exact"/>
              <w:rPr>
                <w:sz w:val="20"/>
                <w:szCs w:val="20"/>
                <w:color w:val="auto"/>
              </w:rPr>
            </w:pPr>
            <w:r>
              <w:rPr>
                <w:rFonts w:ascii="Arial" w:cs="Arial" w:eastAsia="Arial" w:hAnsi="Arial"/>
                <w:sz w:val="13"/>
                <w:szCs w:val="13"/>
                <w:color w:val="auto"/>
              </w:rPr>
              <w:t>Purchase of Class A common stock</w:t>
            </w: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w w:val="96"/>
              </w:rPr>
              <w:t>(149,981)</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(50,479)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(277,064)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820"/>
              <w:spacing w:after="0" w:line="144" w:lineRule="exact"/>
              <w:rPr>
                <w:sz w:val="20"/>
                <w:szCs w:val="20"/>
                <w:color w:val="auto"/>
              </w:rPr>
            </w:pPr>
            <w:r>
              <w:rPr>
                <w:rFonts w:ascii="Arial" w:cs="Arial" w:eastAsia="Arial" w:hAnsi="Arial"/>
                <w:sz w:val="13"/>
                <w:szCs w:val="13"/>
                <w:color w:val="auto"/>
              </w:rPr>
              <w:t>Class A common stock dividends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(50,581)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(33,451)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(23,056)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ind w:left="820"/>
              <w:spacing w:after="0" w:line="144" w:lineRule="exact"/>
              <w:rPr>
                <w:sz w:val="20"/>
                <w:szCs w:val="20"/>
                <w:color w:val="auto"/>
              </w:rPr>
            </w:pPr>
            <w:r>
              <w:rPr>
                <w:rFonts w:ascii="Arial" w:cs="Arial" w:eastAsia="Arial" w:hAnsi="Arial"/>
                <w:sz w:val="13"/>
                <w:szCs w:val="13"/>
                <w:color w:val="auto"/>
              </w:rPr>
              <w:t>Settlement of vested share-based incentive compensation</w:t>
            </w: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(57,576)</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(13,479)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(4,516)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820"/>
              <w:spacing w:after="0" w:line="144" w:lineRule="exact"/>
              <w:rPr>
                <w:sz w:val="20"/>
                <w:szCs w:val="20"/>
                <w:color w:val="auto"/>
              </w:rPr>
            </w:pPr>
            <w:r>
              <w:rPr>
                <w:rFonts w:ascii="Arial" w:cs="Arial" w:eastAsia="Arial" w:hAnsi="Arial"/>
                <w:sz w:val="13"/>
                <w:szCs w:val="13"/>
                <w:color w:val="auto"/>
              </w:rPr>
              <w:t>Other financing activities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(8,079)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1240"/>
              <w:spacing w:after="0"/>
              <w:rPr>
                <w:sz w:val="20"/>
                <w:szCs w:val="20"/>
                <w:color w:val="auto"/>
              </w:rPr>
            </w:pPr>
            <w:r>
              <w:rPr>
                <w:rFonts w:ascii="Arial" w:cs="Arial" w:eastAsia="Arial" w:hAnsi="Arial"/>
                <w:sz w:val="13"/>
                <w:szCs w:val="13"/>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w w:val="96"/>
              </w:rPr>
              <w:t>(277,886)</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(165,562)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(437,020)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EFFECT OF EXCHANGE RATE CHANGES ON CASH</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(10,271)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24,967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(63,084)</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292,366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7,622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(146,137)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CASH AND CASH EQUIVALENTS—January 1</w:t>
            </w: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917,329</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909,707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1,055,844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AND CASH EQUIVALENTS—December 31</w:t>
            </w:r>
          </w:p>
        </w:tc>
        <w:tc>
          <w:tcPr>
            <w:tcW w:w="80" w:type="dxa"/>
            <w:vAlign w:val="bottom"/>
          </w:tcPr>
          <w:p>
            <w:pPr>
              <w:jc w:val="right"/>
              <w:spacing w:after="0"/>
              <w:rPr>
                <w:sz w:val="20"/>
                <w:szCs w:val="20"/>
                <w:color w:val="auto"/>
              </w:rPr>
            </w:pPr>
            <w:r>
              <w:rPr>
                <w:rFonts w:ascii="Arial" w:cs="Arial" w:eastAsia="Arial" w:hAnsi="Arial"/>
                <w:sz w:val="13"/>
                <w:szCs w:val="13"/>
                <w:u w:val="single" w:color="auto"/>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86"/>
              </w:rPr>
              <w:t>1,209,695</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917,329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909,707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88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SUPPLEMENTAL DISCLOSURES OF CASH FLOW INFORMATION:</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tcPr>
          <w:p>
            <w:pPr>
              <w:spacing w:after="0" w:line="144" w:lineRule="exact"/>
              <w:rPr>
                <w:sz w:val="20"/>
                <w:szCs w:val="20"/>
                <w:color w:val="auto"/>
              </w:rPr>
            </w:pPr>
            <w:r>
              <w:rPr>
                <w:rFonts w:ascii="Arial" w:cs="Arial" w:eastAsia="Arial" w:hAnsi="Arial"/>
                <w:sz w:val="13"/>
                <w:szCs w:val="13"/>
                <w:b w:val="1"/>
                <w:bCs w:val="1"/>
                <w:color w:val="auto"/>
              </w:rPr>
              <w:t>Supplemental investing non-cash transaction: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Class A common stock issued/issuable in connection with business acquisitions</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41,174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10,946</w:t>
            </w:r>
          </w:p>
        </w:tc>
        <w:tc>
          <w:tcPr>
            <w:tcW w:w="2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9,282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paid during the year for: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Interest</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102,110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99,491</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142,890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400"/>
              <w:spacing w:after="0"/>
              <w:rPr>
                <w:sz w:val="20"/>
                <w:szCs w:val="20"/>
                <w:color w:val="auto"/>
              </w:rPr>
            </w:pPr>
            <w:r>
              <w:rPr>
                <w:rFonts w:ascii="Arial" w:cs="Arial" w:eastAsia="Arial" w:hAnsi="Arial"/>
                <w:sz w:val="13"/>
                <w:szCs w:val="13"/>
                <w:color w:val="auto"/>
              </w:rPr>
              <w:t>Income taxes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8880" w:type="dxa"/>
            <w:vAlign w:val="bottom"/>
            <w:vMerge w:val="continue"/>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69,454</w:t>
            </w:r>
          </w:p>
        </w:tc>
        <w:tc>
          <w:tcPr>
            <w:tcW w:w="30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31,476</w:t>
            </w:r>
          </w:p>
        </w:tc>
        <w:tc>
          <w:tcPr>
            <w:tcW w:w="20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111,821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48"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FOR THE YEARS ENDED DECEMBER 31, 2010, 2009 AND 2008</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5"/>
            <w:vMerge w:val="restart"/>
          </w:tcPr>
          <w:p>
            <w:pPr>
              <w:jc w:val="right"/>
              <w:ind w:right="80"/>
              <w:spacing w:after="0"/>
              <w:rPr>
                <w:sz w:val="20"/>
                <w:szCs w:val="20"/>
                <w:color w:val="auto"/>
              </w:rPr>
            </w:pPr>
            <w:r>
              <w:rPr>
                <w:rFonts w:ascii="Arial" w:cs="Arial" w:eastAsia="Arial" w:hAnsi="Arial"/>
                <w:sz w:val="13"/>
                <w:szCs w:val="13"/>
                <w:b w:val="1"/>
                <w:bCs w:val="1"/>
                <w:color w:val="auto"/>
                <w:w w:val="90"/>
              </w:rPr>
              <w:t>Preferred Stock</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Accumulated</w:t>
            </w:r>
          </w:p>
        </w:tc>
        <w:tc>
          <w:tcPr>
            <w:tcW w:w="132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87"/>
              </w:rPr>
              <w:t>Class A</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5"/>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9"/>
              </w:rPr>
              <w:t>Other</w:t>
            </w:r>
          </w:p>
        </w:tc>
        <w:tc>
          <w:tcPr>
            <w:tcW w:w="132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0"/>
              </w:rPr>
              <w:t>Comprehensive</w:t>
            </w:r>
          </w:p>
        </w:tc>
        <w:tc>
          <w:tcPr>
            <w:tcW w:w="1320" w:type="dxa"/>
            <w:vAlign w:val="bottom"/>
            <w:gridSpan w:val="5"/>
          </w:tcPr>
          <w:p>
            <w:pPr>
              <w:jc w:val="center"/>
              <w:ind w:right="100"/>
              <w:spacing w:after="0" w:line="98" w:lineRule="exact"/>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8"/>
                <w:szCs w:val="8"/>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Lazard Ltd</w:t>
            </w: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2"/>
        </w:trPr>
        <w:tc>
          <w:tcPr>
            <w:tcW w:w="1900" w:type="dxa"/>
            <w:vAlign w:val="bottom"/>
          </w:tcPr>
          <w:p>
            <w:pPr>
              <w:spacing w:after="0"/>
              <w:rPr>
                <w:sz w:val="4"/>
                <w:szCs w:val="4"/>
                <w:color w:val="auto"/>
              </w:rPr>
            </w:pPr>
          </w:p>
        </w:tc>
        <w:tc>
          <w:tcPr>
            <w:tcW w:w="840" w:type="dxa"/>
            <w:vAlign w:val="bottom"/>
            <w:gridSpan w:val="3"/>
            <w:vMerge w:val="restart"/>
          </w:tcPr>
          <w:p>
            <w:pPr>
              <w:jc w:val="right"/>
              <w:ind w:right="115"/>
              <w:spacing w:after="0" w:line="136" w:lineRule="exact"/>
              <w:rPr>
                <w:sz w:val="20"/>
                <w:szCs w:val="20"/>
                <w:color w:val="auto"/>
              </w:rPr>
            </w:pPr>
            <w:r>
              <w:rPr>
                <w:rFonts w:ascii="Arial" w:cs="Arial" w:eastAsia="Arial" w:hAnsi="Arial"/>
                <w:sz w:val="13"/>
                <w:szCs w:val="13"/>
                <w:b w:val="1"/>
                <w:bCs w:val="1"/>
                <w:color w:val="auto"/>
              </w:rPr>
              <w:t>Series A</w:t>
            </w:r>
          </w:p>
        </w:tc>
        <w:tc>
          <w:tcPr>
            <w:tcW w:w="100" w:type="dxa"/>
            <w:vAlign w:val="bottom"/>
          </w:tcPr>
          <w:p>
            <w:pPr>
              <w:spacing w:after="0"/>
              <w:rPr>
                <w:sz w:val="4"/>
                <w:szCs w:val="4"/>
                <w:color w:val="auto"/>
              </w:rPr>
            </w:pPr>
          </w:p>
        </w:tc>
        <w:tc>
          <w:tcPr>
            <w:tcW w:w="800" w:type="dxa"/>
            <w:vAlign w:val="bottom"/>
            <w:gridSpan w:val="4"/>
            <w:vMerge w:val="restart"/>
          </w:tcPr>
          <w:p>
            <w:pPr>
              <w:jc w:val="right"/>
              <w:ind w:right="115"/>
              <w:spacing w:after="0" w:line="136" w:lineRule="exact"/>
              <w:rPr>
                <w:sz w:val="20"/>
                <w:szCs w:val="20"/>
                <w:color w:val="auto"/>
              </w:rPr>
            </w:pPr>
            <w:r>
              <w:rPr>
                <w:rFonts w:ascii="Arial" w:cs="Arial" w:eastAsia="Arial" w:hAnsi="Arial"/>
                <w:sz w:val="13"/>
                <w:szCs w:val="13"/>
                <w:b w:val="1"/>
                <w:bCs w:val="1"/>
                <w:color w:val="auto"/>
              </w:rPr>
              <w:t>Series B</w:t>
            </w:r>
          </w:p>
        </w:tc>
        <w:tc>
          <w:tcPr>
            <w:tcW w:w="100" w:type="dxa"/>
            <w:vAlign w:val="bottom"/>
          </w:tcPr>
          <w:p>
            <w:pPr>
              <w:spacing w:after="0"/>
              <w:rPr>
                <w:sz w:val="4"/>
                <w:szCs w:val="4"/>
                <w:color w:val="auto"/>
              </w:rPr>
            </w:pPr>
          </w:p>
        </w:tc>
        <w:tc>
          <w:tcPr>
            <w:tcW w:w="1060" w:type="dxa"/>
            <w:vAlign w:val="bottom"/>
            <w:gridSpan w:val="3"/>
            <w:vMerge w:val="restart"/>
          </w:tcPr>
          <w:p>
            <w:pPr>
              <w:jc w:val="right"/>
              <w:ind w:right="35"/>
              <w:spacing w:after="0" w:line="136" w:lineRule="exact"/>
              <w:rPr>
                <w:sz w:val="20"/>
                <w:szCs w:val="20"/>
                <w:color w:val="auto"/>
              </w:rPr>
            </w:pPr>
            <w:r>
              <w:rPr>
                <w:rFonts w:ascii="Arial" w:cs="Arial" w:eastAsia="Arial" w:hAnsi="Arial"/>
                <w:sz w:val="13"/>
                <w:szCs w:val="13"/>
                <w:b w:val="1"/>
                <w:bCs w:val="1"/>
                <w:color w:val="auto"/>
                <w:w w:val="98"/>
              </w:rPr>
              <w:t>Common Stock</w:t>
            </w: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0" w:type="dxa"/>
            <w:vAlign w:val="bottom"/>
            <w:gridSpan w:val="4"/>
            <w:vMerge w:val="restart"/>
          </w:tcPr>
          <w:p>
            <w:pPr>
              <w:jc w:val="center"/>
              <w:spacing w:after="0" w:line="136" w:lineRule="exact"/>
              <w:rPr>
                <w:sz w:val="20"/>
                <w:szCs w:val="20"/>
                <w:color w:val="auto"/>
              </w:rPr>
            </w:pPr>
            <w:r>
              <w:rPr>
                <w:rFonts w:ascii="Arial" w:cs="Arial" w:eastAsia="Arial" w:hAnsi="Arial"/>
                <w:sz w:val="13"/>
                <w:szCs w:val="13"/>
                <w:b w:val="1"/>
                <w:bCs w:val="1"/>
                <w:color w:val="auto"/>
                <w:w w:val="91"/>
              </w:rPr>
              <w:t>Held By A Subsidiary</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0"/>
                <w:szCs w:val="10"/>
                <w:color w:val="auto"/>
              </w:rPr>
            </w:pPr>
          </w:p>
        </w:tc>
        <w:tc>
          <w:tcPr>
            <w:tcW w:w="840" w:type="dxa"/>
            <w:vAlign w:val="bottom"/>
            <w:tcBorders>
              <w:bottom w:val="single" w:sz="8" w:color="auto"/>
            </w:tcBorders>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bottom w:val="single" w:sz="8" w:color="auto"/>
            </w:tcBorders>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0"/>
                <w:szCs w:val="10"/>
                <w:color w:val="auto"/>
              </w:rPr>
            </w:pPr>
          </w:p>
        </w:tc>
        <w:tc>
          <w:tcPr>
            <w:tcW w:w="780" w:type="dxa"/>
            <w:vAlign w:val="bottom"/>
            <w:gridSpan w:val="2"/>
          </w:tcPr>
          <w:p>
            <w:pPr>
              <w:jc w:val="right"/>
              <w:ind w:right="240"/>
              <w:spacing w:after="0" w:line="124" w:lineRule="exact"/>
              <w:rPr>
                <w:sz w:val="20"/>
                <w:szCs w:val="20"/>
                <w:color w:val="auto"/>
              </w:rPr>
            </w:pPr>
            <w:r>
              <w:rPr>
                <w:rFonts w:ascii="Arial" w:cs="Arial" w:eastAsia="Arial" w:hAnsi="Arial"/>
                <w:sz w:val="13"/>
                <w:szCs w:val="13"/>
                <w:b w:val="1"/>
                <w:bCs w:val="1"/>
                <w:color w:val="auto"/>
                <w:w w:val="94"/>
              </w:rPr>
              <w:t>Retained</w:t>
            </w:r>
          </w:p>
        </w:tc>
        <w:tc>
          <w:tcPr>
            <w:tcW w:w="1000" w:type="dxa"/>
            <w:vAlign w:val="bottom"/>
            <w:gridSpan w:val="3"/>
          </w:tcPr>
          <w:p>
            <w:pPr>
              <w:jc w:val="center"/>
              <w:ind w:right="100"/>
              <w:spacing w:after="0" w:line="124" w:lineRule="exact"/>
              <w:rPr>
                <w:sz w:val="20"/>
                <w:szCs w:val="20"/>
                <w:color w:val="auto"/>
              </w:rPr>
            </w:pPr>
            <w:r>
              <w:rPr>
                <w:rFonts w:ascii="Arial" w:cs="Arial" w:eastAsia="Arial" w:hAnsi="Arial"/>
                <w:sz w:val="13"/>
                <w:szCs w:val="13"/>
                <w:b w:val="1"/>
                <w:bCs w:val="1"/>
                <w:color w:val="auto"/>
                <w:w w:val="89"/>
              </w:rPr>
              <w:t>Income (Loss),</w:t>
            </w:r>
          </w:p>
        </w:tc>
        <w:tc>
          <w:tcPr>
            <w:tcW w:w="12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20"/>
              <w:spacing w:after="0" w:line="124" w:lineRule="exact"/>
              <w:rPr>
                <w:sz w:val="20"/>
                <w:szCs w:val="20"/>
                <w:color w:val="auto"/>
              </w:rPr>
            </w:pPr>
            <w:r>
              <w:rPr>
                <w:rFonts w:ascii="Arial" w:cs="Arial" w:eastAsia="Arial" w:hAnsi="Arial"/>
                <w:sz w:val="13"/>
                <w:szCs w:val="13"/>
                <w:b w:val="1"/>
                <w:bCs w:val="1"/>
                <w:color w:val="auto"/>
                <w:w w:val="90"/>
              </w:rPr>
              <w:t>Stockholders’</w:t>
            </w:r>
          </w:p>
        </w:tc>
        <w:tc>
          <w:tcPr>
            <w:tcW w:w="96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Noncontrolling</w:t>
            </w:r>
          </w:p>
        </w:tc>
        <w:tc>
          <w:tcPr>
            <w:tcW w:w="8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Shares(*)</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w w:val="93"/>
              </w:rPr>
              <w:t>Earnings</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Net of Tax</w:t>
            </w: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90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Balance – January 1, 2008</w:t>
            </w:r>
          </w:p>
        </w:tc>
        <w:tc>
          <w:tcPr>
            <w:tcW w:w="42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36,607</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5"/>
              <w:spacing w:after="0" w:line="137" w:lineRule="exact"/>
              <w:rPr>
                <w:sz w:val="20"/>
                <w:szCs w:val="20"/>
                <w:color w:val="auto"/>
              </w:rPr>
            </w:pPr>
            <w:r>
              <w:rPr>
                <w:rFonts w:ascii="Arial" w:cs="Arial" w:eastAsia="Arial" w:hAnsi="Arial"/>
                <w:sz w:val="13"/>
                <w:szCs w:val="13"/>
                <w:b w:val="1"/>
                <w:bCs w:val="1"/>
                <w:color w:val="auto"/>
                <w:w w:val="83"/>
              </w:rPr>
              <w:t>$ —</w:t>
            </w:r>
          </w:p>
        </w:tc>
        <w:tc>
          <w:tcPr>
            <w:tcW w:w="4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277</w:t>
            </w: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5"/>
              <w:spacing w:after="0" w:line="137" w:lineRule="exact"/>
              <w:rPr>
                <w:sz w:val="20"/>
                <w:szCs w:val="20"/>
                <w:color w:val="auto"/>
              </w:rPr>
            </w:pPr>
            <w:r>
              <w:rPr>
                <w:rFonts w:ascii="Arial" w:cs="Arial" w:eastAsia="Arial" w:hAnsi="Arial"/>
                <w:sz w:val="13"/>
                <w:szCs w:val="13"/>
                <w:b w:val="1"/>
                <w:bCs w:val="1"/>
                <w:color w:val="auto"/>
              </w:rPr>
              <w:t>$ —</w:t>
            </w: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51,745,826</w:t>
            </w:r>
          </w:p>
        </w:tc>
        <w:tc>
          <w:tcPr>
            <w:tcW w:w="540" w:type="dxa"/>
            <w:vAlign w:val="bottom"/>
            <w:gridSpan w:val="3"/>
            <w:shd w:val="clear" w:color="auto" w:fill="CCEEFF"/>
          </w:tcPr>
          <w:p>
            <w:pPr>
              <w:jc w:val="right"/>
              <w:ind w:right="100"/>
              <w:spacing w:after="0" w:line="137" w:lineRule="exact"/>
              <w:rPr>
                <w:sz w:val="20"/>
                <w:szCs w:val="20"/>
                <w:color w:val="auto"/>
              </w:rPr>
            </w:pPr>
            <w:r>
              <w:rPr>
                <w:rFonts w:ascii="Arial" w:cs="Arial" w:eastAsia="Arial" w:hAnsi="Arial"/>
                <w:sz w:val="13"/>
                <w:szCs w:val="13"/>
                <w:b w:val="1"/>
                <w:bCs w:val="1"/>
                <w:color w:val="auto"/>
              </w:rPr>
              <w:t>$ 517</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b w:val="1"/>
                <w:bCs w:val="1"/>
                <w:color w:val="auto"/>
              </w:rPr>
              <w:t>(119,038)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b w:val="1"/>
                <w:bCs w:val="1"/>
                <w:color w:val="auto"/>
              </w:rPr>
              <w:t>248,551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b w:val="1"/>
                <w:bCs w:val="1"/>
                <w:color w:val="auto"/>
              </w:rPr>
              <w:t>23,725</w:t>
            </w:r>
          </w:p>
        </w:tc>
        <w:tc>
          <w:tcPr>
            <w:tcW w:w="6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b w:val="1"/>
                <w:bCs w:val="1"/>
                <w:color w:val="auto"/>
                <w:w w:val="93"/>
              </w:rPr>
              <w:t>1,712,846</w:t>
            </w:r>
          </w:p>
        </w:tc>
        <w:tc>
          <w:tcPr>
            <w:tcW w:w="680" w:type="dxa"/>
            <w:vAlign w:val="bottom"/>
            <w:gridSpan w:val="3"/>
            <w:shd w:val="clear" w:color="auto" w:fill="CCEEFF"/>
          </w:tcPr>
          <w:p>
            <w:pPr>
              <w:jc w:val="right"/>
              <w:ind w:right="60"/>
              <w:spacing w:after="0" w:line="137" w:lineRule="exact"/>
              <w:rPr>
                <w:sz w:val="20"/>
                <w:szCs w:val="20"/>
                <w:color w:val="auto"/>
              </w:rPr>
            </w:pPr>
            <w:r>
              <w:rPr>
                <w:rFonts w:ascii="Arial" w:cs="Arial" w:eastAsia="Arial" w:hAnsi="Arial"/>
                <w:sz w:val="13"/>
                <w:szCs w:val="13"/>
                <w:b w:val="1"/>
                <w:bCs w:val="1"/>
                <w:color w:val="auto"/>
              </w:rPr>
              <w:t>$ (69,296)</w:t>
            </w:r>
          </w:p>
        </w:tc>
        <w:tc>
          <w:tcPr>
            <w:tcW w:w="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w w:val="82"/>
              </w:rPr>
              <w:t>$</w:t>
            </w:r>
          </w:p>
        </w:tc>
        <w:tc>
          <w:tcPr>
            <w:tcW w:w="8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b w:val="1"/>
                <w:bCs w:val="1"/>
                <w:color w:val="auto"/>
              </w:rPr>
              <w:t>84,459</w:t>
            </w:r>
          </w:p>
        </w:tc>
        <w:tc>
          <w:tcPr>
            <w:tcW w:w="12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38,655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b w:val="1"/>
                <w:bCs w:val="1"/>
                <w:color w:val="auto"/>
              </w:rPr>
              <w:t>123,114</w:t>
            </w:r>
          </w:p>
        </w:tc>
        <w:tc>
          <w:tcPr>
            <w:tcW w:w="0" w:type="dxa"/>
            <w:vAlign w:val="bottom"/>
          </w:tcPr>
          <w:p>
            <w:pPr>
              <w:spacing w:after="0"/>
              <w:rPr>
                <w:sz w:val="1"/>
                <w:szCs w:val="1"/>
                <w:color w:val="auto"/>
              </w:rPr>
            </w:pPr>
          </w:p>
        </w:tc>
      </w:tr>
      <w:tr>
        <w:trPr>
          <w:trHeight w:val="150"/>
        </w:trPr>
        <w:tc>
          <w:tcPr>
            <w:tcW w:w="1900" w:type="dxa"/>
            <w:vAlign w:val="bottom"/>
          </w:tcPr>
          <w:p>
            <w:pPr>
              <w:spacing w:after="0"/>
              <w:rPr>
                <w:sz w:val="20"/>
                <w:szCs w:val="20"/>
                <w:color w:val="auto"/>
              </w:rPr>
            </w:pPr>
            <w:r>
              <w:rPr>
                <w:rFonts w:ascii="Arial" w:cs="Arial" w:eastAsia="Arial" w:hAnsi="Arial"/>
                <w:sz w:val="13"/>
                <w:szCs w:val="13"/>
                <w:color w:val="auto"/>
              </w:rPr>
              <w:t>Comprehensive income (loss):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Net income (loss)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3,138</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3,138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(3,377)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35"/>
        </w:trPr>
        <w:tc>
          <w:tcPr>
            <w:tcW w:w="1900" w:type="dxa"/>
            <w:vAlign w:val="bottom"/>
          </w:tcPr>
          <w:p>
            <w:pPr>
              <w:ind w:left="220"/>
              <w:spacing w:after="0" w:line="135" w:lineRule="exact"/>
              <w:rPr>
                <w:sz w:val="20"/>
                <w:szCs w:val="20"/>
                <w:color w:val="auto"/>
              </w:rPr>
            </w:pPr>
            <w:r>
              <w:rPr>
                <w:rFonts w:ascii="Arial" w:cs="Arial" w:eastAsia="Arial" w:hAnsi="Arial"/>
                <w:sz w:val="13"/>
                <w:szCs w:val="13"/>
                <w:color w:val="auto"/>
                <w:w w:val="97"/>
              </w:rPr>
              <w:t>Other comprehensive income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00" w:type="dxa"/>
            <w:vAlign w:val="bottom"/>
          </w:tcPr>
          <w:p>
            <w:pPr>
              <w:ind w:left="420"/>
              <w:spacing w:after="0"/>
              <w:rPr>
                <w:sz w:val="20"/>
                <w:szCs w:val="20"/>
                <w:color w:val="auto"/>
              </w:rPr>
            </w:pPr>
            <w:r>
              <w:rPr>
                <w:rFonts w:ascii="Arial" w:cs="Arial" w:eastAsia="Arial" w:hAnsi="Arial"/>
                <w:sz w:val="13"/>
                <w:szCs w:val="13"/>
                <w:color w:val="auto"/>
              </w:rPr>
              <w:t>(loss) - net of tax:</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rPr>
              <w:t>Currency translation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adjustments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(95,198)</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(95,198)</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(57,037)</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(152,235)</w:t>
            </w:r>
          </w:p>
        </w:tc>
        <w:tc>
          <w:tcPr>
            <w:tcW w:w="0" w:type="dxa"/>
            <w:vAlign w:val="bottom"/>
          </w:tcPr>
          <w:p>
            <w:pPr>
              <w:spacing w:after="0"/>
              <w:rPr>
                <w:sz w:val="1"/>
                <w:szCs w:val="1"/>
                <w:color w:val="auto"/>
              </w:rPr>
            </w:pPr>
          </w:p>
        </w:tc>
      </w:tr>
      <w:tr>
        <w:trPr>
          <w:trHeight w:val="135"/>
        </w:trPr>
        <w:tc>
          <w:tcPr>
            <w:tcW w:w="1900" w:type="dxa"/>
            <w:vAlign w:val="bottom"/>
          </w:tcPr>
          <w:p>
            <w:pPr>
              <w:ind w:left="640"/>
              <w:spacing w:after="0" w:line="135" w:lineRule="exact"/>
              <w:rPr>
                <w:sz w:val="20"/>
                <w:szCs w:val="20"/>
                <w:color w:val="auto"/>
              </w:rPr>
            </w:pPr>
            <w:r>
              <w:rPr>
                <w:rFonts w:ascii="Arial" w:cs="Arial" w:eastAsia="Arial" w:hAnsi="Arial"/>
                <w:sz w:val="13"/>
                <w:szCs w:val="13"/>
                <w:color w:val="auto"/>
              </w:rPr>
              <w:t>Amortization of</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00" w:type="dxa"/>
            <w:vAlign w:val="bottom"/>
          </w:tcPr>
          <w:p>
            <w:pPr>
              <w:ind w:left="840"/>
              <w:spacing w:after="0"/>
              <w:rPr>
                <w:sz w:val="20"/>
                <w:szCs w:val="20"/>
                <w:color w:val="auto"/>
              </w:rPr>
            </w:pPr>
            <w:r>
              <w:rPr>
                <w:rFonts w:ascii="Arial" w:cs="Arial" w:eastAsia="Arial" w:hAnsi="Arial"/>
                <w:sz w:val="13"/>
                <w:szCs w:val="13"/>
                <w:color w:val="auto"/>
                <w:w w:val="95"/>
              </w:rPr>
              <w:t>interest rate hedge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778</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778</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rPr>
              <w:t>Available-for-sale</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securities: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tcPr>
          <w:p>
            <w:pPr>
              <w:ind w:left="1040"/>
              <w:spacing w:after="0" w:line="135" w:lineRule="exact"/>
              <w:rPr>
                <w:sz w:val="20"/>
                <w:szCs w:val="20"/>
                <w:color w:val="auto"/>
              </w:rPr>
            </w:pPr>
            <w:r>
              <w:rPr>
                <w:rFonts w:ascii="Arial" w:cs="Arial" w:eastAsia="Arial" w:hAnsi="Arial"/>
                <w:sz w:val="13"/>
                <w:szCs w:val="13"/>
                <w:color w:val="auto"/>
              </w:rPr>
              <w:t>Net unrealized</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00" w:type="dxa"/>
            <w:vAlign w:val="bottom"/>
          </w:tcPr>
          <w:p>
            <w:pPr>
              <w:ind w:left="1260"/>
              <w:spacing w:after="0"/>
              <w:rPr>
                <w:sz w:val="20"/>
                <w:szCs w:val="20"/>
                <w:color w:val="auto"/>
              </w:rPr>
            </w:pPr>
            <w:r>
              <w:rPr>
                <w:rFonts w:ascii="Arial" w:cs="Arial" w:eastAsia="Arial" w:hAnsi="Arial"/>
                <w:sz w:val="13"/>
                <w:szCs w:val="13"/>
                <w:color w:val="auto"/>
              </w:rPr>
              <w:t>loss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(25,496)</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(25,496)</w:t>
            </w:r>
          </w:p>
        </w:tc>
        <w:tc>
          <w:tcPr>
            <w:tcW w:w="12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(15,354)</w:t>
            </w:r>
          </w:p>
        </w:tc>
        <w:tc>
          <w:tcPr>
            <w:tcW w:w="14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(40,850)</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1040"/>
              <w:spacing w:after="0" w:line="135" w:lineRule="exact"/>
              <w:rPr>
                <w:sz w:val="20"/>
                <w:szCs w:val="20"/>
                <w:color w:val="auto"/>
              </w:rPr>
            </w:pPr>
            <w:r>
              <w:rPr>
                <w:rFonts w:ascii="Arial" w:cs="Arial" w:eastAsia="Arial" w:hAnsi="Arial"/>
                <w:sz w:val="13"/>
                <w:szCs w:val="13"/>
                <w:color w:val="auto"/>
              </w:rPr>
              <w:t>Adjustment for</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ind w:left="1260"/>
              <w:spacing w:after="0" w:line="144" w:lineRule="exact"/>
              <w:rPr>
                <w:sz w:val="20"/>
                <w:szCs w:val="20"/>
                <w:color w:val="auto"/>
              </w:rPr>
            </w:pPr>
            <w:r>
              <w:rPr>
                <w:rFonts w:ascii="Arial" w:cs="Arial" w:eastAsia="Arial" w:hAnsi="Arial"/>
                <w:sz w:val="13"/>
                <w:szCs w:val="13"/>
                <w:color w:val="auto"/>
              </w:rPr>
              <w:t>items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ind w:left="1260"/>
              <w:spacing w:after="0" w:line="144" w:lineRule="exact"/>
              <w:rPr>
                <w:sz w:val="20"/>
                <w:szCs w:val="20"/>
                <w:color w:val="auto"/>
              </w:rPr>
            </w:pPr>
            <w:r>
              <w:rPr>
                <w:rFonts w:ascii="Arial" w:cs="Arial" w:eastAsia="Arial" w:hAnsi="Arial"/>
                <w:sz w:val="13"/>
                <w:szCs w:val="13"/>
                <w:color w:val="auto"/>
                <w:w w:val="95"/>
              </w:rPr>
              <w:t>reclassified</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00" w:type="dxa"/>
            <w:vAlign w:val="bottom"/>
            <w:shd w:val="clear" w:color="auto" w:fill="CCEEFF"/>
          </w:tcPr>
          <w:p>
            <w:pPr>
              <w:ind w:left="1260"/>
              <w:spacing w:after="0"/>
              <w:rPr>
                <w:sz w:val="20"/>
                <w:szCs w:val="20"/>
                <w:color w:val="auto"/>
              </w:rPr>
            </w:pPr>
            <w:r>
              <w:rPr>
                <w:rFonts w:ascii="Arial" w:cs="Arial" w:eastAsia="Arial" w:hAnsi="Arial"/>
                <w:sz w:val="13"/>
                <w:szCs w:val="13"/>
                <w:color w:val="auto"/>
                <w:w w:val="96"/>
              </w:rPr>
              <w:t>to earnings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tcPr>
          <w:p>
            <w:pPr>
              <w:ind w:left="640"/>
              <w:spacing w:after="0" w:line="135" w:lineRule="exact"/>
              <w:rPr>
                <w:sz w:val="20"/>
                <w:szCs w:val="20"/>
                <w:color w:val="auto"/>
              </w:rPr>
            </w:pPr>
            <w:r>
              <w:rPr>
                <w:rFonts w:ascii="Arial" w:cs="Arial" w:eastAsia="Arial" w:hAnsi="Arial"/>
                <w:sz w:val="13"/>
                <w:szCs w:val="13"/>
                <w:color w:val="auto"/>
              </w:rPr>
              <w:t>Employee benefit</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00" w:type="dxa"/>
            <w:vAlign w:val="bottom"/>
          </w:tcPr>
          <w:p>
            <w:pPr>
              <w:ind w:left="840"/>
              <w:spacing w:after="0"/>
              <w:rPr>
                <w:sz w:val="20"/>
                <w:szCs w:val="20"/>
                <w:color w:val="auto"/>
              </w:rPr>
            </w:pPr>
            <w:r>
              <w:rPr>
                <w:rFonts w:ascii="Arial" w:cs="Arial" w:eastAsia="Arial" w:hAnsi="Arial"/>
                <w:sz w:val="13"/>
                <w:szCs w:val="13"/>
                <w:color w:val="auto"/>
              </w:rPr>
              <w:t>plans: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1040"/>
              <w:spacing w:after="0" w:line="135" w:lineRule="exact"/>
              <w:rPr>
                <w:sz w:val="20"/>
                <w:szCs w:val="20"/>
                <w:color w:val="auto"/>
              </w:rPr>
            </w:pPr>
            <w:r>
              <w:rPr>
                <w:rFonts w:ascii="Arial" w:cs="Arial" w:eastAsia="Arial" w:hAnsi="Arial"/>
                <w:sz w:val="13"/>
                <w:szCs w:val="13"/>
                <w:color w:val="auto"/>
              </w:rPr>
              <w:t>Net actuarial</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00" w:type="dxa"/>
            <w:vAlign w:val="bottom"/>
            <w:shd w:val="clear" w:color="auto" w:fill="CCEEFF"/>
          </w:tcPr>
          <w:p>
            <w:pPr>
              <w:ind w:left="1260"/>
              <w:spacing w:after="0"/>
              <w:rPr>
                <w:sz w:val="20"/>
                <w:szCs w:val="20"/>
                <w:color w:val="auto"/>
              </w:rPr>
            </w:pPr>
            <w:r>
              <w:rPr>
                <w:rFonts w:ascii="Arial" w:cs="Arial" w:eastAsia="Arial" w:hAnsi="Arial"/>
                <w:sz w:val="13"/>
                <w:szCs w:val="13"/>
                <w:color w:val="auto"/>
              </w:rPr>
              <w:t>gain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8,834</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8,834</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tcPr>
          <w:p>
            <w:pPr>
              <w:ind w:left="1040"/>
              <w:spacing w:after="0" w:line="135" w:lineRule="exact"/>
              <w:rPr>
                <w:sz w:val="20"/>
                <w:szCs w:val="20"/>
                <w:color w:val="auto"/>
              </w:rPr>
            </w:pPr>
            <w:r>
              <w:rPr>
                <w:rFonts w:ascii="Arial" w:cs="Arial" w:eastAsia="Arial" w:hAnsi="Arial"/>
                <w:sz w:val="13"/>
                <w:szCs w:val="13"/>
                <w:color w:val="auto"/>
              </w:rPr>
              <w:t>Adjustment for</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1260"/>
              <w:spacing w:after="0" w:line="144" w:lineRule="exact"/>
              <w:rPr>
                <w:sz w:val="20"/>
                <w:szCs w:val="20"/>
                <w:color w:val="auto"/>
              </w:rPr>
            </w:pPr>
            <w:r>
              <w:rPr>
                <w:rFonts w:ascii="Arial" w:cs="Arial" w:eastAsia="Arial" w:hAnsi="Arial"/>
                <w:sz w:val="13"/>
                <w:szCs w:val="13"/>
                <w:color w:val="auto"/>
              </w:rPr>
              <w:t>items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1260"/>
              <w:spacing w:after="0" w:line="144" w:lineRule="exact"/>
              <w:rPr>
                <w:sz w:val="20"/>
                <w:szCs w:val="20"/>
                <w:color w:val="auto"/>
              </w:rPr>
            </w:pPr>
            <w:r>
              <w:rPr>
                <w:rFonts w:ascii="Arial" w:cs="Arial" w:eastAsia="Arial" w:hAnsi="Arial"/>
                <w:sz w:val="13"/>
                <w:szCs w:val="13"/>
                <w:color w:val="auto"/>
                <w:w w:val="95"/>
              </w:rPr>
              <w:t>reclassified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00" w:type="dxa"/>
            <w:vAlign w:val="bottom"/>
          </w:tcPr>
          <w:p>
            <w:pPr>
              <w:ind w:left="1260"/>
              <w:spacing w:after="0"/>
              <w:rPr>
                <w:sz w:val="20"/>
                <w:szCs w:val="20"/>
                <w:color w:val="auto"/>
              </w:rPr>
            </w:pPr>
            <w:r>
              <w:rPr>
                <w:rFonts w:ascii="Arial" w:cs="Arial" w:eastAsia="Arial" w:hAnsi="Arial"/>
                <w:sz w:val="13"/>
                <w:szCs w:val="13"/>
                <w:color w:val="auto"/>
                <w:w w:val="96"/>
              </w:rPr>
              <w:t>to earnings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77</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Comprehensive loss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(107,864)</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(69,932)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(177,796)</w:t>
            </w:r>
          </w:p>
        </w:tc>
        <w:tc>
          <w:tcPr>
            <w:tcW w:w="0" w:type="dxa"/>
            <w:vAlign w:val="bottom"/>
          </w:tcPr>
          <w:p>
            <w:pPr>
              <w:spacing w:after="0"/>
              <w:rPr>
                <w:sz w:val="1"/>
                <w:szCs w:val="1"/>
                <w:color w:val="auto"/>
              </w:rPr>
            </w:pPr>
          </w:p>
        </w:tc>
      </w:tr>
      <w:tr>
        <w:trPr>
          <w:trHeight w:val="141"/>
        </w:trPr>
        <w:tc>
          <w:tcPr>
            <w:tcW w:w="1900" w:type="dxa"/>
            <w:vAlign w:val="bottom"/>
          </w:tcPr>
          <w:p>
            <w:pPr>
              <w:spacing w:after="0" w:line="141" w:lineRule="exact"/>
              <w:rPr>
                <w:sz w:val="20"/>
                <w:szCs w:val="20"/>
                <w:color w:val="auto"/>
              </w:rPr>
            </w:pPr>
            <w:r>
              <w:rPr>
                <w:rFonts w:ascii="Arial" w:cs="Arial" w:eastAsia="Arial" w:hAnsi="Arial"/>
                <w:sz w:val="13"/>
                <w:szCs w:val="13"/>
                <w:color w:val="auto"/>
              </w:rPr>
              <w:t>Class A 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220"/>
              <w:spacing w:after="0" w:line="144" w:lineRule="exact"/>
              <w:rPr>
                <w:sz w:val="20"/>
                <w:szCs w:val="20"/>
                <w:color w:val="auto"/>
              </w:rPr>
            </w:pPr>
            <w:r>
              <w:rPr>
                <w:rFonts w:ascii="Arial" w:cs="Arial" w:eastAsia="Arial" w:hAnsi="Arial"/>
                <w:sz w:val="13"/>
                <w:szCs w:val="13"/>
                <w:color w:val="auto"/>
                <w:w w:val="98"/>
              </w:rPr>
              <w:t>issued/issuable in connection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220"/>
              <w:spacing w:after="0" w:line="144" w:lineRule="exact"/>
              <w:rPr>
                <w:sz w:val="20"/>
                <w:szCs w:val="20"/>
                <w:color w:val="auto"/>
              </w:rPr>
            </w:pPr>
            <w:r>
              <w:rPr>
                <w:rFonts w:ascii="Arial" w:cs="Arial" w:eastAsia="Arial" w:hAnsi="Arial"/>
                <w:sz w:val="13"/>
                <w:szCs w:val="13"/>
                <w:color w:val="auto"/>
                <w:w w:val="94"/>
              </w:rPr>
              <w:t>with business acquisitions and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220"/>
              <w:spacing w:after="0" w:line="144" w:lineRule="exact"/>
              <w:rPr>
                <w:sz w:val="20"/>
                <w:szCs w:val="20"/>
                <w:color w:val="auto"/>
              </w:rPr>
            </w:pPr>
            <w:r>
              <w:rPr>
                <w:rFonts w:ascii="Arial" w:cs="Arial" w:eastAsia="Arial" w:hAnsi="Arial"/>
                <w:sz w:val="13"/>
                <w:szCs w:val="13"/>
                <w:color w:val="auto"/>
              </w:rPr>
              <w:t>LAM Merger and related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00" w:type="dxa"/>
            <w:vAlign w:val="bottom"/>
          </w:tcPr>
          <w:p>
            <w:pPr>
              <w:ind w:left="220"/>
              <w:spacing w:after="0"/>
              <w:rPr>
                <w:sz w:val="20"/>
                <w:szCs w:val="20"/>
                <w:color w:val="auto"/>
              </w:rPr>
            </w:pPr>
            <w:r>
              <w:rPr>
                <w:rFonts w:ascii="Arial" w:cs="Arial" w:eastAsia="Arial" w:hAnsi="Arial"/>
                <w:sz w:val="13"/>
                <w:szCs w:val="13"/>
                <w:color w:val="auto"/>
              </w:rPr>
              <w:t>amortization</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203,890</w:t>
            </w:r>
          </w:p>
        </w:tc>
        <w:tc>
          <w:tcPr>
            <w:tcW w:w="540" w:type="dxa"/>
            <w:vAlign w:val="bottom"/>
            <w:gridSpan w:val="3"/>
          </w:tcPr>
          <w:p>
            <w:pPr>
              <w:jc w:val="right"/>
              <w:ind w:right="10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69,174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69,176</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8,308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77,484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Conversion of Series A and Series</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w w:val="96"/>
              </w:rPr>
              <w:t>B preferred stock into Class A</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common stock</w:t>
            </w:r>
          </w:p>
        </w:tc>
        <w:tc>
          <w:tcPr>
            <w:tcW w:w="54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(4,862)</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(277)</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450,259</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Repurchase of common</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220"/>
              <w:spacing w:after="0" w:line="144" w:lineRule="exact"/>
              <w:rPr>
                <w:sz w:val="20"/>
                <w:szCs w:val="20"/>
                <w:color w:val="auto"/>
              </w:rPr>
            </w:pPr>
            <w:r>
              <w:rPr>
                <w:rFonts w:ascii="Arial" w:cs="Arial" w:eastAsia="Arial" w:hAnsi="Arial"/>
                <w:sz w:val="13"/>
                <w:szCs w:val="13"/>
                <w:color w:val="auto"/>
              </w:rPr>
              <w:t>membership interests from</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00" w:type="dxa"/>
            <w:vAlign w:val="bottom"/>
          </w:tcPr>
          <w:p>
            <w:pPr>
              <w:ind w:left="220"/>
              <w:spacing w:after="0"/>
              <w:rPr>
                <w:sz w:val="20"/>
                <w:szCs w:val="20"/>
                <w:color w:val="auto"/>
              </w:rPr>
            </w:pPr>
            <w:r>
              <w:rPr>
                <w:rFonts w:ascii="Arial" w:cs="Arial" w:eastAsia="Arial" w:hAnsi="Arial"/>
                <w:sz w:val="13"/>
                <w:szCs w:val="13"/>
                <w:color w:val="auto"/>
              </w:rPr>
              <w:t>LAZ-MD Holdings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(1,597)</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(1,597)</w:t>
            </w:r>
          </w:p>
        </w:tc>
        <w:tc>
          <w:tcPr>
            <w:tcW w:w="12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(962)</w:t>
            </w:r>
          </w:p>
        </w:tc>
        <w:tc>
          <w:tcPr>
            <w:tcW w:w="14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(2,559)</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Amortization of share-based</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incentive compensation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147,763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147,763</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88,170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235,933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line="144" w:lineRule="exact"/>
              <w:rPr>
                <w:sz w:val="20"/>
                <w:szCs w:val="20"/>
                <w:color w:val="auto"/>
              </w:rPr>
            </w:pPr>
            <w:r>
              <w:rPr>
                <w:rFonts w:ascii="Arial" w:cs="Arial" w:eastAsia="Arial" w:hAnsi="Arial"/>
                <w:sz w:val="13"/>
                <w:szCs w:val="13"/>
                <w:color w:val="auto"/>
              </w:rPr>
              <w:t>Dividend-equivalents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7,211</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(7,223)</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8"/>
              </w:rPr>
              <w:t>Class A common stock dividends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(23,056)</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(23,056)</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(23,056)</w:t>
            </w:r>
          </w:p>
        </w:tc>
        <w:tc>
          <w:tcPr>
            <w:tcW w:w="0" w:type="dxa"/>
            <w:vAlign w:val="bottom"/>
          </w:tcPr>
          <w:p>
            <w:pPr>
              <w:spacing w:after="0"/>
              <w:rPr>
                <w:sz w:val="1"/>
                <w:szCs w:val="1"/>
                <w:color w:val="auto"/>
              </w:rPr>
            </w:pPr>
          </w:p>
        </w:tc>
      </w:tr>
      <w:tr>
        <w:trPr>
          <w:trHeight w:val="144"/>
        </w:trPr>
        <w:tc>
          <w:tcPr>
            <w:tcW w:w="1900" w:type="dxa"/>
            <w:vAlign w:val="bottom"/>
          </w:tcPr>
          <w:p>
            <w:pPr>
              <w:spacing w:after="0" w:line="144" w:lineRule="exact"/>
              <w:rPr>
                <w:sz w:val="20"/>
                <w:szCs w:val="20"/>
                <w:color w:val="auto"/>
              </w:rPr>
            </w:pPr>
            <w:r>
              <w:rPr>
                <w:rFonts w:ascii="Arial" w:cs="Arial" w:eastAsia="Arial" w:hAnsi="Arial"/>
                <w:sz w:val="13"/>
                <w:szCs w:val="13"/>
                <w:color w:val="auto"/>
                <w:w w:val="91"/>
              </w:rPr>
              <w:t>Purchase of Class A 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w w:val="93"/>
              </w:rPr>
              <w:t>8,308,170</w:t>
            </w:r>
          </w:p>
        </w:tc>
        <w:tc>
          <w:tcPr>
            <w:tcW w:w="680" w:type="dxa"/>
            <w:vAlign w:val="bottom"/>
            <w:gridSpan w:val="3"/>
          </w:tcPr>
          <w:p>
            <w:pPr>
              <w:jc w:val="right"/>
              <w:ind w:right="60"/>
              <w:spacing w:after="0" w:line="144" w:lineRule="exact"/>
              <w:rPr>
                <w:sz w:val="20"/>
                <w:szCs w:val="20"/>
                <w:color w:val="auto"/>
              </w:rPr>
            </w:pPr>
            <w:r>
              <w:rPr>
                <w:rFonts w:ascii="Arial" w:cs="Arial" w:eastAsia="Arial" w:hAnsi="Arial"/>
                <w:sz w:val="13"/>
                <w:szCs w:val="13"/>
                <w:color w:val="auto"/>
              </w:rPr>
              <w:t>(277,064)</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(277,064)</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(277,064)</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5"/>
              </w:rPr>
              <w:t>Delivery of Class A common stock</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w w:val="92"/>
              </w:rPr>
              <w:t>in connection with share-based</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incentive compensation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(29,024)</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(644,854)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24,508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(4,516)</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(4,516)</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Class A common stock issued in</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00" w:type="dxa"/>
            <w:vAlign w:val="bottom"/>
          </w:tcPr>
          <w:p>
            <w:pPr>
              <w:ind w:left="220"/>
              <w:spacing w:after="0"/>
              <w:rPr>
                <w:sz w:val="20"/>
                <w:szCs w:val="20"/>
                <w:color w:val="auto"/>
              </w:rPr>
            </w:pPr>
            <w:r>
              <w:rPr>
                <w:rFonts w:ascii="Arial" w:cs="Arial" w:eastAsia="Arial" w:hAnsi="Arial"/>
                <w:sz w:val="13"/>
                <w:szCs w:val="13"/>
                <w:color w:val="auto"/>
              </w:rPr>
              <w:t>connection with:</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Settlement of the purchase</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ind w:left="420"/>
              <w:spacing w:after="0" w:line="144" w:lineRule="exact"/>
              <w:rPr>
                <w:sz w:val="20"/>
                <w:szCs w:val="20"/>
                <w:color w:val="auto"/>
              </w:rPr>
            </w:pPr>
            <w:r>
              <w:rPr>
                <w:rFonts w:ascii="Arial" w:cs="Arial" w:eastAsia="Arial" w:hAnsi="Arial"/>
                <w:sz w:val="13"/>
                <w:szCs w:val="13"/>
                <w:color w:val="auto"/>
              </w:rPr>
              <w:t>contracts forming part of</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the ESUs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14,582,750</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272,930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273,076</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164,424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437,500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tcPr>
          <w:p>
            <w:pPr>
              <w:ind w:left="220"/>
              <w:spacing w:after="0" w:line="135" w:lineRule="exact"/>
              <w:rPr>
                <w:sz w:val="20"/>
                <w:szCs w:val="20"/>
                <w:color w:val="auto"/>
              </w:rPr>
            </w:pPr>
            <w:r>
              <w:rPr>
                <w:rFonts w:ascii="Arial" w:cs="Arial" w:eastAsia="Arial" w:hAnsi="Arial"/>
                <w:sz w:val="13"/>
                <w:szCs w:val="13"/>
                <w:color w:val="auto"/>
              </w:rPr>
              <w:t>Exchange for Lazard Group</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420"/>
              <w:spacing w:after="0" w:line="144" w:lineRule="exact"/>
              <w:rPr>
                <w:sz w:val="20"/>
                <w:szCs w:val="20"/>
                <w:color w:val="auto"/>
              </w:rPr>
            </w:pPr>
            <w:r>
              <w:rPr>
                <w:rFonts w:ascii="Arial" w:cs="Arial" w:eastAsia="Arial" w:hAnsi="Arial"/>
                <w:sz w:val="13"/>
                <w:szCs w:val="13"/>
                <w:color w:val="auto"/>
              </w:rPr>
              <w:t>common membership</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420"/>
              <w:spacing w:after="0" w:line="144" w:lineRule="exact"/>
              <w:rPr>
                <w:sz w:val="20"/>
                <w:szCs w:val="20"/>
                <w:color w:val="auto"/>
              </w:rPr>
            </w:pPr>
            <w:r>
              <w:rPr>
                <w:rFonts w:ascii="Arial" w:cs="Arial" w:eastAsia="Arial" w:hAnsi="Arial"/>
                <w:sz w:val="13"/>
                <w:szCs w:val="13"/>
                <w:color w:val="auto"/>
              </w:rPr>
              <w:t>interests, including in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420"/>
              <w:spacing w:after="0" w:line="144" w:lineRule="exact"/>
              <w:rPr>
                <w:sz w:val="20"/>
                <w:szCs w:val="20"/>
                <w:color w:val="auto"/>
              </w:rPr>
            </w:pPr>
            <w:r>
              <w:rPr>
                <w:rFonts w:ascii="Arial" w:cs="Arial" w:eastAsia="Arial" w:hAnsi="Arial"/>
                <w:sz w:val="13"/>
                <w:szCs w:val="13"/>
                <w:color w:val="auto"/>
                <w:w w:val="95"/>
              </w:rPr>
              <w:t>connection with secondary</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00" w:type="dxa"/>
            <w:vAlign w:val="bottom"/>
          </w:tcPr>
          <w:p>
            <w:pPr>
              <w:ind w:left="420"/>
              <w:spacing w:after="0"/>
              <w:rPr>
                <w:sz w:val="20"/>
                <w:szCs w:val="20"/>
                <w:color w:val="auto"/>
              </w:rPr>
            </w:pPr>
            <w:r>
              <w:rPr>
                <w:rFonts w:ascii="Arial" w:cs="Arial" w:eastAsia="Arial" w:hAnsi="Arial"/>
                <w:sz w:val="13"/>
                <w:szCs w:val="13"/>
                <w:color w:val="auto"/>
              </w:rPr>
              <w:t>offering</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9,312,188</w:t>
            </w:r>
          </w:p>
        </w:tc>
        <w:tc>
          <w:tcPr>
            <w:tcW w:w="540" w:type="dxa"/>
            <w:vAlign w:val="bottom"/>
            <w:gridSpan w:val="3"/>
          </w:tcPr>
          <w:p>
            <w:pPr>
              <w:jc w:val="right"/>
              <w:ind w:right="100"/>
              <w:spacing w:after="0"/>
              <w:rPr>
                <w:sz w:val="20"/>
                <w:szCs w:val="20"/>
                <w:color w:val="auto"/>
              </w:rPr>
            </w:pPr>
            <w:r>
              <w:rPr>
                <w:rFonts w:ascii="Arial" w:cs="Arial" w:eastAsia="Arial" w:hAnsi="Arial"/>
                <w:sz w:val="13"/>
                <w:szCs w:val="13"/>
                <w:color w:val="auto"/>
              </w:rPr>
              <w:t>93</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interests, net</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(77,507)</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(77,507)</w:t>
            </w:r>
          </w:p>
        </w:tc>
        <w:tc>
          <w:tcPr>
            <w:tcW w:w="0" w:type="dxa"/>
            <w:vAlign w:val="bottom"/>
          </w:tcPr>
          <w:p>
            <w:pPr>
              <w:spacing w:after="0"/>
              <w:rPr>
                <w:sz w:val="1"/>
                <w:szCs w:val="1"/>
                <w:color w:val="auto"/>
              </w:rPr>
            </w:pPr>
          </w:p>
        </w:tc>
      </w:tr>
      <w:tr>
        <w:trPr>
          <w:trHeight w:val="144"/>
        </w:trPr>
        <w:tc>
          <w:tcPr>
            <w:tcW w:w="1900" w:type="dxa"/>
            <w:vAlign w:val="bottom"/>
          </w:tcPr>
          <w:p>
            <w:pPr>
              <w:spacing w:after="0" w:line="144" w:lineRule="exact"/>
              <w:rPr>
                <w:sz w:val="20"/>
                <w:szCs w:val="20"/>
                <w:color w:val="auto"/>
              </w:rPr>
            </w:pPr>
            <w:r>
              <w:rPr>
                <w:rFonts w:ascii="Arial" w:cs="Arial" w:eastAsia="Arial" w:hAnsi="Arial"/>
                <w:sz w:val="13"/>
                <w:szCs w:val="13"/>
                <w:color w:val="auto"/>
              </w:rPr>
              <w:t>Other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144</w:t>
            </w:r>
          </w:p>
        </w:tc>
        <w:tc>
          <w:tcPr>
            <w:tcW w:w="1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87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231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Adjustment related to</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noncontrolling interests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82,229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7,842</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90,071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(90,071)</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rPr>
              <w:t>Balance – December 31, 2008</w:t>
            </w: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900" w:type="dxa"/>
            <w:vAlign w:val="bottom"/>
            <w:vMerge w:val="continue"/>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31,745</w:t>
            </w:r>
          </w:p>
        </w:tc>
        <w:tc>
          <w:tcPr>
            <w:tcW w:w="120" w:type="dxa"/>
            <w:vAlign w:val="bottom"/>
          </w:tcPr>
          <w:p>
            <w:pPr>
              <w:spacing w:after="0"/>
              <w:rPr>
                <w:sz w:val="13"/>
                <w:szCs w:val="13"/>
                <w:color w:val="auto"/>
              </w:rPr>
            </w:pPr>
          </w:p>
        </w:tc>
        <w:tc>
          <w:tcPr>
            <w:tcW w:w="300" w:type="dxa"/>
            <w:vAlign w:val="bottom"/>
          </w:tcPr>
          <w:p>
            <w:pPr>
              <w:jc w:val="right"/>
              <w:ind w:right="15"/>
              <w:spacing w:after="0"/>
              <w:rPr>
                <w:sz w:val="20"/>
                <w:szCs w:val="20"/>
                <w:color w:val="auto"/>
              </w:rPr>
            </w:pPr>
            <w:r>
              <w:rPr>
                <w:rFonts w:ascii="Arial" w:cs="Arial" w:eastAsia="Arial" w:hAnsi="Arial"/>
                <w:sz w:val="13"/>
                <w:szCs w:val="13"/>
                <w:b w:val="1"/>
                <w:bCs w:val="1"/>
                <w:color w:val="auto"/>
                <w:w w:val="83"/>
              </w:rPr>
              <w:t>$ —</w:t>
            </w:r>
          </w:p>
        </w:tc>
        <w:tc>
          <w:tcPr>
            <w:tcW w:w="100" w:type="dxa"/>
            <w:vAlign w:val="bottom"/>
          </w:tcPr>
          <w:p>
            <w:pPr>
              <w:spacing w:after="0"/>
              <w:rPr>
                <w:sz w:val="13"/>
                <w:szCs w:val="13"/>
                <w:color w:val="auto"/>
              </w:rPr>
            </w:pPr>
          </w:p>
        </w:tc>
        <w:tc>
          <w:tcPr>
            <w:tcW w:w="380" w:type="dxa"/>
            <w:vAlign w:val="bottom"/>
          </w:tcPr>
          <w:p>
            <w:pPr>
              <w:jc w:val="right"/>
              <w:ind w:right="15"/>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5"/>
              <w:spacing w:after="0"/>
              <w:rPr>
                <w:sz w:val="20"/>
                <w:szCs w:val="20"/>
                <w:color w:val="auto"/>
              </w:rPr>
            </w:pPr>
            <w:r>
              <w:rPr>
                <w:rFonts w:ascii="Arial" w:cs="Arial" w:eastAsia="Arial" w:hAnsi="Arial"/>
                <w:sz w:val="13"/>
                <w:szCs w:val="13"/>
                <w:b w:val="1"/>
                <w:bCs w:val="1"/>
                <w:color w:val="auto"/>
              </w:rPr>
              <w:t>$ —</w:t>
            </w: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76,294,913</w:t>
            </w:r>
          </w:p>
        </w:tc>
        <w:tc>
          <w:tcPr>
            <w:tcW w:w="5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$ 763</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429,694</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221,410</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(79,435)</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3"/>
              </w:rPr>
              <w:t>9,376,162</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b w:val="1"/>
                <w:bCs w:val="1"/>
                <w:u w:val="single" w:color="auto"/>
                <w:color w:val="auto"/>
                <w:w w:val="95"/>
              </w:rPr>
              <w:t>$</w:t>
            </w:r>
            <w:r>
              <w:rPr>
                <w:rFonts w:ascii="Arial" w:cs="Arial" w:eastAsia="Arial" w:hAnsi="Arial"/>
                <w:sz w:val="13"/>
                <w:szCs w:val="13"/>
                <w:b w:val="1"/>
                <w:bCs w:val="1"/>
                <w:color w:val="auto"/>
                <w:w w:val="95"/>
              </w:rPr>
              <w:t>(321,852)</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250,580</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61,172</w:t>
            </w:r>
          </w:p>
        </w:tc>
        <w:tc>
          <w:tcPr>
            <w:tcW w:w="1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311,752</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520"/>
          </w:cols>
          <w:pgMar w:left="240" w:top="448" w:right="1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2010, 2009 AND 2008—(Continued)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8"/>
              </w:rPr>
              <w:t>Series A</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Accumulated</w:t>
            </w: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87"/>
              </w:rPr>
              <w:t>Class A</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220"/>
              <w:spacing w:after="0" w:line="144" w:lineRule="exact"/>
              <w:rPr>
                <w:sz w:val="20"/>
                <w:szCs w:val="20"/>
                <w:color w:val="auto"/>
              </w:rPr>
            </w:pPr>
            <w:r>
              <w:rPr>
                <w:rFonts w:ascii="Arial" w:cs="Arial" w:eastAsia="Arial" w:hAnsi="Arial"/>
                <w:sz w:val="13"/>
                <w:szCs w:val="13"/>
                <w:b w:val="1"/>
                <w:bCs w:val="1"/>
                <w:color w:val="auto"/>
                <w:w w:val="92"/>
              </w:rPr>
              <w:t>Other</w:t>
            </w:r>
          </w:p>
        </w:tc>
        <w:tc>
          <w:tcPr>
            <w:tcW w:w="148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Total</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860" w:type="dxa"/>
            <w:vAlign w:val="bottom"/>
            <w:gridSpan w:val="3"/>
            <w:vMerge w:val="restart"/>
          </w:tcPr>
          <w:p>
            <w:pPr>
              <w:jc w:val="center"/>
              <w:spacing w:after="0" w:line="144" w:lineRule="exact"/>
              <w:rPr>
                <w:sz w:val="20"/>
                <w:szCs w:val="20"/>
                <w:color w:val="auto"/>
              </w:rPr>
            </w:pPr>
            <w:r>
              <w:rPr>
                <w:rFonts w:ascii="Arial" w:cs="Arial" w:eastAsia="Arial" w:hAnsi="Arial"/>
                <w:sz w:val="13"/>
                <w:szCs w:val="13"/>
                <w:b w:val="1"/>
                <w:bCs w:val="1"/>
                <w:color w:val="auto"/>
                <w:w w:val="93"/>
              </w:rPr>
              <w:t>Preferred</w:t>
            </w: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80" w:type="dxa"/>
            <w:vAlign w:val="bottom"/>
            <w:gridSpan w:val="4"/>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Common Stock</w:t>
            </w: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3"/>
            <w:vMerge w:val="restart"/>
          </w:tcPr>
          <w:p>
            <w:pPr>
              <w:spacing w:after="0" w:line="144" w:lineRule="exact"/>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3"/>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Comprehensive</w:t>
            </w:r>
          </w:p>
        </w:tc>
        <w:tc>
          <w:tcPr>
            <w:tcW w:w="148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Lazard Ltd</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right"/>
              <w:ind w:right="32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4"/>
                <w:szCs w:val="4"/>
                <w:color w:val="auto"/>
              </w:rPr>
            </w:pPr>
          </w:p>
        </w:tc>
        <w:tc>
          <w:tcPr>
            <w:tcW w:w="1100" w:type="dxa"/>
            <w:vAlign w:val="bottom"/>
            <w:gridSpan w:val="3"/>
            <w:vMerge w:val="restart"/>
          </w:tcPr>
          <w:p>
            <w:pPr>
              <w:jc w:val="right"/>
              <w:ind w:right="55"/>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48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91"/>
              </w:rPr>
              <w:t>Held By A Subsidiary</w:t>
            </w: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line="124" w:lineRule="exact"/>
              <w:rPr>
                <w:sz w:val="20"/>
                <w:szCs w:val="20"/>
                <w:color w:val="auto"/>
              </w:rPr>
            </w:pPr>
            <w:r>
              <w:rPr>
                <w:rFonts w:ascii="Arial" w:cs="Arial" w:eastAsia="Arial" w:hAnsi="Arial"/>
                <w:sz w:val="13"/>
                <w:szCs w:val="13"/>
                <w:b w:val="1"/>
                <w:bCs w:val="1"/>
                <w:color w:val="auto"/>
                <w:w w:val="96"/>
              </w:rPr>
              <w:t>Paid-In-</w:t>
            </w:r>
          </w:p>
        </w:tc>
        <w:tc>
          <w:tcPr>
            <w:tcW w:w="40" w:type="dxa"/>
            <w:vAlign w:val="bottom"/>
          </w:tcPr>
          <w:p>
            <w:pPr>
              <w:spacing w:after="0"/>
              <w:rPr>
                <w:sz w:val="10"/>
                <w:szCs w:val="10"/>
                <w:color w:val="auto"/>
              </w:rPr>
            </w:pPr>
          </w:p>
        </w:tc>
        <w:tc>
          <w:tcPr>
            <w:tcW w:w="640" w:type="dxa"/>
            <w:vAlign w:val="bottom"/>
            <w:gridSpan w:val="3"/>
          </w:tcPr>
          <w:p>
            <w:pPr>
              <w:jc w:val="right"/>
              <w:ind w:right="120"/>
              <w:spacing w:after="0" w:line="124" w:lineRule="exact"/>
              <w:rPr>
                <w:sz w:val="20"/>
                <w:szCs w:val="20"/>
                <w:color w:val="auto"/>
              </w:rPr>
            </w:pPr>
            <w:r>
              <w:rPr>
                <w:rFonts w:ascii="Arial" w:cs="Arial" w:eastAsia="Arial" w:hAnsi="Arial"/>
                <w:sz w:val="13"/>
                <w:szCs w:val="13"/>
                <w:b w:val="1"/>
                <w:bCs w:val="1"/>
                <w:color w:val="auto"/>
                <w:w w:val="90"/>
              </w:rPr>
              <w:t>Retained</w:t>
            </w:r>
          </w:p>
        </w:tc>
        <w:tc>
          <w:tcPr>
            <w:tcW w:w="40" w:type="dxa"/>
            <w:vAlign w:val="bottom"/>
          </w:tcPr>
          <w:p>
            <w:pPr>
              <w:spacing w:after="0"/>
              <w:rPr>
                <w:sz w:val="10"/>
                <w:szCs w:val="10"/>
                <w:color w:val="auto"/>
              </w:rPr>
            </w:pPr>
          </w:p>
        </w:tc>
        <w:tc>
          <w:tcPr>
            <w:tcW w:w="1020" w:type="dxa"/>
            <w:vAlign w:val="bottom"/>
            <w:gridSpan w:val="3"/>
          </w:tcPr>
          <w:p>
            <w:pPr>
              <w:jc w:val="center"/>
              <w:ind w:right="120"/>
              <w:spacing w:after="0" w:line="124" w:lineRule="exact"/>
              <w:rPr>
                <w:sz w:val="20"/>
                <w:szCs w:val="20"/>
                <w:color w:val="auto"/>
              </w:rPr>
            </w:pPr>
            <w:r>
              <w:rPr>
                <w:rFonts w:ascii="Arial" w:cs="Arial" w:eastAsia="Arial" w:hAnsi="Arial"/>
                <w:sz w:val="13"/>
                <w:szCs w:val="13"/>
                <w:b w:val="1"/>
                <w:bCs w:val="1"/>
                <w:color w:val="auto"/>
                <w:w w:val="89"/>
              </w:rPr>
              <w:t>Income (Loss),</w:t>
            </w:r>
          </w:p>
        </w:tc>
        <w:tc>
          <w:tcPr>
            <w:tcW w:w="1480" w:type="dxa"/>
            <w:vAlign w:val="bottom"/>
            <w:gridSpan w:val="4"/>
            <w:vMerge w:val="continue"/>
          </w:tcPr>
          <w:p>
            <w:pPr>
              <w:spacing w:after="0"/>
              <w:rPr>
                <w:sz w:val="10"/>
                <w:szCs w:val="10"/>
                <w:color w:val="auto"/>
              </w:rPr>
            </w:pPr>
          </w:p>
        </w:tc>
        <w:tc>
          <w:tcPr>
            <w:tcW w:w="88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88"/>
              </w:rPr>
              <w:t>Stockholders’</w:t>
            </w:r>
          </w:p>
        </w:tc>
        <w:tc>
          <w:tcPr>
            <w:tcW w:w="40" w:type="dxa"/>
            <w:vAlign w:val="bottom"/>
          </w:tcPr>
          <w:p>
            <w:pPr>
              <w:spacing w:after="0"/>
              <w:rPr>
                <w:sz w:val="10"/>
                <w:szCs w:val="10"/>
                <w:color w:val="auto"/>
              </w:rPr>
            </w:pPr>
          </w:p>
        </w:tc>
        <w:tc>
          <w:tcPr>
            <w:tcW w:w="10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Noncontrolling</w:t>
            </w:r>
          </w:p>
        </w:tc>
        <w:tc>
          <w:tcPr>
            <w:tcW w:w="8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Shares(*)</w:t>
            </w: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Earnings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89"/>
              </w:rPr>
              <w:t>Net of Tax</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w w:val="95"/>
              </w:rPr>
              <w:t>Interests</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2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Balance – January 1, 2009</w:t>
            </w:r>
          </w:p>
        </w:tc>
        <w:tc>
          <w:tcPr>
            <w:tcW w:w="42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31,745</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w w:val="92"/>
              </w:rPr>
              <w:t>$ —</w:t>
            </w:r>
          </w:p>
        </w:tc>
        <w:tc>
          <w:tcPr>
            <w:tcW w:w="7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76,294,913</w:t>
            </w:r>
          </w:p>
        </w:tc>
        <w:tc>
          <w:tcPr>
            <w:tcW w:w="4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$ 763</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429,694</w:t>
            </w:r>
          </w:p>
        </w:tc>
        <w:tc>
          <w:tcPr>
            <w:tcW w:w="1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w w:val="93"/>
              </w:rPr>
              <w:t>221,410</w:t>
            </w:r>
          </w:p>
        </w:tc>
        <w:tc>
          <w:tcPr>
            <w:tcW w:w="1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b w:val="1"/>
                <w:bCs w:val="1"/>
                <w:color w:val="auto"/>
              </w:rPr>
              <w:t>(79,435)</w:t>
            </w:r>
          </w:p>
        </w:tc>
        <w:tc>
          <w:tcPr>
            <w:tcW w:w="7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3"/>
                <w:szCs w:val="13"/>
                <w:b w:val="1"/>
                <w:bCs w:val="1"/>
                <w:color w:val="auto"/>
              </w:rPr>
              <w:t>9,376,162</w:t>
            </w:r>
          </w:p>
        </w:tc>
        <w:tc>
          <w:tcPr>
            <w:tcW w:w="72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b w:val="1"/>
                <w:bCs w:val="1"/>
                <w:color w:val="auto"/>
                <w:w w:val="90"/>
              </w:rPr>
              <w:t>$ (321,852)</w:t>
            </w:r>
          </w:p>
        </w:tc>
        <w:tc>
          <w:tcPr>
            <w:tcW w:w="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w w:val="82"/>
              </w:rPr>
              <w:t>$</w:t>
            </w:r>
          </w:p>
        </w:tc>
        <w:tc>
          <w:tcPr>
            <w:tcW w:w="8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b w:val="1"/>
                <w:bCs w:val="1"/>
                <w:color w:val="auto"/>
              </w:rPr>
              <w:t>250,580</w:t>
            </w:r>
          </w:p>
        </w:tc>
        <w:tc>
          <w:tcPr>
            <w:tcW w:w="16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3"/>
                <w:szCs w:val="13"/>
                <w:b w:val="1"/>
                <w:bCs w:val="1"/>
                <w:color w:val="auto"/>
              </w:rPr>
              <w:t>61,172</w:t>
            </w:r>
          </w:p>
        </w:tc>
        <w:tc>
          <w:tcPr>
            <w:tcW w:w="12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b w:val="1"/>
                <w:bCs w:val="1"/>
                <w:color w:val="auto"/>
              </w:rPr>
              <w:t>311,752</w:t>
            </w:r>
          </w:p>
        </w:tc>
        <w:tc>
          <w:tcPr>
            <w:tcW w:w="0" w:type="dxa"/>
            <w:vAlign w:val="bottom"/>
          </w:tcPr>
          <w:p>
            <w:pPr>
              <w:spacing w:after="0"/>
              <w:rPr>
                <w:sz w:val="1"/>
                <w:szCs w:val="1"/>
                <w:color w:val="auto"/>
              </w:rPr>
            </w:pPr>
          </w:p>
        </w:tc>
      </w:tr>
      <w:tr>
        <w:trPr>
          <w:trHeight w:val="150"/>
        </w:trPr>
        <w:tc>
          <w:tcPr>
            <w:tcW w:w="254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Net loss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w w:val="86"/>
              </w:rPr>
              <w:t>(130,242)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(130,242)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(58,003)</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(188,245)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ind w:left="200"/>
              <w:spacing w:after="0" w:line="135" w:lineRule="exact"/>
              <w:rPr>
                <w:sz w:val="20"/>
                <w:szCs w:val="20"/>
                <w:color w:val="auto"/>
              </w:rPr>
            </w:pPr>
            <w:r>
              <w:rPr>
                <w:rFonts w:ascii="Arial" w:cs="Arial" w:eastAsia="Arial" w:hAnsi="Arial"/>
                <w:sz w:val="13"/>
                <w:szCs w:val="13"/>
                <w:color w:val="auto"/>
                <w:w w:val="92"/>
              </w:rPr>
              <w:t>Other comprehensive income (loss) - net of</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tcPr>
          <w:p>
            <w:pPr>
              <w:ind w:left="400"/>
              <w:spacing w:after="0"/>
              <w:rPr>
                <w:sz w:val="20"/>
                <w:szCs w:val="20"/>
                <w:color w:val="auto"/>
              </w:rPr>
            </w:pPr>
            <w:r>
              <w:rPr>
                <w:rFonts w:ascii="Arial" w:cs="Arial" w:eastAsia="Arial" w:hAnsi="Arial"/>
                <w:sz w:val="13"/>
                <w:szCs w:val="13"/>
                <w:color w:val="auto"/>
              </w:rPr>
              <w:t>tax:</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shd w:val="clear" w:color="auto" w:fill="CCEEFF"/>
          </w:tcPr>
          <w:p>
            <w:pPr>
              <w:ind w:left="620"/>
              <w:spacing w:after="0" w:line="144" w:lineRule="exact"/>
              <w:rPr>
                <w:sz w:val="20"/>
                <w:szCs w:val="20"/>
                <w:color w:val="auto"/>
              </w:rPr>
            </w:pPr>
            <w:r>
              <w:rPr>
                <w:rFonts w:ascii="Arial" w:cs="Arial" w:eastAsia="Arial" w:hAnsi="Arial"/>
                <w:sz w:val="13"/>
                <w:szCs w:val="13"/>
                <w:color w:val="auto"/>
                <w:w w:val="98"/>
              </w:rPr>
              <w:t>Currency translation adjustments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37,355</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37,355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16,250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53,605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tcPr>
          <w:p>
            <w:pPr>
              <w:ind w:left="620"/>
              <w:spacing w:after="0" w:line="144" w:lineRule="exact"/>
              <w:rPr>
                <w:sz w:val="20"/>
                <w:szCs w:val="20"/>
                <w:color w:val="auto"/>
              </w:rPr>
            </w:pPr>
            <w:r>
              <w:rPr>
                <w:rFonts w:ascii="Arial" w:cs="Arial" w:eastAsia="Arial" w:hAnsi="Arial"/>
                <w:sz w:val="13"/>
                <w:szCs w:val="13"/>
                <w:color w:val="auto"/>
                <w:w w:val="94"/>
              </w:rPr>
              <w:t>Amortization of interest rate hedge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803</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274</w:t>
            </w:r>
          </w:p>
        </w:tc>
        <w:tc>
          <w:tcPr>
            <w:tcW w:w="12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1,077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shd w:val="clear" w:color="auto" w:fill="CCEEFF"/>
          </w:tcPr>
          <w:p>
            <w:pPr>
              <w:ind w:left="620"/>
              <w:spacing w:after="0" w:line="144" w:lineRule="exact"/>
              <w:rPr>
                <w:sz w:val="20"/>
                <w:szCs w:val="20"/>
                <w:color w:val="auto"/>
              </w:rPr>
            </w:pPr>
            <w:r>
              <w:rPr>
                <w:rFonts w:ascii="Arial" w:cs="Arial" w:eastAsia="Arial" w:hAnsi="Arial"/>
                <w:sz w:val="13"/>
                <w:szCs w:val="13"/>
                <w:color w:val="auto"/>
              </w:rPr>
              <w:t>Available-for-sale securities: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tcPr>
          <w:p>
            <w:pPr>
              <w:ind w:left="1020"/>
              <w:spacing w:after="0" w:line="144" w:lineRule="exact"/>
              <w:rPr>
                <w:sz w:val="20"/>
                <w:szCs w:val="20"/>
                <w:color w:val="auto"/>
              </w:rPr>
            </w:pPr>
            <w:r>
              <w:rPr>
                <w:rFonts w:ascii="Arial" w:cs="Arial" w:eastAsia="Arial" w:hAnsi="Arial"/>
                <w:sz w:val="13"/>
                <w:szCs w:val="13"/>
                <w:color w:val="auto"/>
              </w:rPr>
              <w:t>Net unrealized gain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20,575</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20,575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7,039</w:t>
            </w:r>
          </w:p>
        </w:tc>
        <w:tc>
          <w:tcPr>
            <w:tcW w:w="12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27,614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ind w:left="1020"/>
              <w:spacing w:after="0" w:line="135" w:lineRule="exact"/>
              <w:rPr>
                <w:sz w:val="20"/>
                <w:szCs w:val="20"/>
                <w:color w:val="auto"/>
              </w:rPr>
            </w:pPr>
            <w:r>
              <w:rPr>
                <w:rFonts w:ascii="Arial" w:cs="Arial" w:eastAsia="Arial" w:hAnsi="Arial"/>
                <w:sz w:val="13"/>
                <w:szCs w:val="13"/>
                <w:color w:val="auto"/>
              </w:rPr>
              <w:t>Adjustment for items</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shd w:val="clear" w:color="auto" w:fill="CCEEFF"/>
          </w:tcPr>
          <w:p>
            <w:pPr>
              <w:ind w:left="1240"/>
              <w:spacing w:after="0"/>
              <w:rPr>
                <w:sz w:val="20"/>
                <w:szCs w:val="20"/>
                <w:color w:val="auto"/>
              </w:rPr>
            </w:pPr>
            <w:r>
              <w:rPr>
                <w:rFonts w:ascii="Arial" w:cs="Arial" w:eastAsia="Arial" w:hAnsi="Arial"/>
                <w:sz w:val="13"/>
                <w:szCs w:val="13"/>
                <w:color w:val="auto"/>
                <w:w w:val="94"/>
              </w:rPr>
              <w:t>reclassified to earnings</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945</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323</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tcPr>
          <w:p>
            <w:pPr>
              <w:ind w:left="620"/>
              <w:spacing w:after="0" w:line="144" w:lineRule="exact"/>
              <w:rPr>
                <w:sz w:val="20"/>
                <w:szCs w:val="20"/>
                <w:color w:val="auto"/>
              </w:rPr>
            </w:pPr>
            <w:r>
              <w:rPr>
                <w:rFonts w:ascii="Arial" w:cs="Arial" w:eastAsia="Arial" w:hAnsi="Arial"/>
                <w:sz w:val="13"/>
                <w:szCs w:val="13"/>
                <w:color w:val="auto"/>
              </w:rPr>
              <w:t>Employee benefit plans: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20" w:type="dxa"/>
            <w:vAlign w:val="bottom"/>
            <w:shd w:val="clear" w:color="auto" w:fill="CCEEFF"/>
          </w:tcPr>
          <w:p>
            <w:pPr>
              <w:ind w:left="1020"/>
              <w:spacing w:after="0"/>
              <w:rPr>
                <w:sz w:val="20"/>
                <w:szCs w:val="20"/>
                <w:color w:val="auto"/>
              </w:rPr>
            </w:pPr>
            <w:r>
              <w:rPr>
                <w:rFonts w:ascii="Arial" w:cs="Arial" w:eastAsia="Arial" w:hAnsi="Arial"/>
                <w:sz w:val="13"/>
                <w:szCs w:val="13"/>
                <w:color w:val="auto"/>
              </w:rPr>
              <w:t>Prior service costs</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(11,290)</w:t>
            </w: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(11,290)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(3,862)</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(15,152)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tcPr>
          <w:p>
            <w:pPr>
              <w:ind w:left="1020"/>
              <w:spacing w:after="0" w:line="144" w:lineRule="exact"/>
              <w:rPr>
                <w:sz w:val="20"/>
                <w:szCs w:val="20"/>
                <w:color w:val="auto"/>
              </w:rPr>
            </w:pPr>
            <w:r>
              <w:rPr>
                <w:rFonts w:ascii="Arial" w:cs="Arial" w:eastAsia="Arial" w:hAnsi="Arial"/>
                <w:sz w:val="13"/>
                <w:szCs w:val="13"/>
                <w:color w:val="auto"/>
              </w:rPr>
              <w:t>Net actuarial loss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(13,573)</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(13,573)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(4,642)</w:t>
            </w: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(18,215)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ind w:left="1020"/>
              <w:spacing w:after="0" w:line="135" w:lineRule="exact"/>
              <w:rPr>
                <w:sz w:val="20"/>
                <w:szCs w:val="20"/>
                <w:color w:val="auto"/>
              </w:rPr>
            </w:pPr>
            <w:r>
              <w:rPr>
                <w:rFonts w:ascii="Arial" w:cs="Arial" w:eastAsia="Arial" w:hAnsi="Arial"/>
                <w:sz w:val="13"/>
                <w:szCs w:val="13"/>
                <w:color w:val="auto"/>
              </w:rPr>
              <w:t>Adjustment for items</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shd w:val="clear" w:color="auto" w:fill="CCEEFF"/>
          </w:tcPr>
          <w:p>
            <w:pPr>
              <w:ind w:left="1240"/>
              <w:spacing w:after="0"/>
              <w:rPr>
                <w:sz w:val="20"/>
                <w:szCs w:val="20"/>
                <w:color w:val="auto"/>
              </w:rPr>
            </w:pPr>
            <w:r>
              <w:rPr>
                <w:rFonts w:ascii="Arial" w:cs="Arial" w:eastAsia="Arial" w:hAnsi="Arial"/>
                <w:sz w:val="13"/>
                <w:szCs w:val="13"/>
                <w:color w:val="auto"/>
                <w:w w:val="94"/>
              </w:rPr>
              <w:t>reclassified to earnings</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2,260</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773</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ind w:left="200"/>
              <w:spacing w:after="0"/>
              <w:rPr>
                <w:sz w:val="20"/>
                <w:szCs w:val="20"/>
                <w:color w:val="auto"/>
              </w:rPr>
            </w:pPr>
            <w:r>
              <w:rPr>
                <w:rFonts w:ascii="Arial" w:cs="Arial" w:eastAsia="Arial" w:hAnsi="Arial"/>
                <w:sz w:val="13"/>
                <w:szCs w:val="13"/>
                <w:color w:val="auto"/>
              </w:rPr>
              <w:t>Comprehensive loss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(93,167)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(41,848)</w:t>
            </w:r>
          </w:p>
        </w:tc>
        <w:tc>
          <w:tcPr>
            <w:tcW w:w="12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(135,015)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Class A common stock issued/issuable in</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w w:val="95"/>
              </w:rPr>
              <w:t>connection with business acquisitions and</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LAM Merger and related amortization</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1,473,866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28,126</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28,141</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10,999</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39,140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Arial" w:cs="Arial" w:eastAsia="Arial" w:hAnsi="Arial"/>
                <w:sz w:val="13"/>
                <w:szCs w:val="13"/>
                <w:color w:val="auto"/>
              </w:rPr>
              <w:t>Conversion of Series A preferred stock into</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tcPr>
          <w:p>
            <w:pPr>
              <w:ind w:left="200"/>
              <w:spacing w:after="0"/>
              <w:rPr>
                <w:sz w:val="20"/>
                <w:szCs w:val="20"/>
                <w:color w:val="auto"/>
              </w:rPr>
            </w:pPr>
            <w:r>
              <w:rPr>
                <w:rFonts w:ascii="Arial" w:cs="Arial" w:eastAsia="Arial" w:hAnsi="Arial"/>
                <w:sz w:val="13"/>
                <w:szCs w:val="13"/>
                <w:color w:val="auto"/>
              </w:rPr>
              <w:t>Class A common stock</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(4,862)</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479,732</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Amortization of share-based incentive</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compensation</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268,129</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268,129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91,249</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359,378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tcPr>
          <w:p>
            <w:pPr>
              <w:spacing w:after="0" w:line="144" w:lineRule="exact"/>
              <w:rPr>
                <w:sz w:val="20"/>
                <w:szCs w:val="20"/>
                <w:color w:val="auto"/>
              </w:rPr>
            </w:pPr>
            <w:r>
              <w:rPr>
                <w:rFonts w:ascii="Arial" w:cs="Arial" w:eastAsia="Arial" w:hAnsi="Arial"/>
                <w:sz w:val="13"/>
                <w:szCs w:val="13"/>
                <w:color w:val="auto"/>
              </w:rPr>
              <w:t>Dividend-equivalents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4,951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(4,991)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Class A common stock dividends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w w:val="99"/>
              </w:rPr>
              <w:t>(33,451)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(33,451)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(33,451)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tcPr>
          <w:p>
            <w:pPr>
              <w:spacing w:after="0" w:line="144" w:lineRule="exact"/>
              <w:rPr>
                <w:sz w:val="20"/>
                <w:szCs w:val="20"/>
                <w:color w:val="auto"/>
              </w:rPr>
            </w:pPr>
            <w:r>
              <w:rPr>
                <w:rFonts w:ascii="Arial" w:cs="Arial" w:eastAsia="Arial" w:hAnsi="Arial"/>
                <w:sz w:val="13"/>
                <w:szCs w:val="13"/>
                <w:color w:val="auto"/>
              </w:rPr>
              <w:t>Purchase of Class A common stock</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1,984,997</w:t>
            </w:r>
          </w:p>
        </w:tc>
        <w:tc>
          <w:tcPr>
            <w:tcW w:w="7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(50,479)</w:t>
            </w: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(50,479)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(50,479)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Delivery of Class A common stock in</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connection with share-based incentive</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compensation</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(194,670)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(5,510,384)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181,191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(13,479)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Arial" w:cs="Arial" w:eastAsia="Arial" w:hAnsi="Arial"/>
                <w:sz w:val="13"/>
                <w:szCs w:val="13"/>
                <w:color w:val="auto"/>
                <w:w w:val="94"/>
              </w:rPr>
              <w:t>Repurchase of common membership interests</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tcPr>
          <w:p>
            <w:pPr>
              <w:ind w:left="200"/>
              <w:spacing w:after="0"/>
              <w:rPr>
                <w:sz w:val="20"/>
                <w:szCs w:val="20"/>
                <w:color w:val="auto"/>
              </w:rPr>
            </w:pPr>
            <w:r>
              <w:rPr>
                <w:rFonts w:ascii="Arial" w:cs="Arial" w:eastAsia="Arial" w:hAnsi="Arial"/>
                <w:sz w:val="13"/>
                <w:szCs w:val="13"/>
                <w:color w:val="auto"/>
              </w:rPr>
              <w:t>from LAZ-MD Holdings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(9,900)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(9,900)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(3,385)</w:t>
            </w:r>
          </w:p>
        </w:tc>
        <w:tc>
          <w:tcPr>
            <w:tcW w:w="12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(13,285)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Class A common stock issued in exchange for</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Lazard Group common membership</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interests, including in connection with</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secondary offerings</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13,917,402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Arial" w:cs="Arial" w:eastAsia="Arial" w:hAnsi="Arial"/>
                <w:sz w:val="13"/>
                <w:szCs w:val="13"/>
                <w:color w:val="auto"/>
              </w:rPr>
              <w:t>Acquisitions of and distributions to</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tcPr>
          <w:p>
            <w:pPr>
              <w:ind w:left="200"/>
              <w:spacing w:after="0"/>
              <w:rPr>
                <w:sz w:val="20"/>
                <w:szCs w:val="20"/>
                <w:color w:val="auto"/>
              </w:rPr>
            </w:pPr>
            <w:r>
              <w:rPr>
                <w:rFonts w:ascii="Arial" w:cs="Arial" w:eastAsia="Arial" w:hAnsi="Arial"/>
                <w:sz w:val="13"/>
                <w:szCs w:val="13"/>
                <w:color w:val="auto"/>
              </w:rPr>
              <w:t>noncontrolling interests, net</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58,576</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58,576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3"/>
              </w:rPr>
              <w:t>Adjustments related to noncontrolling interests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23,745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(14,688)</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9,057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(9,057)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 December 31, 2009</w:t>
            </w: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540" w:type="dxa"/>
            <w:vAlign w:val="bottom"/>
            <w:gridSpan w:val="2"/>
            <w:vMerge w:val="continue"/>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26,883</w:t>
            </w:r>
          </w:p>
        </w:tc>
        <w:tc>
          <w:tcPr>
            <w:tcW w:w="1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92"/>
              </w:rPr>
              <w:t>$ —</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w w:val="95"/>
              </w:rPr>
              <w:t>92,165,913</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98"/>
              </w:rPr>
              <w:t>$ 922</w:t>
            </w:r>
          </w:p>
        </w:tc>
        <w:tc>
          <w:tcPr>
            <w:tcW w:w="1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549,931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52,726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(57,048)</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5,850,775</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u w:val="single" w:color="auto"/>
                <w:color w:val="auto"/>
                <w:w w:val="88"/>
              </w:rPr>
              <w:t>$</w:t>
            </w:r>
            <w:r>
              <w:rPr>
                <w:rFonts w:ascii="Arial" w:cs="Arial" w:eastAsia="Arial" w:hAnsi="Arial"/>
                <w:sz w:val="13"/>
                <w:szCs w:val="13"/>
                <w:b w:val="1"/>
                <w:bCs w:val="1"/>
                <w:color w:val="auto"/>
                <w:w w:val="88"/>
              </w:rPr>
              <w:t>(191,140)</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355,391</w:t>
            </w:r>
          </w:p>
        </w:tc>
        <w:tc>
          <w:tcPr>
            <w:tcW w:w="16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167,706</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523,097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448"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2010, 2009 and 2008—(Continued)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680" w:type="dxa"/>
            <w:vAlign w:val="bottom"/>
            <w:gridSpan w:val="4"/>
            <w:vMerge w:val="restart"/>
          </w:tcPr>
          <w:p>
            <w:pPr>
              <w:jc w:val="center"/>
              <w:ind w:left="155"/>
              <w:spacing w:after="0"/>
              <w:rPr>
                <w:sz w:val="20"/>
                <w:szCs w:val="20"/>
                <w:color w:val="auto"/>
              </w:rPr>
            </w:pPr>
            <w:r>
              <w:rPr>
                <w:rFonts w:ascii="Arial" w:cs="Arial" w:eastAsia="Arial" w:hAnsi="Arial"/>
                <w:sz w:val="13"/>
                <w:szCs w:val="13"/>
                <w:b w:val="1"/>
                <w:bCs w:val="1"/>
                <w:color w:val="auto"/>
                <w:w w:val="88"/>
              </w:rPr>
              <w:t>Series A</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Accumulated</w:t>
            </w:r>
          </w:p>
        </w:tc>
        <w:tc>
          <w:tcPr>
            <w:tcW w:w="142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92"/>
              </w:rPr>
              <w:t>Class A</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480" w:type="dxa"/>
            <w:vAlign w:val="bottom"/>
          </w:tcPr>
          <w:p>
            <w:pPr>
              <w:spacing w:after="0"/>
              <w:rPr>
                <w:sz w:val="7"/>
                <w:szCs w:val="7"/>
                <w:color w:val="auto"/>
              </w:rPr>
            </w:pPr>
          </w:p>
        </w:tc>
        <w:tc>
          <w:tcPr>
            <w:tcW w:w="6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line="144" w:lineRule="exact"/>
              <w:rPr>
                <w:sz w:val="20"/>
                <w:szCs w:val="20"/>
                <w:color w:val="auto"/>
              </w:rPr>
            </w:pPr>
            <w:r>
              <w:rPr>
                <w:rFonts w:ascii="Arial" w:cs="Arial" w:eastAsia="Arial" w:hAnsi="Arial"/>
                <w:sz w:val="13"/>
                <w:szCs w:val="13"/>
                <w:b w:val="1"/>
                <w:bCs w:val="1"/>
                <w:color w:val="auto"/>
                <w:w w:val="97"/>
              </w:rPr>
              <w:t>Other</w:t>
            </w:r>
          </w:p>
        </w:tc>
        <w:tc>
          <w:tcPr>
            <w:tcW w:w="14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restart"/>
          </w:tcPr>
          <w:p>
            <w:pPr>
              <w:jc w:val="right"/>
              <w:ind w:right="340"/>
              <w:spacing w:after="0" w:line="144"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480" w:type="dxa"/>
            <w:vAlign w:val="bottom"/>
          </w:tcPr>
          <w:p>
            <w:pPr>
              <w:spacing w:after="0"/>
              <w:rPr>
                <w:sz w:val="4"/>
                <w:szCs w:val="4"/>
                <w:color w:val="auto"/>
              </w:rPr>
            </w:pPr>
          </w:p>
        </w:tc>
        <w:tc>
          <w:tcPr>
            <w:tcW w:w="920" w:type="dxa"/>
            <w:vAlign w:val="bottom"/>
            <w:gridSpan w:val="5"/>
            <w:vMerge w:val="restart"/>
          </w:tcPr>
          <w:p>
            <w:pPr>
              <w:jc w:val="center"/>
              <w:spacing w:after="0" w:line="144" w:lineRule="exact"/>
              <w:rPr>
                <w:sz w:val="20"/>
                <w:szCs w:val="20"/>
                <w:color w:val="auto"/>
              </w:rPr>
            </w:pPr>
            <w:r>
              <w:rPr>
                <w:rFonts w:ascii="Arial" w:cs="Arial" w:eastAsia="Arial" w:hAnsi="Arial"/>
                <w:sz w:val="13"/>
                <w:szCs w:val="13"/>
                <w:b w:val="1"/>
                <w:bCs w:val="1"/>
                <w:color w:val="auto"/>
                <w:w w:val="93"/>
              </w:rPr>
              <w:t>Preferred</w:t>
            </w: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20" w:type="dxa"/>
            <w:vAlign w:val="bottom"/>
            <w:gridSpan w:val="4"/>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Common Stock</w:t>
            </w: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480" w:type="dxa"/>
            <w:vAlign w:val="bottom"/>
          </w:tcPr>
          <w:p>
            <w:pPr>
              <w:spacing w:after="0"/>
              <w:rPr>
                <w:sz w:val="7"/>
                <w:szCs w:val="7"/>
                <w:color w:val="auto"/>
              </w:rPr>
            </w:pPr>
          </w:p>
        </w:tc>
        <w:tc>
          <w:tcPr>
            <w:tcW w:w="9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restart"/>
          </w:tcPr>
          <w:p>
            <w:pPr>
              <w:spacing w:after="0" w:line="144"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81"/>
              </w:rPr>
              <w:t>Comprehensive</w:t>
            </w:r>
          </w:p>
        </w:tc>
        <w:tc>
          <w:tcPr>
            <w:tcW w:w="14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restart"/>
          </w:tcPr>
          <w:p>
            <w:pPr>
              <w:jc w:val="right"/>
              <w:ind w:right="160"/>
              <w:spacing w:after="0" w:line="144" w:lineRule="exact"/>
              <w:rPr>
                <w:sz w:val="20"/>
                <w:szCs w:val="20"/>
                <w:color w:val="auto"/>
              </w:rPr>
            </w:pPr>
            <w:r>
              <w:rPr>
                <w:rFonts w:ascii="Arial" w:cs="Arial" w:eastAsia="Arial" w:hAnsi="Arial"/>
                <w:sz w:val="13"/>
                <w:szCs w:val="13"/>
                <w:b w:val="1"/>
                <w:bCs w:val="1"/>
                <w:color w:val="auto"/>
                <w:w w:val="94"/>
              </w:rPr>
              <w:t>Lazard Ltd</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right"/>
              <w:ind w:right="32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2"/>
        </w:trPr>
        <w:tc>
          <w:tcPr>
            <w:tcW w:w="2480" w:type="dxa"/>
            <w:vAlign w:val="bottom"/>
          </w:tcPr>
          <w:p>
            <w:pPr>
              <w:spacing w:after="0"/>
              <w:rPr>
                <w:sz w:val="4"/>
                <w:szCs w:val="4"/>
                <w:color w:val="auto"/>
              </w:rPr>
            </w:pPr>
          </w:p>
        </w:tc>
        <w:tc>
          <w:tcPr>
            <w:tcW w:w="680" w:type="dxa"/>
            <w:vAlign w:val="bottom"/>
            <w:gridSpan w:val="4"/>
            <w:vMerge w:val="restart"/>
          </w:tcPr>
          <w:p>
            <w:pPr>
              <w:jc w:val="center"/>
              <w:ind w:left="175"/>
              <w:spacing w:after="0"/>
              <w:rPr>
                <w:sz w:val="20"/>
                <w:szCs w:val="20"/>
                <w:color w:val="auto"/>
              </w:rPr>
            </w:pPr>
            <w:r>
              <w:rPr>
                <w:rFonts w:ascii="Arial" w:cs="Arial" w:eastAsia="Arial" w:hAnsi="Arial"/>
                <w:sz w:val="13"/>
                <w:szCs w:val="13"/>
                <w:b w:val="1"/>
                <w:bCs w:val="1"/>
                <w:color w:val="auto"/>
                <w:w w:val="90"/>
              </w:rPr>
              <w:t>Stock</w:t>
            </w: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4"/>
            <w:vMerge w:val="restart"/>
          </w:tcPr>
          <w:p>
            <w:pPr>
              <w:jc w:val="right"/>
              <w:ind w:right="2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2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92"/>
              </w:rPr>
              <w:t>Held By a Subsidiary</w:t>
            </w: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48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rPr>
              <w:t>Paid-In-</w:t>
            </w:r>
          </w:p>
        </w:tc>
        <w:tc>
          <w:tcPr>
            <w:tcW w:w="6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96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w w:val="84"/>
              </w:rPr>
              <w:t>Income (Loss),</w:t>
            </w:r>
          </w:p>
        </w:tc>
        <w:tc>
          <w:tcPr>
            <w:tcW w:w="1420" w:type="dxa"/>
            <w:vAlign w:val="bottom"/>
            <w:gridSpan w:val="4"/>
            <w:vMerge w:val="continue"/>
          </w:tcPr>
          <w:p>
            <w:pPr>
              <w:spacing w:after="0"/>
              <w:rPr>
                <w:sz w:val="10"/>
                <w:szCs w:val="10"/>
                <w:color w:val="auto"/>
              </w:rPr>
            </w:pPr>
          </w:p>
        </w:tc>
        <w:tc>
          <w:tcPr>
            <w:tcW w:w="88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w w:val="97"/>
              </w:rPr>
              <w:t>Stockholders’</w:t>
            </w:r>
          </w:p>
        </w:tc>
        <w:tc>
          <w:tcPr>
            <w:tcW w:w="40" w:type="dxa"/>
            <w:vAlign w:val="bottom"/>
          </w:tcPr>
          <w:p>
            <w:pPr>
              <w:spacing w:after="0"/>
              <w:rPr>
                <w:sz w:val="10"/>
                <w:szCs w:val="10"/>
                <w:color w:val="auto"/>
              </w:rPr>
            </w:pPr>
          </w:p>
        </w:tc>
        <w:tc>
          <w:tcPr>
            <w:tcW w:w="10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Noncontrolling</w:t>
            </w:r>
          </w:p>
        </w:tc>
        <w:tc>
          <w:tcPr>
            <w:tcW w:w="8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Shares (*)</w:t>
            </w: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3"/>
                <w:szCs w:val="13"/>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Earnings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92"/>
              </w:rPr>
              <w:t>Net of Tax</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w w:val="95"/>
              </w:rPr>
              <w:t>Interests</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48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Balance – January 1, 2010</w:t>
            </w:r>
          </w:p>
        </w:tc>
        <w:tc>
          <w:tcPr>
            <w:tcW w:w="40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w w:val="95"/>
              </w:rPr>
              <w:t>26,883</w:t>
            </w:r>
          </w:p>
        </w:tc>
        <w:tc>
          <w:tcPr>
            <w:tcW w:w="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5"/>
              <w:spacing w:after="0" w:line="137" w:lineRule="exact"/>
              <w:rPr>
                <w:sz w:val="20"/>
                <w:szCs w:val="20"/>
                <w:color w:val="auto"/>
              </w:rPr>
            </w:pPr>
            <w:r>
              <w:rPr>
                <w:rFonts w:ascii="Arial" w:cs="Arial" w:eastAsia="Arial" w:hAnsi="Arial"/>
                <w:sz w:val="13"/>
                <w:szCs w:val="13"/>
                <w:b w:val="1"/>
                <w:bCs w:val="1"/>
                <w:color w:val="auto"/>
              </w:rPr>
              <w:t>$</w:t>
            </w:r>
          </w:p>
        </w:tc>
        <w:tc>
          <w:tcPr>
            <w:tcW w:w="240" w:type="dxa"/>
            <w:vAlign w:val="bottom"/>
            <w:shd w:val="clear" w:color="auto" w:fill="CCEEFF"/>
          </w:tcPr>
          <w:p>
            <w:pPr>
              <w:ind w:left="40"/>
              <w:spacing w:after="0" w:line="137" w:lineRule="exact"/>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92,165,913</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b w:val="1"/>
                <w:bCs w:val="1"/>
                <w:color w:val="auto"/>
                <w:w w:val="93"/>
              </w:rPr>
              <w:t>$  922</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b w:val="1"/>
                <w:bCs w:val="1"/>
                <w:color w:val="auto"/>
                <w:w w:val="70"/>
              </w:rPr>
              <w:t>$</w:t>
            </w:r>
          </w:p>
        </w:tc>
        <w:tc>
          <w:tcPr>
            <w:tcW w:w="68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3"/>
                <w:szCs w:val="13"/>
                <w:b w:val="1"/>
                <w:bCs w:val="1"/>
                <w:color w:val="auto"/>
              </w:rPr>
              <w:t>549,931</w:t>
            </w:r>
          </w:p>
        </w:tc>
        <w:tc>
          <w:tcPr>
            <w:tcW w:w="8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w w:val="82"/>
              </w:rPr>
              <w:t>$</w:t>
            </w:r>
          </w:p>
        </w:tc>
        <w:tc>
          <w:tcPr>
            <w:tcW w:w="4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52,726</w:t>
            </w: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9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b w:val="1"/>
                <w:bCs w:val="1"/>
                <w:color w:val="auto"/>
              </w:rPr>
              <w:t>(57,048)</w:t>
            </w:r>
          </w:p>
        </w:tc>
        <w:tc>
          <w:tcPr>
            <w:tcW w:w="76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3"/>
                <w:szCs w:val="13"/>
                <w:b w:val="1"/>
                <w:bCs w:val="1"/>
                <w:color w:val="auto"/>
              </w:rPr>
              <w:t>5,850,775</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b w:val="1"/>
                <w:bCs w:val="1"/>
                <w:color w:val="auto"/>
                <w:w w:val="85"/>
              </w:rPr>
              <w:t>$(191,140)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b w:val="1"/>
                <w:bCs w:val="1"/>
                <w:color w:val="auto"/>
              </w:rPr>
              <w:t>355,391</w:t>
            </w:r>
          </w:p>
        </w:tc>
        <w:tc>
          <w:tcPr>
            <w:tcW w:w="16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3"/>
                <w:szCs w:val="13"/>
                <w:b w:val="1"/>
                <w:bCs w:val="1"/>
                <w:color w:val="auto"/>
              </w:rPr>
              <w:t>167,706</w:t>
            </w:r>
          </w:p>
        </w:tc>
        <w:tc>
          <w:tcPr>
            <w:tcW w:w="12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523,097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480" w:type="dxa"/>
            <w:vAlign w:val="bottom"/>
          </w:tcPr>
          <w:p>
            <w:pPr>
              <w:spacing w:after="0"/>
              <w:rPr>
                <w:sz w:val="20"/>
                <w:szCs w:val="20"/>
                <w:color w:val="auto"/>
              </w:rPr>
            </w:pPr>
            <w:r>
              <w:rPr>
                <w:rFonts w:ascii="Arial" w:cs="Arial" w:eastAsia="Arial" w:hAnsi="Arial"/>
                <w:sz w:val="13"/>
                <w:szCs w:val="13"/>
                <w:color w:val="auto"/>
              </w:rPr>
              <w:t>Comprehensive income (loss):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Net income</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174,979</w:t>
            </w: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174,979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19,444</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194,423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20"/>
              <w:spacing w:after="0" w:line="135" w:lineRule="exact"/>
              <w:rPr>
                <w:sz w:val="20"/>
                <w:szCs w:val="20"/>
                <w:color w:val="auto"/>
              </w:rPr>
            </w:pPr>
            <w:r>
              <w:rPr>
                <w:rFonts w:ascii="Arial" w:cs="Arial" w:eastAsia="Arial" w:hAnsi="Arial"/>
                <w:sz w:val="13"/>
                <w:szCs w:val="13"/>
                <w:color w:val="auto"/>
                <w:w w:val="95"/>
              </w:rPr>
              <w:t>Other comprehensive income (loss) - net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80" w:type="dxa"/>
            <w:vAlign w:val="bottom"/>
          </w:tcPr>
          <w:p>
            <w:pPr>
              <w:ind w:left="420"/>
              <w:spacing w:after="0"/>
              <w:rPr>
                <w:sz w:val="20"/>
                <w:szCs w:val="20"/>
                <w:color w:val="auto"/>
              </w:rPr>
            </w:pPr>
            <w:r>
              <w:rPr>
                <w:rFonts w:ascii="Arial" w:cs="Arial" w:eastAsia="Arial" w:hAnsi="Arial"/>
                <w:sz w:val="13"/>
                <w:szCs w:val="13"/>
                <w:color w:val="auto"/>
              </w:rPr>
              <w:t>of tax:</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640"/>
              <w:spacing w:after="0" w:line="144" w:lineRule="exact"/>
              <w:rPr>
                <w:sz w:val="20"/>
                <w:szCs w:val="20"/>
                <w:color w:val="auto"/>
              </w:rPr>
            </w:pPr>
            <w:r>
              <w:rPr>
                <w:rFonts w:ascii="Arial" w:cs="Arial" w:eastAsia="Arial" w:hAnsi="Arial"/>
                <w:sz w:val="13"/>
                <w:szCs w:val="13"/>
                <w:color w:val="auto"/>
                <w:w w:val="95"/>
              </w:rPr>
              <w:t>Currency translation adjustments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(8,937)</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(8,937)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(520)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(9,457)</w:t>
            </w:r>
          </w:p>
        </w:tc>
        <w:tc>
          <w:tcPr>
            <w:tcW w:w="0" w:type="dxa"/>
            <w:vAlign w:val="bottom"/>
          </w:tcPr>
          <w:p>
            <w:pPr>
              <w:spacing w:after="0"/>
              <w:rPr>
                <w:sz w:val="1"/>
                <w:szCs w:val="1"/>
                <w:color w:val="auto"/>
              </w:rPr>
            </w:pPr>
          </w:p>
        </w:tc>
      </w:tr>
      <w:tr>
        <w:trPr>
          <w:trHeight w:val="135"/>
        </w:trPr>
        <w:tc>
          <w:tcPr>
            <w:tcW w:w="2480" w:type="dxa"/>
            <w:vAlign w:val="bottom"/>
          </w:tcPr>
          <w:p>
            <w:pPr>
              <w:ind w:left="640"/>
              <w:spacing w:after="0" w:line="135" w:lineRule="exact"/>
              <w:rPr>
                <w:sz w:val="20"/>
                <w:szCs w:val="20"/>
                <w:color w:val="auto"/>
              </w:rPr>
            </w:pPr>
            <w:r>
              <w:rPr>
                <w:rFonts w:ascii="Arial" w:cs="Arial" w:eastAsia="Arial" w:hAnsi="Arial"/>
                <w:sz w:val="13"/>
                <w:szCs w:val="13"/>
                <w:color w:val="auto"/>
              </w:rPr>
              <w:t>Amortization of interest rate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80" w:type="dxa"/>
            <w:vAlign w:val="bottom"/>
          </w:tcPr>
          <w:p>
            <w:pPr>
              <w:ind w:left="840"/>
              <w:spacing w:after="0"/>
              <w:rPr>
                <w:sz w:val="20"/>
                <w:szCs w:val="20"/>
                <w:color w:val="auto"/>
              </w:rPr>
            </w:pPr>
            <w:r>
              <w:rPr>
                <w:rFonts w:ascii="Arial" w:cs="Arial" w:eastAsia="Arial" w:hAnsi="Arial"/>
                <w:sz w:val="13"/>
                <w:szCs w:val="13"/>
                <w:color w:val="auto"/>
              </w:rPr>
              <w:t>hedge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1,093</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1,093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640"/>
              <w:spacing w:after="0" w:line="144" w:lineRule="exact"/>
              <w:rPr>
                <w:sz w:val="20"/>
                <w:szCs w:val="20"/>
                <w:color w:val="auto"/>
              </w:rPr>
            </w:pPr>
            <w:r>
              <w:rPr>
                <w:rFonts w:ascii="Arial" w:cs="Arial" w:eastAsia="Arial" w:hAnsi="Arial"/>
                <w:sz w:val="13"/>
                <w:szCs w:val="13"/>
                <w:color w:val="auto"/>
              </w:rPr>
              <w:t>Available-for-sale securities: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tcPr>
          <w:p>
            <w:pPr>
              <w:ind w:left="1040"/>
              <w:spacing w:after="0" w:line="144" w:lineRule="exact"/>
              <w:rPr>
                <w:sz w:val="20"/>
                <w:szCs w:val="20"/>
                <w:color w:val="auto"/>
              </w:rPr>
            </w:pPr>
            <w:r>
              <w:rPr>
                <w:rFonts w:ascii="Arial" w:cs="Arial" w:eastAsia="Arial" w:hAnsi="Arial"/>
                <w:sz w:val="13"/>
                <w:szCs w:val="13"/>
                <w:color w:val="auto"/>
              </w:rPr>
              <w:t>Net unrealized gain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2,941</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2,941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188</w:t>
            </w:r>
          </w:p>
        </w:tc>
        <w:tc>
          <w:tcPr>
            <w:tcW w:w="12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3,129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1040"/>
              <w:spacing w:after="0" w:line="135" w:lineRule="exact"/>
              <w:rPr>
                <w:sz w:val="20"/>
                <w:szCs w:val="20"/>
                <w:color w:val="auto"/>
              </w:rPr>
            </w:pPr>
            <w:r>
              <w:rPr>
                <w:rFonts w:ascii="Arial" w:cs="Arial" w:eastAsia="Arial" w:hAnsi="Arial"/>
                <w:sz w:val="13"/>
                <w:szCs w:val="13"/>
                <w:color w:val="auto"/>
              </w:rPr>
              <w:t>Adjustments for items</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1260"/>
              <w:spacing w:after="0" w:line="144" w:lineRule="exact"/>
              <w:rPr>
                <w:sz w:val="20"/>
                <w:szCs w:val="20"/>
                <w:color w:val="auto"/>
              </w:rPr>
            </w:pPr>
            <w:r>
              <w:rPr>
                <w:rFonts w:ascii="Arial" w:cs="Arial" w:eastAsia="Arial" w:hAnsi="Arial"/>
                <w:sz w:val="13"/>
                <w:szCs w:val="13"/>
                <w:color w:val="auto"/>
              </w:rPr>
              <w:t>reclassified to</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80" w:type="dxa"/>
            <w:vAlign w:val="bottom"/>
            <w:shd w:val="clear" w:color="auto" w:fill="CCEEFF"/>
          </w:tcPr>
          <w:p>
            <w:pPr>
              <w:ind w:left="1260"/>
              <w:spacing w:after="0"/>
              <w:rPr>
                <w:sz w:val="20"/>
                <w:szCs w:val="20"/>
                <w:color w:val="auto"/>
              </w:rPr>
            </w:pPr>
            <w:r>
              <w:rPr>
                <w:rFonts w:ascii="Arial" w:cs="Arial" w:eastAsia="Arial" w:hAnsi="Arial"/>
                <w:sz w:val="13"/>
                <w:szCs w:val="13"/>
                <w:color w:val="auto"/>
              </w:rPr>
              <w:t>earnings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8,930</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8,930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571</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80" w:type="dxa"/>
            <w:vAlign w:val="bottom"/>
          </w:tcPr>
          <w:p>
            <w:pPr>
              <w:ind w:left="640"/>
              <w:spacing w:after="0" w:line="144" w:lineRule="exact"/>
              <w:rPr>
                <w:sz w:val="20"/>
                <w:szCs w:val="20"/>
                <w:color w:val="auto"/>
              </w:rPr>
            </w:pPr>
            <w:r>
              <w:rPr>
                <w:rFonts w:ascii="Arial" w:cs="Arial" w:eastAsia="Arial" w:hAnsi="Arial"/>
                <w:sz w:val="13"/>
                <w:szCs w:val="13"/>
                <w:color w:val="auto"/>
              </w:rPr>
              <w:t>Employee benefit plans: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1040"/>
              <w:spacing w:after="0" w:line="144" w:lineRule="exact"/>
              <w:rPr>
                <w:sz w:val="20"/>
                <w:szCs w:val="20"/>
                <w:color w:val="auto"/>
              </w:rPr>
            </w:pPr>
            <w:r>
              <w:rPr>
                <w:rFonts w:ascii="Arial" w:cs="Arial" w:eastAsia="Arial" w:hAnsi="Arial"/>
                <w:sz w:val="13"/>
                <w:szCs w:val="13"/>
                <w:color w:val="auto"/>
              </w:rPr>
              <w:t>Net actuarial gain</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16,769</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16,769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1,072</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17,841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1040"/>
              <w:spacing w:after="0" w:line="135" w:lineRule="exact"/>
              <w:rPr>
                <w:sz w:val="20"/>
                <w:szCs w:val="20"/>
                <w:color w:val="auto"/>
              </w:rPr>
            </w:pPr>
            <w:r>
              <w:rPr>
                <w:rFonts w:ascii="Arial" w:cs="Arial" w:eastAsia="Arial" w:hAnsi="Arial"/>
                <w:sz w:val="13"/>
                <w:szCs w:val="13"/>
                <w:color w:val="auto"/>
              </w:rPr>
              <w:t>Adjustments for items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80" w:type="dxa"/>
            <w:vAlign w:val="bottom"/>
          </w:tcPr>
          <w:p>
            <w:pPr>
              <w:ind w:left="1260"/>
              <w:spacing w:after="0" w:line="144" w:lineRule="exact"/>
              <w:rPr>
                <w:sz w:val="20"/>
                <w:szCs w:val="20"/>
                <w:color w:val="auto"/>
              </w:rPr>
            </w:pPr>
            <w:r>
              <w:rPr>
                <w:rFonts w:ascii="Arial" w:cs="Arial" w:eastAsia="Arial" w:hAnsi="Arial"/>
                <w:sz w:val="13"/>
                <w:szCs w:val="13"/>
                <w:color w:val="auto"/>
              </w:rPr>
              <w:t>reclassified to</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80" w:type="dxa"/>
            <w:vAlign w:val="bottom"/>
          </w:tcPr>
          <w:p>
            <w:pPr>
              <w:ind w:left="1260"/>
              <w:spacing w:after="0"/>
              <w:rPr>
                <w:sz w:val="20"/>
                <w:szCs w:val="20"/>
                <w:color w:val="auto"/>
              </w:rPr>
            </w:pPr>
            <w:r>
              <w:rPr>
                <w:rFonts w:ascii="Arial" w:cs="Arial" w:eastAsia="Arial" w:hAnsi="Arial"/>
                <w:sz w:val="13"/>
                <w:szCs w:val="13"/>
                <w:color w:val="auto"/>
              </w:rPr>
              <w:t>earnings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1,544</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Comprehensive income</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197,319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20,924</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218,243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480" w:type="dxa"/>
            <w:vAlign w:val="bottom"/>
          </w:tcPr>
          <w:p>
            <w:pPr>
              <w:spacing w:after="0" w:line="141" w:lineRule="exact"/>
              <w:rPr>
                <w:sz w:val="20"/>
                <w:szCs w:val="20"/>
                <w:color w:val="auto"/>
              </w:rPr>
            </w:pPr>
            <w:r>
              <w:rPr>
                <w:rFonts w:ascii="Arial" w:cs="Arial" w:eastAsia="Arial" w:hAnsi="Arial"/>
                <w:sz w:val="13"/>
                <w:szCs w:val="13"/>
                <w:color w:val="auto"/>
              </w:rPr>
              <w:t>Class A common stock issued/issuable in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tcPr>
          <w:p>
            <w:pPr>
              <w:ind w:left="220"/>
              <w:spacing w:after="0" w:line="144" w:lineRule="exact"/>
              <w:rPr>
                <w:sz w:val="20"/>
                <w:szCs w:val="20"/>
                <w:color w:val="auto"/>
              </w:rPr>
            </w:pPr>
            <w:r>
              <w:rPr>
                <w:rFonts w:ascii="Arial" w:cs="Arial" w:eastAsia="Arial" w:hAnsi="Arial"/>
                <w:sz w:val="13"/>
                <w:szCs w:val="13"/>
                <w:color w:val="auto"/>
                <w:w w:val="92"/>
              </w:rPr>
              <w:t>connection with business acquisitions and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80" w:type="dxa"/>
            <w:vAlign w:val="bottom"/>
          </w:tcPr>
          <w:p>
            <w:pPr>
              <w:ind w:left="220"/>
              <w:spacing w:after="0"/>
              <w:rPr>
                <w:sz w:val="20"/>
                <w:szCs w:val="20"/>
                <w:color w:val="auto"/>
              </w:rPr>
            </w:pPr>
            <w:r>
              <w:rPr>
                <w:rFonts w:ascii="Arial" w:cs="Arial" w:eastAsia="Arial" w:hAnsi="Arial"/>
                <w:sz w:val="13"/>
                <w:szCs w:val="13"/>
                <w:color w:val="auto"/>
              </w:rPr>
              <w:t>LAM Merger and related amortization</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315,617</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46,220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46,223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1,653</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47,876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Conversion of Series A preferred stock into</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Class A common stock</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(4,862)</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572,988</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w:t>
            </w: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80" w:type="dxa"/>
            <w:vAlign w:val="bottom"/>
          </w:tcPr>
          <w:p>
            <w:pPr>
              <w:spacing w:after="0" w:line="135" w:lineRule="exact"/>
              <w:rPr>
                <w:sz w:val="20"/>
                <w:szCs w:val="20"/>
                <w:color w:val="auto"/>
              </w:rPr>
            </w:pPr>
            <w:r>
              <w:rPr>
                <w:rFonts w:ascii="Arial" w:cs="Arial" w:eastAsia="Arial" w:hAnsi="Arial"/>
                <w:sz w:val="13"/>
                <w:szCs w:val="13"/>
                <w:color w:val="auto"/>
              </w:rPr>
              <w:t>Amortization of share-based incentive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80" w:type="dxa"/>
            <w:vAlign w:val="bottom"/>
          </w:tcPr>
          <w:p>
            <w:pPr>
              <w:ind w:left="220"/>
              <w:spacing w:after="0"/>
              <w:rPr>
                <w:sz w:val="20"/>
                <w:szCs w:val="20"/>
                <w:color w:val="auto"/>
              </w:rPr>
            </w:pPr>
            <w:r>
              <w:rPr>
                <w:rFonts w:ascii="Arial" w:cs="Arial" w:eastAsia="Arial" w:hAnsi="Arial"/>
                <w:sz w:val="13"/>
                <w:szCs w:val="13"/>
                <w:color w:val="auto"/>
              </w:rPr>
              <w:t>compensation</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286,957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286,957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18,346</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305,303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Dividend-equivalents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10,606</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w w:val="94"/>
              </w:rPr>
              <w:t>(10,656)</w:t>
            </w:r>
          </w:p>
        </w:tc>
        <w:tc>
          <w:tcPr>
            <w:tcW w:w="12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44"/>
        </w:trPr>
        <w:tc>
          <w:tcPr>
            <w:tcW w:w="2480" w:type="dxa"/>
            <w:vAlign w:val="bottom"/>
          </w:tcPr>
          <w:p>
            <w:pPr>
              <w:spacing w:after="0" w:line="144" w:lineRule="exact"/>
              <w:rPr>
                <w:sz w:val="20"/>
                <w:szCs w:val="20"/>
                <w:color w:val="auto"/>
              </w:rPr>
            </w:pPr>
            <w:r>
              <w:rPr>
                <w:rFonts w:ascii="Arial" w:cs="Arial" w:eastAsia="Arial" w:hAnsi="Arial"/>
                <w:sz w:val="13"/>
                <w:szCs w:val="13"/>
                <w:color w:val="auto"/>
              </w:rPr>
              <w:t>Class A common stock dividends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w w:val="94"/>
              </w:rPr>
              <w:t>(50,581)</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(50,581)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(50,581)</w:t>
            </w: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Purchase of Class A common stock</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4,686,892</w:t>
            </w: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w w:val="96"/>
              </w:rPr>
              <w:t>(149,981)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(149,981)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(149,981)</w:t>
            </w:r>
          </w:p>
        </w:tc>
        <w:tc>
          <w:tcPr>
            <w:tcW w:w="0" w:type="dxa"/>
            <w:vAlign w:val="bottom"/>
          </w:tcPr>
          <w:p>
            <w:pPr>
              <w:spacing w:after="0"/>
              <w:rPr>
                <w:sz w:val="1"/>
                <w:szCs w:val="1"/>
                <w:color w:val="auto"/>
              </w:rPr>
            </w:pPr>
          </w:p>
        </w:tc>
      </w:tr>
      <w:tr>
        <w:trPr>
          <w:trHeight w:val="135"/>
        </w:trPr>
        <w:tc>
          <w:tcPr>
            <w:tcW w:w="2480" w:type="dxa"/>
            <w:vAlign w:val="bottom"/>
          </w:tcPr>
          <w:p>
            <w:pPr>
              <w:spacing w:after="0" w:line="135" w:lineRule="exact"/>
              <w:rPr>
                <w:sz w:val="20"/>
                <w:szCs w:val="20"/>
                <w:color w:val="auto"/>
              </w:rPr>
            </w:pPr>
            <w:r>
              <w:rPr>
                <w:rFonts w:ascii="Arial" w:cs="Arial" w:eastAsia="Arial" w:hAnsi="Arial"/>
                <w:sz w:val="13"/>
                <w:szCs w:val="13"/>
                <w:color w:val="auto"/>
              </w:rPr>
              <w:t>Delivery of Class A common stock in</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80" w:type="dxa"/>
            <w:vAlign w:val="bottom"/>
          </w:tcPr>
          <w:p>
            <w:pPr>
              <w:ind w:left="220"/>
              <w:spacing w:after="0" w:line="144" w:lineRule="exact"/>
              <w:rPr>
                <w:sz w:val="20"/>
                <w:szCs w:val="20"/>
                <w:color w:val="auto"/>
              </w:rPr>
            </w:pPr>
            <w:r>
              <w:rPr>
                <w:rFonts w:ascii="Arial" w:cs="Arial" w:eastAsia="Arial" w:hAnsi="Arial"/>
                <w:sz w:val="13"/>
                <w:szCs w:val="13"/>
                <w:color w:val="auto"/>
              </w:rPr>
              <w:t>connection with share-based incentive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80" w:type="dxa"/>
            <w:vAlign w:val="bottom"/>
          </w:tcPr>
          <w:p>
            <w:pPr>
              <w:ind w:left="220"/>
              <w:spacing w:after="0"/>
              <w:rPr>
                <w:sz w:val="20"/>
                <w:szCs w:val="20"/>
                <w:color w:val="auto"/>
              </w:rPr>
            </w:pPr>
            <w:r>
              <w:rPr>
                <w:rFonts w:ascii="Arial" w:cs="Arial" w:eastAsia="Arial" w:hAnsi="Arial"/>
                <w:sz w:val="13"/>
                <w:szCs w:val="13"/>
                <w:color w:val="auto"/>
              </w:rPr>
              <w:t>compensation</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(286,847)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(6,690,159)</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229,271</w:t>
            </w: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(57,576)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(57,576)</w:t>
            </w: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Repurchase of common membership interests</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from LAZ-MD Holdings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(6,812)</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(6,812)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(436)</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(7,248)</w:t>
            </w:r>
          </w:p>
        </w:tc>
        <w:tc>
          <w:tcPr>
            <w:tcW w:w="0" w:type="dxa"/>
            <w:vAlign w:val="bottom"/>
          </w:tcPr>
          <w:p>
            <w:pPr>
              <w:spacing w:after="0"/>
              <w:rPr>
                <w:sz w:val="1"/>
                <w:szCs w:val="1"/>
                <w:color w:val="auto"/>
              </w:rPr>
            </w:pPr>
          </w:p>
        </w:tc>
      </w:tr>
      <w:tr>
        <w:trPr>
          <w:trHeight w:val="144"/>
        </w:trPr>
        <w:tc>
          <w:tcPr>
            <w:tcW w:w="2480" w:type="dxa"/>
            <w:vAlign w:val="bottom"/>
          </w:tcPr>
          <w:p>
            <w:pPr>
              <w:spacing w:after="0" w:line="144" w:lineRule="exact"/>
              <w:rPr>
                <w:sz w:val="20"/>
                <w:szCs w:val="20"/>
                <w:color w:val="auto"/>
              </w:rPr>
            </w:pPr>
            <w:r>
              <w:rPr>
                <w:rFonts w:ascii="Arial" w:cs="Arial" w:eastAsia="Arial" w:hAnsi="Arial"/>
                <w:sz w:val="13"/>
                <w:szCs w:val="13"/>
                <w:color w:val="auto"/>
              </w:rPr>
              <w:t>Issuance of Class A common stock</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3,000,000</w:t>
            </w: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30</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116,070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3,000,000</w:t>
            </w: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w w:val="96"/>
              </w:rPr>
              <w:t>(116,100)</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Class A common stock issued in exchange for</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Lazard Group common membership</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interests, including in connection with</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secondary offerings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23,643,419</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236</w:t>
            </w: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480" w:type="dxa"/>
            <w:vAlign w:val="bottom"/>
          </w:tcPr>
          <w:p>
            <w:pPr>
              <w:spacing w:after="0" w:line="144" w:lineRule="exact"/>
              <w:rPr>
                <w:sz w:val="20"/>
                <w:szCs w:val="20"/>
                <w:color w:val="auto"/>
              </w:rPr>
            </w:pPr>
            <w:r>
              <w:rPr>
                <w:rFonts w:ascii="Arial" w:cs="Arial" w:eastAsia="Arial" w:hAnsi="Arial"/>
                <w:sz w:val="13"/>
                <w:szCs w:val="13"/>
                <w:color w:val="auto"/>
                <w:w w:val="98"/>
              </w:rPr>
              <w:t>Distributions to noncontrolling interests, net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(32,963)</w:t>
            </w: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(32,963)</w:t>
            </w: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Adjustments related to noncontrolling</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interests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42,958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(11,450)</w:t>
            </w: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31,508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(31,508)</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3"/>
                <w:szCs w:val="13"/>
                <w:b w:val="1"/>
                <w:bCs w:val="1"/>
                <w:color w:val="auto"/>
              </w:rPr>
              <w:t>Balance – December 31, 2010</w:t>
            </w: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80" w:type="dxa"/>
            <w:vAlign w:val="bottom"/>
            <w:vMerge w:val="continue"/>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w w:val="95"/>
              </w:rPr>
              <w:t>22,021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b w:val="1"/>
                <w:bCs w:val="1"/>
                <w:color w:val="auto"/>
                <w:w w:val="82"/>
              </w:rPr>
              <w:t>$</w:t>
            </w:r>
          </w:p>
        </w:tc>
        <w:tc>
          <w:tcPr>
            <w:tcW w:w="2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1"/>
              </w:rPr>
              <w:t>119,697,937</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1,197</w:t>
            </w:r>
          </w:p>
        </w:tc>
        <w:tc>
          <w:tcPr>
            <w:tcW w:w="120" w:type="dxa"/>
            <w:vAlign w:val="bottom"/>
          </w:tcPr>
          <w:p>
            <w:pPr>
              <w:ind w:left="60"/>
              <w:spacing w:after="0"/>
              <w:rPr>
                <w:sz w:val="20"/>
                <w:szCs w:val="20"/>
                <w:color w:val="auto"/>
              </w:rPr>
            </w:pPr>
            <w:r>
              <w:rPr>
                <w:rFonts w:ascii="Arial" w:cs="Arial" w:eastAsia="Arial" w:hAnsi="Arial"/>
                <w:sz w:val="5"/>
                <w:szCs w:val="5"/>
                <w:b w:val="1"/>
                <w:bCs w:val="1"/>
                <w:color w:val="auto"/>
                <w:w w:val="70"/>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758,841</w:t>
            </w:r>
          </w:p>
        </w:tc>
        <w:tc>
          <w:tcPr>
            <w:tcW w:w="80" w:type="dxa"/>
            <w:vAlign w:val="bottom"/>
          </w:tcPr>
          <w:p>
            <w:pPr>
              <w:spacing w:after="0"/>
              <w:rPr>
                <w:sz w:val="20"/>
                <w:szCs w:val="20"/>
                <w:color w:val="auto"/>
              </w:rPr>
            </w:pPr>
            <w:r>
              <w:rPr>
                <w:rFonts w:ascii="Arial" w:cs="Arial" w:eastAsia="Arial" w:hAnsi="Arial"/>
                <w:sz w:val="13"/>
                <w:szCs w:val="13"/>
                <w:b w:val="1"/>
                <w:bCs w:val="1"/>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9"/>
              </w:rPr>
              <w:t>166,468</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(46,158)</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6,847,508</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(227,950)</w:t>
            </w:r>
          </w:p>
        </w:tc>
        <w:tc>
          <w:tcPr>
            <w:tcW w:w="80" w:type="dxa"/>
            <w:vAlign w:val="bottom"/>
          </w:tcPr>
          <w:p>
            <w:pPr>
              <w:ind w:left="20"/>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652,398</w:t>
            </w:r>
          </w:p>
        </w:tc>
        <w:tc>
          <w:tcPr>
            <w:tcW w:w="16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143,719</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796,117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340" w:right="280" w:hanging="336"/>
        <w:spacing w:after="0" w:line="183" w:lineRule="auto"/>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3"/>
          <w:szCs w:val="13"/>
          <w:color w:val="auto"/>
        </w:rPr>
        <w:t>Includes 76,294,912, 92,165,912 and 119,697,936 shares of the Company’s Class A common stock issued at December 31, 2008, 2009 and 2010,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-213360</wp:posOffset>
            </wp:positionV>
            <wp:extent cx="7289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448"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7140" w:firstLine="4"/>
        <w:spacing w:after="0" w:line="336" w:lineRule="auto"/>
        <w:tabs>
          <w:tab w:leader="none" w:pos="457" w:val="left"/>
        </w:tabs>
        <w:numPr>
          <w:ilvl w:val="0"/>
          <w:numId w:val="4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ORGANIZATION AND BASIS OF PRESENTATION Organization</w:t>
      </w:r>
    </w:p>
    <w:p>
      <w:pPr>
        <w:spacing w:after="0" w:line="1" w:lineRule="exact"/>
        <w:rPr>
          <w:sz w:val="20"/>
          <w:szCs w:val="20"/>
          <w:color w:val="auto"/>
        </w:rPr>
      </w:pPr>
    </w:p>
    <w:p>
      <w:pPr>
        <w:ind w:right="160" w:firstLine="457"/>
        <w:spacing w:after="0" w:line="310" w:lineRule="auto"/>
        <w:rPr>
          <w:sz w:val="20"/>
          <w:szCs w:val="20"/>
          <w:color w:val="auto"/>
        </w:rPr>
      </w:pPr>
      <w:r>
        <w:rPr>
          <w:rFonts w:ascii="Arial" w:cs="Arial" w:eastAsia="Arial" w:hAnsi="Arial"/>
          <w:sz w:val="15"/>
          <w:szCs w:val="15"/>
          <w:color w:val="auto"/>
        </w:rPr>
        <w:t>Lazard Ltd, a Bermuda holding company, and its subsidiaries (collectively referred to as “Lazard Ltd”, “Lazard”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88"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Lazard Ltd indirectly held approximately 94.0% and 74.5% of all outstanding Lazard Group common membership interests as of December 31, 2010 and 2009, respectively. Lazard Ltd, through its control of the managing members of Lazard Group, controls Lazard Group. LAZ-MD Holdings LLC (“LAZ-MD Holdings”), an entity owned by Lazard Group’s current and former managing directors, held approximately 6.0% and 25.5% of the outstanding Lazard Group common membership interests as of December 31, 2010 and 2009, respectively. Additionally, LAZ-MD Holdings was the sole owner of the one issued and outstanding share of Lazard Ltd’s Class B common stock (the “Class B common stock”) which provided LAZ-MD Holdings with approximately 6.0% and 25.5% of the voting power but no economic rights in the Company as of December 31, 2010 and 2009, respectively. Subject to certain limitations, LAZ-MD Holdings’ interests in Lazard Group are exchangeable for Lazard Ltd Class A common stock, par value $0.01 per share (“Class A common stock”). Lazard Group is governed by an Operating Agreement dated as of May 10, 2005, as amended (the “Operating Agreement”).</w:t>
      </w:r>
    </w:p>
    <w:p>
      <w:pPr>
        <w:spacing w:after="0" w:line="109" w:lineRule="exact"/>
        <w:rPr>
          <w:sz w:val="20"/>
          <w:szCs w:val="20"/>
          <w:color w:val="auto"/>
        </w:rPr>
      </w:pPr>
    </w:p>
    <w:p>
      <w:pPr>
        <w:ind w:right="300" w:firstLine="457"/>
        <w:spacing w:after="0" w:line="280" w:lineRule="auto"/>
        <w:rPr>
          <w:sz w:val="20"/>
          <w:szCs w:val="20"/>
          <w:color w:val="auto"/>
        </w:rPr>
      </w:pPr>
      <w:r>
        <w:rPr>
          <w:rFonts w:ascii="Arial" w:cs="Arial" w:eastAsia="Arial" w:hAnsi="Arial"/>
          <w:sz w:val="17"/>
          <w:szCs w:val="17"/>
          <w:color w:val="auto"/>
        </w:rPr>
        <w:t>The Company’s sole operating asset is its indirect ownership of common membership interests of Lazard Group and its managing member interest of Lazard Group, whose principal operating activities are included in two business segments:</w:t>
      </w:r>
    </w:p>
    <w:p>
      <w:pPr>
        <w:spacing w:after="0" w:line="27" w:lineRule="exact"/>
        <w:rPr>
          <w:sz w:val="20"/>
          <w:szCs w:val="20"/>
          <w:color w:val="auto"/>
        </w:rPr>
      </w:pPr>
    </w:p>
    <w:p>
      <w:pPr>
        <w:ind w:left="780" w:right="500" w:hanging="319"/>
        <w:spacing w:after="0" w:line="280" w:lineRule="auto"/>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Financial Advisory, which includes providing advice on mergers and acquisitions (“M&amp;A”) and strategic advisory matters, restructurings and capital structure advisory services, capital raising and other transactions, and</w:t>
      </w:r>
    </w:p>
    <w:p>
      <w:pPr>
        <w:spacing w:after="0" w:line="26" w:lineRule="exact"/>
        <w:rPr>
          <w:rFonts w:ascii="Arial" w:cs="Arial" w:eastAsia="Arial" w:hAnsi="Arial"/>
          <w:sz w:val="17"/>
          <w:szCs w:val="17"/>
          <w:color w:val="auto"/>
        </w:rPr>
      </w:pPr>
    </w:p>
    <w:p>
      <w:pPr>
        <w:ind w:left="780" w:hanging="319"/>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Asset Management, which includes the management of equity and fixed income securities, alternative investments and private equity funds.</w:t>
      </w:r>
    </w:p>
    <w:p>
      <w:pPr>
        <w:spacing w:after="0" w:line="183" w:lineRule="exact"/>
        <w:rPr>
          <w:sz w:val="20"/>
          <w:szCs w:val="20"/>
          <w:color w:val="auto"/>
        </w:rPr>
      </w:pPr>
    </w:p>
    <w:p>
      <w:pPr>
        <w:ind w:right="160" w:firstLine="457"/>
        <w:spacing w:after="0" w:line="349" w:lineRule="auto"/>
        <w:rPr>
          <w:sz w:val="20"/>
          <w:szCs w:val="20"/>
          <w:color w:val="auto"/>
        </w:rPr>
      </w:pPr>
      <w:r>
        <w:rPr>
          <w:rFonts w:ascii="Arial" w:cs="Arial" w:eastAsia="Arial" w:hAnsi="Arial"/>
          <w:sz w:val="15"/>
          <w:szCs w:val="15"/>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60"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79"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The consolidated financial statements are prepared in conformity with accounting principles generally accepted in the United States of America (“U.S. GAAP”). 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40" w:top="448" w:right="2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480"/>
        <w:spacing w:after="0" w:line="349" w:lineRule="auto"/>
        <w:rPr>
          <w:sz w:val="20"/>
          <w:szCs w:val="20"/>
          <w:color w:val="auto"/>
        </w:rPr>
      </w:pPr>
      <w:r>
        <w:rPr>
          <w:rFonts w:ascii="Arial" w:cs="Arial" w:eastAsia="Arial" w:hAnsi="Arial"/>
          <w:sz w:val="15"/>
          <w:szCs w:val="15"/>
          <w:color w:val="auto"/>
        </w:rPr>
        <w:t>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60"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The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prior period amounts have been reclassified to conform to the manner of presentation in the current period.</w:t>
      </w:r>
    </w:p>
    <w:p>
      <w:pPr>
        <w:spacing w:after="0" w:line="157" w:lineRule="exact"/>
        <w:rPr>
          <w:sz w:val="20"/>
          <w:szCs w:val="20"/>
          <w:color w:val="auto"/>
        </w:rPr>
      </w:pPr>
    </w:p>
    <w:p>
      <w:pPr>
        <w:ind w:left="300" w:hanging="296"/>
        <w:spacing w:after="0"/>
        <w:tabs>
          <w:tab w:leader="none" w:pos="300" w:val="left"/>
        </w:tabs>
        <w:numPr>
          <w:ilvl w:val="0"/>
          <w:numId w:val="4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policies below relate to reported amounts on the consolidated financial statements.</w:t>
      </w:r>
    </w:p>
    <w:p>
      <w:pPr>
        <w:spacing w:after="0" w:line="157"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Net foreign currency remeasurement gains (losses) amounted to $(1,606), $5,700 and $14,657, respectively, for the years ended December 31, 2010, 2009 and 2008, and are included in “revenue-other” on the respective consolidated statements of operations.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 of Estimates—</w:t>
      </w:r>
      <w:r>
        <w:rPr>
          <w:rFonts w:ascii="Arial" w:cs="Arial" w:eastAsia="Arial" w:hAnsi="Arial"/>
          <w:sz w:val="17"/>
          <w:szCs w:val="17"/>
          <w:color w:val="auto"/>
        </w:rPr>
        <w:t>In preparing the consolidated financial statements, management makes estimates and assumptions regarding:</w:t>
      </w:r>
    </w:p>
    <w:p>
      <w:pPr>
        <w:spacing w:after="0" w:line="79" w:lineRule="exact"/>
        <w:rPr>
          <w:sz w:val="20"/>
          <w:szCs w:val="20"/>
          <w:color w:val="auto"/>
        </w:rPr>
      </w:pPr>
    </w:p>
    <w:p>
      <w:pPr>
        <w:ind w:left="780" w:hanging="319"/>
        <w:spacing w:after="0"/>
        <w:tabs>
          <w:tab w:leader="none" w:pos="7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valuations of assets and liabilities requiring fair value estimates including, but not limited to, investments, derivatives and securities sold, not yet purchased;</w:t>
      </w:r>
    </w:p>
    <w:p>
      <w:pPr>
        <w:spacing w:after="0" w:line="127" w:lineRule="exact"/>
        <w:rPr>
          <w:rFonts w:ascii="Arial" w:cs="Arial" w:eastAsia="Arial" w:hAnsi="Arial"/>
          <w:sz w:val="15"/>
          <w:szCs w:val="15"/>
          <w:color w:val="auto"/>
        </w:rPr>
      </w:pPr>
    </w:p>
    <w:p>
      <w:pPr>
        <w:ind w:left="780" w:hanging="319"/>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adequacy of the allowance for doubtful accounts;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realization of deferred taxes and adequacy of tax reserves for uncertain tax positions;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outcome of litigation;</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carrying amount of goodwill and other intangible assets;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amortization period of intangible assets;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valuation of shares issued or issuable that contain transfer restrictions;</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share-based compensation plan forfeitures;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matters that affect the reported amounts and disclosure of contingencies in the financial statements.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380"/>
          </w:cols>
          <w:pgMar w:left="240" w:top="448" w:right="27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20" w:firstLine="457"/>
        <w:spacing w:after="0" w:line="280" w:lineRule="auto"/>
        <w:rPr>
          <w:sz w:val="20"/>
          <w:szCs w:val="20"/>
          <w:color w:val="auto"/>
        </w:rPr>
      </w:pPr>
      <w:r>
        <w:rPr>
          <w:rFonts w:ascii="Arial" w:cs="Arial" w:eastAsia="Arial" w:hAnsi="Arial"/>
          <w:sz w:val="17"/>
          <w:szCs w:val="17"/>
          <w:color w:val="auto"/>
        </w:rPr>
        <w:t>Estimates, by their nature, are based on judgment and available information. Therefore, actual results could differ from those estimates and could have a material impact on the consolidated financial statements.</w:t>
      </w:r>
    </w:p>
    <w:p>
      <w:pPr>
        <w:spacing w:after="0" w:line="105" w:lineRule="exact"/>
        <w:rPr>
          <w:sz w:val="20"/>
          <w:szCs w:val="20"/>
          <w:color w:val="auto"/>
        </w:rPr>
      </w:pPr>
    </w:p>
    <w:p>
      <w:pPr>
        <w:ind w:firstLine="457"/>
        <w:spacing w:after="0" w:line="280" w:lineRule="auto"/>
        <w:rPr>
          <w:sz w:val="20"/>
          <w:szCs w:val="20"/>
          <w:color w:val="auto"/>
        </w:rPr>
      </w:pPr>
      <w:r>
        <w:rPr>
          <w:rFonts w:ascii="Arial" w:cs="Arial" w:eastAsia="Arial" w:hAnsi="Arial"/>
          <w:sz w:val="17"/>
          <w:szCs w:val="17"/>
          <w:b w:val="1"/>
          <w:bCs w:val="1"/>
          <w:i w:val="1"/>
          <w:iCs w:val="1"/>
          <w:color w:val="auto"/>
        </w:rPr>
        <w:t>Cash and Cash Equivalents—</w:t>
      </w:r>
      <w:r>
        <w:rPr>
          <w:rFonts w:ascii="Arial" w:cs="Arial" w:eastAsia="Arial" w:hAnsi="Arial"/>
          <w:sz w:val="17"/>
          <w:szCs w:val="17"/>
          <w:color w:val="auto"/>
        </w:rPr>
        <w:t>The Company defines cash equivalents as short-term, highly liquid securities and cash deposits with original maturities of 90 days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less when purchased.</w:t>
      </w:r>
    </w:p>
    <w:p>
      <w:pPr>
        <w:spacing w:after="0" w:line="105" w:lineRule="exact"/>
        <w:rPr>
          <w:sz w:val="20"/>
          <w:szCs w:val="20"/>
          <w:color w:val="auto"/>
        </w:rPr>
      </w:pPr>
    </w:p>
    <w:p>
      <w:pPr>
        <w:ind w:right="200" w:firstLine="457"/>
        <w:spacing w:after="0" w:line="349" w:lineRule="auto"/>
        <w:rPr>
          <w:sz w:val="20"/>
          <w:szCs w:val="20"/>
          <w:color w:val="auto"/>
        </w:rPr>
      </w:pPr>
      <w:r>
        <w:rPr>
          <w:rFonts w:ascii="Arial" w:cs="Arial" w:eastAsia="Arial" w:hAnsi="Arial"/>
          <w:sz w:val="15"/>
          <w:szCs w:val="15"/>
          <w:b w:val="1"/>
          <w:bCs w:val="1"/>
          <w:i w:val="1"/>
          <w:iCs w:val="1"/>
          <w:color w:val="auto"/>
        </w:rPr>
        <w:t>Deposits with Banks</w:t>
      </w:r>
      <w:r>
        <w:rPr>
          <w:rFonts w:ascii="Arial" w:cs="Arial" w:eastAsia="Arial" w:hAnsi="Arial"/>
          <w:sz w:val="15"/>
          <w:szCs w:val="15"/>
          <w:color w:val="auto"/>
        </w:rPr>
        <w:t>—Represents LFB’s short-term deposits, principally with the Banque de France. The level of these deposits may be driven by the level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LFB customer and bank-related interest-bearing time and demand deposits (which can fluctuate significantly on a daily basis) and by changes in asset allocation.</w:t>
      </w:r>
    </w:p>
    <w:p>
      <w:pPr>
        <w:spacing w:after="0" w:line="60" w:lineRule="exact"/>
        <w:rPr>
          <w:sz w:val="20"/>
          <w:szCs w:val="20"/>
          <w:color w:val="auto"/>
        </w:rPr>
      </w:pPr>
    </w:p>
    <w:p>
      <w:pPr>
        <w:ind w:right="20" w:firstLine="457"/>
        <w:spacing w:after="0" w:line="280" w:lineRule="auto"/>
        <w:rPr>
          <w:sz w:val="20"/>
          <w:szCs w:val="20"/>
          <w:color w:val="auto"/>
        </w:rPr>
      </w:pPr>
      <w:r>
        <w:rPr>
          <w:rFonts w:ascii="Arial" w:cs="Arial" w:eastAsia="Arial" w:hAnsi="Arial"/>
          <w:sz w:val="17"/>
          <w:szCs w:val="17"/>
          <w:b w:val="1"/>
          <w:bCs w:val="1"/>
          <w:i w:val="1"/>
          <w:iCs w:val="1"/>
          <w:color w:val="auto"/>
        </w:rPr>
        <w:t>Cash Deposited with Clearing Organizations and Other Segregated Cash—</w:t>
      </w:r>
      <w:r>
        <w:rPr>
          <w:rFonts w:ascii="Arial" w:cs="Arial" w:eastAsia="Arial" w:hAnsi="Arial"/>
          <w:sz w:val="17"/>
          <w:szCs w:val="17"/>
          <w:color w:val="auto"/>
        </w:rPr>
        <w:t>Primarily represents restricted cash deposits made by the Company, including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satisfy the requirements of clearing organizations.</w:t>
      </w:r>
    </w:p>
    <w:p>
      <w:pPr>
        <w:spacing w:after="0" w:line="105" w:lineRule="exact"/>
        <w:rPr>
          <w:sz w:val="20"/>
          <w:szCs w:val="20"/>
          <w:color w:val="auto"/>
        </w:rPr>
      </w:pPr>
    </w:p>
    <w:p>
      <w:pPr>
        <w:ind w:right="120" w:firstLine="457"/>
        <w:spacing w:after="0" w:line="320" w:lineRule="auto"/>
        <w:rPr>
          <w:sz w:val="20"/>
          <w:szCs w:val="20"/>
          <w:color w:val="auto"/>
        </w:rPr>
      </w:pPr>
      <w:r>
        <w:rPr>
          <w:rFonts w:ascii="Arial" w:cs="Arial" w:eastAsia="Arial" w:hAnsi="Arial"/>
          <w:sz w:val="15"/>
          <w:szCs w:val="15"/>
          <w:b w:val="1"/>
          <w:bCs w:val="1"/>
          <w:i w:val="1"/>
          <w:iCs w:val="1"/>
          <w:color w:val="auto"/>
        </w:rPr>
        <w:t>Allowance for Doubtful Accounts—</w:t>
      </w:r>
      <w:r>
        <w:rPr>
          <w:rFonts w:ascii="Arial" w:cs="Arial" w:eastAsia="Arial" w:hAnsi="Arial"/>
          <w:sz w:val="15"/>
          <w:szCs w:val="15"/>
          <w:color w:val="auto"/>
        </w:rPr>
        <w:t>We maintain an allowance for bad debts to provide for estimated losses relating to fees and customer receivables.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80"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4 of Notes to Consolidated Financial Statements for additional information regarding receivables.</w:t>
      </w:r>
    </w:p>
    <w:p>
      <w:pPr>
        <w:spacing w:after="0" w:line="153" w:lineRule="exact"/>
        <w:rPr>
          <w:sz w:val="20"/>
          <w:szCs w:val="20"/>
          <w:color w:val="auto"/>
        </w:rPr>
      </w:pPr>
    </w:p>
    <w:p>
      <w:pPr>
        <w:jc w:val="both"/>
        <w:ind w:right="100" w:firstLine="457"/>
        <w:spacing w:after="0" w:line="270" w:lineRule="auto"/>
        <w:rPr>
          <w:sz w:val="20"/>
          <w:szCs w:val="20"/>
          <w:color w:val="auto"/>
        </w:rPr>
      </w:pPr>
      <w:r>
        <w:rPr>
          <w:rFonts w:ascii="Arial" w:cs="Arial" w:eastAsia="Arial" w:hAnsi="Arial"/>
          <w:sz w:val="17"/>
          <w:szCs w:val="17"/>
          <w:b w:val="1"/>
          <w:bCs w:val="1"/>
          <w:i w:val="1"/>
          <w:iCs w:val="1"/>
          <w:color w:val="auto"/>
        </w:rPr>
        <w:t>Investments</w:t>
      </w:r>
      <w:r>
        <w:rPr>
          <w:rFonts w:ascii="Arial" w:cs="Arial" w:eastAsia="Arial" w:hAnsi="Arial"/>
          <w:sz w:val="17"/>
          <w:szCs w:val="17"/>
          <w:b w:val="1"/>
          <w:bCs w:val="1"/>
          <w:color w:val="auto"/>
        </w:rPr>
        <w:t>—</w:t>
      </w:r>
      <w:r>
        <w:rPr>
          <w:rFonts w:ascii="Arial" w:cs="Arial" w:eastAsia="Arial" w:hAnsi="Arial"/>
          <w:sz w:val="17"/>
          <w:szCs w:val="17"/>
          <w:color w:val="auto"/>
        </w:rPr>
        <w:t>Investments in debt and marketable equity securities held either directly or indirectly through asset management funds at the Company’s broker-dealer subsidiaries are accounted for at fair value, with any increase or decrease in fair value recorded in earnings in accordance with standard industry practices. Such amounts are reflected in “revenue-other” in the consolidated statements of operations.</w:t>
      </w:r>
    </w:p>
    <w:p>
      <w:pPr>
        <w:spacing w:after="0" w:line="114" w:lineRule="exact"/>
        <w:rPr>
          <w:sz w:val="20"/>
          <w:szCs w:val="20"/>
          <w:color w:val="auto"/>
        </w:rPr>
      </w:pPr>
    </w:p>
    <w:p>
      <w:pPr>
        <w:ind w:right="20" w:firstLine="457"/>
        <w:spacing w:after="0" w:line="300" w:lineRule="auto"/>
        <w:rPr>
          <w:sz w:val="20"/>
          <w:szCs w:val="20"/>
          <w:color w:val="auto"/>
        </w:rPr>
      </w:pPr>
      <w:r>
        <w:rPr>
          <w:rFonts w:ascii="Arial" w:cs="Arial" w:eastAsia="Arial" w:hAnsi="Arial"/>
          <w:sz w:val="15"/>
          <w:szCs w:val="15"/>
          <w:color w:val="auto"/>
        </w:rPr>
        <w:t>Investments in debt and marketable equity securities held at the Company’s non broker-dealer subsidiaries may include “trading”, “available-for-sale” and “held-to-maturity” securities. Investments in debt and marketable equity securities considered “trading” securities are accounted for at fair value, with any increase or decrease in fair value reflected in “revenue-other” in the consolidated statements of operations. Investments in debt securities considered “available-for-sale” securities are accounted for at fair value, with any increase or decrease in fair value reported in AOCI, until such time they are realized and reclassified to earnings. Investments in debt securities considered “held-to-maturity” securities are accounted for at amortized cost. Declines in the fair value of “available-for-sale” and “held-to-maturity” securities that are determined to be other-than-temporary are charged to earnings, which, for periods beginning after April 1, 2009, may only include the credit loss component of such declines. At December 31, 2010, the Company had no “available-for-sale” or “held-to-maturity” debt or marketable equity securities.</w:t>
      </w:r>
    </w:p>
    <w:p>
      <w:pPr>
        <w:spacing w:after="0" w:line="96" w:lineRule="exact"/>
        <w:rPr>
          <w:sz w:val="20"/>
          <w:szCs w:val="20"/>
          <w:color w:val="auto"/>
        </w:rPr>
      </w:pPr>
    </w:p>
    <w:p>
      <w:pPr>
        <w:ind w:right="120" w:firstLine="457"/>
        <w:spacing w:after="0" w:line="280" w:lineRule="auto"/>
        <w:rPr>
          <w:sz w:val="20"/>
          <w:szCs w:val="20"/>
          <w:color w:val="auto"/>
        </w:rPr>
      </w:pPr>
      <w:r>
        <w:rPr>
          <w:rFonts w:ascii="Arial" w:cs="Arial" w:eastAsia="Arial" w:hAnsi="Arial"/>
          <w:sz w:val="17"/>
          <w:szCs w:val="17"/>
          <w:color w:val="auto"/>
        </w:rPr>
        <w:t>Other investments include general partnership and limited partnership interests in alternative asset management funds and private equity investments accounted for at fair value, as well as investments accounted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48"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81" w:lineRule="exact"/>
        <w:rPr>
          <w:sz w:val="20"/>
          <w:szCs w:val="20"/>
          <w:color w:val="auto"/>
        </w:rPr>
      </w:pPr>
    </w:p>
    <w:p>
      <w:pPr>
        <w:ind w:right="60" w:firstLine="457"/>
        <w:spacing w:after="0" w:line="349" w:lineRule="auto"/>
        <w:rPr>
          <w:sz w:val="20"/>
          <w:szCs w:val="20"/>
          <w:color w:val="auto"/>
        </w:rPr>
      </w:pPr>
      <w:r>
        <w:rPr>
          <w:rFonts w:ascii="Arial" w:cs="Arial" w:eastAsia="Arial" w:hAnsi="Arial"/>
          <w:sz w:val="15"/>
          <w:szCs w:val="15"/>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Notes 5 and 6 of Notes to Consolidated Financial Statements for additional information regarding the Company’s investments.</w:t>
      </w:r>
    </w:p>
    <w:p>
      <w:pPr>
        <w:spacing w:after="0" w:line="157"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b w:val="1"/>
          <w:bCs w:val="1"/>
          <w:i w:val="1"/>
          <w:iCs w:val="1"/>
          <w:color w:val="auto"/>
        </w:rPr>
        <w:t>Property-net—</w:t>
      </w:r>
      <w:r>
        <w:rPr>
          <w:rFonts w:ascii="Arial" w:cs="Arial" w:eastAsia="Arial" w:hAnsi="Arial"/>
          <w:sz w:val="15"/>
          <w:szCs w:val="15"/>
          <w:color w:val="auto"/>
        </w:rPr>
        <w:t>Buildings, leasehold improvements and furniture and equipment are stated at cost or, in the case of buildings under capital leases, the present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value of the future minimum lease payments, less accumulated depreciation and amortization. Buildings represent owned property and amounts recorded pursuant to capital leases (see Notes 10 and 14 of Notes to Consolidated Financial Statements),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$22,712, $22,541 and $20,825 for the years ended December 31, 2010, 2009 and 2008,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95"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b w:val="1"/>
          <w:bCs w:val="1"/>
          <w:i w:val="1"/>
          <w:iCs w:val="1"/>
          <w:color w:val="auto"/>
        </w:rPr>
        <w:t>Goodwill and Other Intangible Assets—</w:t>
      </w:r>
      <w:r>
        <w:rPr>
          <w:rFonts w:ascii="Arial" w:cs="Arial" w:eastAsia="Arial" w:hAnsi="Arial"/>
          <w:sz w:val="17"/>
          <w:szCs w:val="17"/>
          <w:color w:val="auto"/>
        </w:rPr>
        <w:t>As goodwill has an indefinite life, it is required to be tested for impairment annually or more frequently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indicate impairment may have occurred. The Company assesses whether any goodwill recorded by its applicable reporting units is impaired by comparing the fair value of each reporting unit with its respective carrying amount. In this process, Lazard uses its best judgment and information available to it at the time to perform this review and utilizes various valuation techniques in order to determine the applicable fair values.</w:t>
      </w:r>
    </w:p>
    <w:p>
      <w:pPr>
        <w:spacing w:after="0" w:line="119" w:lineRule="exact"/>
        <w:rPr>
          <w:sz w:val="20"/>
          <w:szCs w:val="20"/>
          <w:color w:val="auto"/>
        </w:rPr>
      </w:pPr>
    </w:p>
    <w:p>
      <w:pPr>
        <w:ind w:right="60" w:firstLine="457"/>
        <w:spacing w:after="0" w:line="310" w:lineRule="auto"/>
        <w:rPr>
          <w:sz w:val="20"/>
          <w:szCs w:val="20"/>
          <w:color w:val="auto"/>
        </w:rPr>
      </w:pPr>
      <w:r>
        <w:rPr>
          <w:rFonts w:ascii="Arial" w:cs="Arial" w:eastAsia="Arial" w:hAnsi="Arial"/>
          <w:sz w:val="15"/>
          <w:szCs w:val="15"/>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11 of Notes to Consolidated Financial Statements with respect to goodwill and other intangible assets.</w:t>
      </w:r>
    </w:p>
    <w:p>
      <w:pPr>
        <w:spacing w:after="0" w:line="157"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 rates, such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05"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The Company enters into forward foreign currency exchange rate contracts, interest rate swaps, interest rate futures, equity swaps and other derivative contracts to hedge exposures to fluctuations in currency exchange rates, interest rates and equity markets. The Company reports its derivative instruments separately as assets and liabilities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48"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 its then “available-for-sale” securities, the Company elected not to apply hedge accounting to its other derivative instruments held. Gains and losses on the Company’s derivatives not designated as hedging instruments, as well as gains and losses on derivatives accounted for as fair value hedges, are included in “interest income” and “interest expense”, respectively, or “revenue-other”, depending on the nature of the underlying item, on the consolidated statements of operations. Furthermore, with respect to derivatives designated as fair value hedges, the hedged item is required to be adjusted for changes in fair value of the risk being hedged, with such adjustment accounted for in the consolidated statements of operations.</w:t>
      </w:r>
    </w:p>
    <w:p>
      <w:pPr>
        <w:spacing w:after="0" w:line="119" w:lineRule="exact"/>
        <w:rPr>
          <w:sz w:val="20"/>
          <w:szCs w:val="20"/>
          <w:color w:val="auto"/>
        </w:rPr>
      </w:pPr>
    </w:p>
    <w:p>
      <w:pPr>
        <w:ind w:right="260" w:firstLine="457"/>
        <w:spacing w:after="0" w:line="295" w:lineRule="auto"/>
        <w:rPr>
          <w:sz w:val="20"/>
          <w:szCs w:val="20"/>
          <w:color w:val="auto"/>
        </w:rPr>
      </w:pPr>
      <w:r>
        <w:rPr>
          <w:rFonts w:ascii="Arial" w:cs="Arial" w:eastAsia="Arial" w:hAnsi="Arial"/>
          <w:sz w:val="16"/>
          <w:szCs w:val="16"/>
          <w:b w:val="1"/>
          <w:bCs w:val="1"/>
          <w:i w:val="1"/>
          <w:iCs w:val="1"/>
          <w:color w:val="auto"/>
        </w:rPr>
        <w:t>Deposits and Other Customer Payables</w:t>
      </w:r>
      <w:r>
        <w:rPr>
          <w:rFonts w:ascii="Arial" w:cs="Arial" w:eastAsia="Arial" w:hAnsi="Arial"/>
          <w:sz w:val="16"/>
          <w:szCs w:val="16"/>
          <w:b w:val="1"/>
          <w:bCs w:val="1"/>
          <w:color w:val="auto"/>
        </w:rPr>
        <w:t>—</w:t>
      </w:r>
      <w:r>
        <w:rPr>
          <w:rFonts w:ascii="Arial" w:cs="Arial" w:eastAsia="Arial" w:hAnsi="Arial"/>
          <w:sz w:val="16"/>
          <w:szCs w:val="16"/>
          <w:color w:val="auto"/>
        </w:rPr>
        <w:t>Principally relates to LFB customer-related interest-bearing time and demand deposits, short-term inter-bank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borrowing with banks and amounts due on collateralized borrowing activities. Collateralized borrowing activities amounted to $7,483 and $18,008 at December 31, 2010 and 2009, respectively, and were fully collateralized with pledged assets of equal or greater value at each such date.</w:t>
      </w:r>
    </w:p>
    <w:p>
      <w:pPr>
        <w:spacing w:after="0" w:line="96" w:lineRule="exact"/>
        <w:rPr>
          <w:sz w:val="20"/>
          <w:szCs w:val="20"/>
          <w:color w:val="auto"/>
        </w:rPr>
      </w:pPr>
    </w:p>
    <w:p>
      <w:pPr>
        <w:ind w:right="200" w:firstLine="457"/>
        <w:spacing w:after="0" w:line="264" w:lineRule="auto"/>
        <w:rPr>
          <w:sz w:val="20"/>
          <w:szCs w:val="20"/>
          <w:color w:val="auto"/>
        </w:rPr>
      </w:pPr>
      <w:r>
        <w:rPr>
          <w:rFonts w:ascii="Arial" w:cs="Arial" w:eastAsia="Arial" w:hAnsi="Arial"/>
          <w:sz w:val="17"/>
          <w:szCs w:val="17"/>
          <w:b w:val="1"/>
          <w:bCs w:val="1"/>
          <w:i w:val="1"/>
          <w:iCs w:val="1"/>
          <w:color w:val="auto"/>
        </w:rPr>
        <w:t>Securities Sold, Not Yet Purchased—</w:t>
      </w:r>
      <w:r>
        <w:rPr>
          <w:rFonts w:ascii="Arial" w:cs="Arial" w:eastAsia="Arial" w:hAnsi="Arial"/>
          <w:sz w:val="17"/>
          <w:szCs w:val="17"/>
          <w:color w:val="auto"/>
        </w:rPr>
        <w:t>Securities sold, not yet purchased represents liabilities for securities sold for which payment has been received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obligations to deliver such securities are included within “other liabilities” in the consolidated statements of financial condition. These securities are accounted for at fair value, with any increase or decrease in fair value recorded in earnings in accordance with standard industry practices. Such gains and losses are reflected in “revenue-other” in the consolidated statements of operations.</w:t>
      </w:r>
    </w:p>
    <w:p>
      <w:pPr>
        <w:spacing w:after="0" w:line="119"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b w:val="1"/>
          <w:bCs w:val="1"/>
          <w:i w:val="1"/>
          <w:iCs w:val="1"/>
          <w:color w:val="auto"/>
        </w:rPr>
        <w:t>Fair Value of Financial Assets and Liabilities—</w:t>
      </w:r>
      <w:r>
        <w:rPr>
          <w:rFonts w:ascii="Arial" w:cs="Arial" w:eastAsia="Arial" w:hAnsi="Arial"/>
          <w:sz w:val="17"/>
          <w:szCs w:val="17"/>
          <w:color w:val="auto"/>
        </w:rPr>
        <w:t>The majority of the Company’s financial assets and liabilities are recorded at fair value or at amounts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 fair value. Such assets and liabilities include cash and cash equivalents, deposits with banks, cash deposited with clearing organizations and other segregated cash, receivables, investments (excluding investments accounted for at amortized cost or using the equity method of accounting), derivative instruments and deposits and other customer payables. For information regarding the fair value of the Company’s senior and subordinated debt, see Note 13 of Notes to Consolidated Financial Statements.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79" w:lineRule="exact"/>
        <w:rPr>
          <w:sz w:val="20"/>
          <w:szCs w:val="20"/>
          <w:color w:val="auto"/>
        </w:rPr>
      </w:pPr>
    </w:p>
    <w:p>
      <w:pPr>
        <w:ind w:right="40" w:firstLine="457"/>
        <w:spacing w:after="0" w:line="310" w:lineRule="auto"/>
        <w:rPr>
          <w:sz w:val="20"/>
          <w:szCs w:val="20"/>
          <w:color w:val="auto"/>
        </w:rPr>
      </w:pPr>
      <w:r>
        <w:rPr>
          <w:rFonts w:ascii="Arial" w:cs="Arial" w:eastAsia="Arial" w:hAnsi="Arial"/>
          <w:sz w:val="15"/>
          <w:szCs w:val="15"/>
          <w:b w:val="1"/>
          <w:bCs w:val="1"/>
          <w:i w:val="1"/>
          <w:iCs w:val="1"/>
          <w:color w:val="auto"/>
        </w:rPr>
        <w:t>Investment Banking and Other Advisory Fees—</w:t>
      </w:r>
      <w:r>
        <w:rPr>
          <w:rFonts w:ascii="Arial" w:cs="Arial" w:eastAsia="Arial" w:hAnsi="Arial"/>
          <w:sz w:val="15"/>
          <w:szCs w:val="15"/>
          <w:color w:val="auto"/>
        </w:rPr>
        <w:t>Fees for M&amp;A and strategic advisory services and restructuring advisory services are recorded when earned,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is generally the date the related transactions are consummated.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2010, 2009 and 2008 are $20,216, $21,673 and $18,124, respectively.</w:t>
      </w:r>
    </w:p>
    <w:p>
      <w:pPr>
        <w:spacing w:after="0" w:line="88"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b w:val="1"/>
          <w:bCs w:val="1"/>
          <w:i w:val="1"/>
          <w:iCs w:val="1"/>
          <w:color w:val="auto"/>
        </w:rPr>
        <w:t>Money Management and Incentive Fees—</w:t>
      </w:r>
      <w:r>
        <w:rPr>
          <w:rFonts w:ascii="Arial" w:cs="Arial" w:eastAsia="Arial" w:hAnsi="Arial"/>
          <w:sz w:val="17"/>
          <w:szCs w:val="17"/>
          <w:color w:val="auto"/>
        </w:rPr>
        <w:t>Money management fees are derived from fees for investment management and advisory services provided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institutional and private clients. Revenue is recorded on an accrual basis primarily based on a percentage of client assets managed. Fees vary with the type of assets managed, with higher fees earned on equity assets, alternative investment (such as hedge funds) and private equity products, and lower fees earned on fixed income and money market products.</w:t>
      </w:r>
    </w:p>
    <w:p>
      <w:pPr>
        <w:spacing w:after="0" w:line="119" w:lineRule="exact"/>
        <w:rPr>
          <w:sz w:val="20"/>
          <w:szCs w:val="20"/>
          <w:color w:val="auto"/>
        </w:rPr>
      </w:pPr>
    </w:p>
    <w:p>
      <w:pPr>
        <w:ind w:right="60" w:firstLine="457"/>
        <w:spacing w:after="0" w:line="349" w:lineRule="auto"/>
        <w:rPr>
          <w:sz w:val="20"/>
          <w:szCs w:val="20"/>
          <w:color w:val="auto"/>
        </w:rPr>
      </w:pPr>
      <w:r>
        <w:rPr>
          <w:rFonts w:ascii="Arial" w:cs="Arial" w:eastAsia="Arial" w:hAnsi="Arial"/>
          <w:sz w:val="15"/>
          <w:szCs w:val="15"/>
          <w:color w:val="auto"/>
        </w:rPr>
        <w:t>The Company may earn performance-based incentive fees on various investment products, including alternative investment funds such as hedge funds, private equity funds, and traditional investment strategies. Incentive fees are calculated based on a specified percentage of a fund’s net appreciation, in some cases in excess of</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00"/>
          </w:cols>
          <w:pgMar w:left="240" w:top="448" w:right="25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established benchmarks. Incentive fees on private equity funds also may be earned in the form of a carried interest if profits from investments exceed a specified threshold. These incentive fees are recorded when realized and are paid at the end of the measurement period. Incentive fees on hedge funds generally are subject to loss carry-forward provisions in which losses incurred by the funds in any year are applied against certain future period net appreciation before any incentive fees can be earned.</w:t>
      </w:r>
    </w:p>
    <w:p>
      <w:pPr>
        <w:spacing w:after="0" w:line="119" w:lineRule="exact"/>
        <w:rPr>
          <w:sz w:val="20"/>
          <w:szCs w:val="20"/>
          <w:color w:val="auto"/>
        </w:rPr>
      </w:pPr>
    </w:p>
    <w:p>
      <w:pPr>
        <w:jc w:val="both"/>
        <w:ind w:right="140" w:firstLine="457"/>
        <w:spacing w:after="0" w:line="268" w:lineRule="auto"/>
        <w:rPr>
          <w:sz w:val="20"/>
          <w:szCs w:val="20"/>
          <w:color w:val="auto"/>
        </w:rPr>
      </w:pPr>
      <w:r>
        <w:rPr>
          <w:rFonts w:ascii="Arial" w:cs="Arial" w:eastAsia="Arial" w:hAnsi="Arial"/>
          <w:sz w:val="17"/>
          <w:szCs w:val="17"/>
          <w:color w:val="auto"/>
        </w:rPr>
        <w:t>The Company records incentive fees at the end of the relevant performance measurement period, when potential uncertainties regarding the ultimate realizable amounts have been determined. The performance fee measurement period is generally an annual period, unless an account terminates during the year. These incentive fees received at the end of the measurement period are not subject to reversal or payback.</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money management and incentive fees are reported in “fees receivable” on the consolidated statements of financial condition.</w:t>
      </w:r>
    </w:p>
    <w:p>
      <w:pPr>
        <w:spacing w:after="0" w:line="164" w:lineRule="exact"/>
        <w:rPr>
          <w:sz w:val="20"/>
          <w:szCs w:val="20"/>
          <w:color w:val="auto"/>
        </w:rPr>
      </w:pPr>
    </w:p>
    <w:p>
      <w:pPr>
        <w:ind w:right="300" w:firstLine="457"/>
        <w:spacing w:after="0" w:line="281" w:lineRule="auto"/>
        <w:rPr>
          <w:sz w:val="20"/>
          <w:szCs w:val="20"/>
          <w:color w:val="auto"/>
        </w:rPr>
      </w:pPr>
      <w:r>
        <w:rPr>
          <w:rFonts w:ascii="Arial" w:cs="Arial" w:eastAsia="Arial" w:hAnsi="Arial"/>
          <w:sz w:val="16"/>
          <w:szCs w:val="16"/>
          <w:b w:val="1"/>
          <w:bCs w:val="1"/>
          <w:i w:val="1"/>
          <w:iCs w:val="1"/>
          <w:color w:val="auto"/>
        </w:rPr>
        <w:t>Soft Dollar Arrangements</w:t>
      </w:r>
      <w:r>
        <w:rPr>
          <w:rFonts w:ascii="Arial" w:cs="Arial" w:eastAsia="Arial" w:hAnsi="Arial"/>
          <w:sz w:val="16"/>
          <w:szCs w:val="16"/>
          <w:b w:val="1"/>
          <w:bCs w:val="1"/>
          <w:color w:val="auto"/>
        </w:rPr>
        <w:t>—</w:t>
      </w:r>
      <w:r>
        <w:rPr>
          <w:rFonts w:ascii="Arial" w:cs="Arial" w:eastAsia="Arial" w:hAnsi="Arial"/>
          <w:sz w:val="16"/>
          <w:szCs w:val="16"/>
          <w:color w:val="auto"/>
        </w:rPr>
        <w:t>The Company’s Asset Management business obtains research and other services through “soft dollar” arrangements. Consistent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If the use of soft dollars is limited or prohibited in the future by regulation, we may have to bear the costs of such research and other services.</w:t>
      </w:r>
    </w:p>
    <w:p>
      <w:pPr>
        <w:spacing w:after="0" w:line="108" w:lineRule="exact"/>
        <w:rPr>
          <w:sz w:val="20"/>
          <w:szCs w:val="20"/>
          <w:color w:val="auto"/>
        </w:rPr>
      </w:pPr>
    </w:p>
    <w:p>
      <w:pPr>
        <w:ind w:firstLine="228"/>
        <w:spacing w:after="0" w:line="305" w:lineRule="auto"/>
        <w:rPr>
          <w:sz w:val="20"/>
          <w:szCs w:val="20"/>
          <w:color w:val="auto"/>
        </w:rPr>
      </w:pPr>
      <w:r>
        <w:rPr>
          <w:rFonts w:ascii="Arial" w:cs="Arial" w:eastAsia="Arial" w:hAnsi="Arial"/>
          <w:sz w:val="15"/>
          <w:szCs w:val="15"/>
          <w:b w:val="1"/>
          <w:bCs w:val="1"/>
          <w:i w:val="1"/>
          <w:iCs w:val="1"/>
          <w:color w:val="auto"/>
        </w:rPr>
        <w:t>Share-Based Incentive Compensation Awards—</w:t>
      </w:r>
      <w:r>
        <w:rPr>
          <w:rFonts w:ascii="Arial" w:cs="Arial" w:eastAsia="Arial" w:hAnsi="Arial"/>
          <w:sz w:val="15"/>
          <w:szCs w:val="15"/>
          <w:color w:val="auto"/>
        </w:rPr>
        <w:t>Share-based incentive compensation awards that do not require future service are expensed immediately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awards that require future service are amortized over the applicable vesting periods or requisite service periods. Expense relating to share-based incentive compensation awards is based on the fair value of the Company’s Class A common stock on the date of grant, and is recognized in “compensation and benefits” (and, as applicable, in “restructuring” expense, with respect to the expense associated with the acceleration of unrecognized expense pertaining to awards granted previously to individuals who were terminated by the Company in the restructuring programs described in Note 18 of Notes to Consolidated Financial Statements).</w:t>
      </w:r>
    </w:p>
    <w:p>
      <w:pPr>
        <w:spacing w:after="0" w:line="92" w:lineRule="exact"/>
        <w:rPr>
          <w:sz w:val="20"/>
          <w:szCs w:val="20"/>
          <w:color w:val="auto"/>
        </w:rPr>
      </w:pPr>
    </w:p>
    <w:p>
      <w:pPr>
        <w:ind w:right="140" w:firstLine="228"/>
        <w:spacing w:after="0" w:line="268"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Lazard Ltd is subject to U.S. corporate federal income tax on its allocable share of the results of operations of Lazard Group, and certain non-U.S.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of the Company are subject to income taxes in their local jurisdictions. In addition, the Company is subject to New York City Unincorporated Business Taxes (“UBT”) attributable to Lazard Group’s operations apportioned to New York City.</w:t>
      </w:r>
    </w:p>
    <w:p>
      <w:pPr>
        <w:spacing w:after="0" w:line="115" w:lineRule="exact"/>
        <w:rPr>
          <w:sz w:val="20"/>
          <w:szCs w:val="20"/>
          <w:color w:val="auto"/>
        </w:rPr>
      </w:pPr>
    </w:p>
    <w:p>
      <w:pPr>
        <w:jc w:val="both"/>
        <w:ind w:right="100" w:firstLine="457"/>
        <w:spacing w:after="0" w:line="292" w:lineRule="auto"/>
        <w:rPr>
          <w:sz w:val="20"/>
          <w:szCs w:val="20"/>
          <w:color w:val="auto"/>
        </w:rPr>
      </w:pPr>
      <w:r>
        <w:rPr>
          <w:rFonts w:ascii="Arial" w:cs="Arial" w:eastAsia="Arial" w:hAnsi="Arial"/>
          <w:sz w:val="16"/>
          <w:szCs w:val="16"/>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liabilities and are included in “other assets” and “other liabilities”, respectively, on the consolidated statements of financial condition.</w:t>
      </w:r>
    </w:p>
    <w:p>
      <w:pPr>
        <w:spacing w:after="0" w:line="98" w:lineRule="exact"/>
        <w:rPr>
          <w:sz w:val="20"/>
          <w:szCs w:val="20"/>
          <w:color w:val="auto"/>
        </w:rPr>
      </w:pPr>
    </w:p>
    <w:p>
      <w:pPr>
        <w:ind w:right="80" w:firstLine="457"/>
        <w:spacing w:after="0" w:line="292"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level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448"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of historical taxable income, scheduled reversals of deferred taxes, projected future taxable income and tax planning strategies that can be implemented by the Company in making this assessment. Furthermore, management applies the “more likely than not” criteria prior to the recognition of a financial statement benefit of a tax position taken or expected to be taken in a tax return with respect to uncertainty in income taxes.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recognizes interest and/or penalties related to income tax matters in “income tax expense”.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19 of Notes to Consolidated Financial Statements for additional information relating to income taxes.</w:t>
      </w:r>
    </w:p>
    <w:p>
      <w:pPr>
        <w:spacing w:after="0" w:line="157" w:lineRule="exact"/>
        <w:rPr>
          <w:sz w:val="20"/>
          <w:szCs w:val="20"/>
          <w:color w:val="auto"/>
        </w:rPr>
      </w:pPr>
    </w:p>
    <w:p>
      <w:pPr>
        <w:ind w:left="300" w:hanging="296"/>
        <w:spacing w:after="0"/>
        <w:tabs>
          <w:tab w:leader="none" w:pos="300" w:val="left"/>
        </w:tabs>
        <w:numPr>
          <w:ilvl w:val="0"/>
          <w:numId w:val="4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RECENT ACCOUNTING DEVELOPMENTS</w:t>
      </w:r>
    </w:p>
    <w:p>
      <w:pPr>
        <w:spacing w:after="0" w:line="79"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—On January 1, 2009, the Company adopted, on a prospective basis, the provisions of new accounting guidance issued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Accounting Standards Board (the “FASB”) on fair value measurements for all nonfinancial assets and nonfinancial liabilities, except those that are recognized or disclosed at fair value in the financial statements on a recurring basis (at least annually). These nonfinancial items included, for example, reporting units required to be measured at fair value for annual goodwill impairment testing purposes and nonfinancial assets acquired and liabilities assumed in a business combination. Such guidance, among other things, defined fair value, established a framework for measuring fair value and enhanced disclosure requirements about fair value measurements. The adoption did not have a material impact on the Company’s consolidated financial statements.</w:t>
      </w:r>
    </w:p>
    <w:p>
      <w:pPr>
        <w:spacing w:after="0" w:line="109"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On April 1, 2009, the Company adopted, on a prospective basis, additional accounting guidance issued by the FASB on fair value measurements. The additional accounting guidance assists in the determination of fair value for securities or other financial assets when the volume and level of activity for such items have significantly decreased when compared with normal market activity and there is no longer sufficient frequency or volume to provide pricing information on an ongoing basis. The additional accounting guidance also assists in determining whether or not a transaction is orderly and whether or not a transaction or quoted price can be considered in the determination of fair value. Accordingly, the additional accounting guidance does not apply to quoted prices for identical assets or liabilities in active markets categorized as Level 1 in the fair value measurement hierarchy. The adoption of additional guidance regarding fair value measurements did not materially impact the Company’s consolidated financial statements.</w:t>
      </w:r>
    </w:p>
    <w:p>
      <w:pPr>
        <w:spacing w:after="0" w:line="108" w:lineRule="exact"/>
        <w:rPr>
          <w:sz w:val="20"/>
          <w:szCs w:val="20"/>
          <w:color w:val="auto"/>
        </w:rPr>
      </w:pPr>
    </w:p>
    <w:p>
      <w:pPr>
        <w:ind w:right="20" w:firstLine="457"/>
        <w:spacing w:after="0" w:line="297" w:lineRule="auto"/>
        <w:rPr>
          <w:sz w:val="20"/>
          <w:szCs w:val="20"/>
          <w:color w:val="auto"/>
        </w:rPr>
      </w:pPr>
      <w:r>
        <w:rPr>
          <w:rFonts w:ascii="Arial" w:cs="Arial" w:eastAsia="Arial" w:hAnsi="Arial"/>
          <w:sz w:val="15"/>
          <w:szCs w:val="15"/>
          <w:color w:val="auto"/>
        </w:rPr>
        <w:t>On January 21, 2010, the FASB amended its fair value measurement disclosure guidance to require disclosure of significant transfers into and out of the Level 1 and Level 2 categories in the fair value measurement hierarchy, as well as separate disclosures about purchases, sales, issuances and settlements relating to Level 3 fair value measurements. In addition, the FASB also clarified its existing fair value measurement disclosure guidance regarding the level of disaggregation required and disclosures about inputs and valuation techniques used to measure fair value. The new disclosure requirements and clarifications of existing fair value measurement disclosure guidance became effective for interim and annual reporting periods beginning after December 15, 2009, except for the requirement to provide disclosures about purchases, sales, issuances and settlements on a gross basis in the roll forward of activities in Level 3 fair value measurements, which became effective for interim and annual reporting periods beginning after December 15, 2010. On January 1, 2010, the Company adopted, on a prospective basis, the applicable new disclosure requirements and clarifications of existing fair value measurement disclosure guidance, which did not have a material impact on the Company’s consolidated financial statements. The Company does not anticipate that the adoption of the remaining new disclosure requirements that are effective for interim and annual reporting periods beginning after December 15, 2010 will have a material impact on its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448"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i w:val="1"/>
          <w:iCs w:val="1"/>
          <w:color w:val="auto"/>
        </w:rPr>
        <w:t>Business Combinations</w:t>
      </w:r>
      <w:r>
        <w:rPr>
          <w:rFonts w:ascii="Arial" w:cs="Arial" w:eastAsia="Arial" w:hAnsi="Arial"/>
          <w:sz w:val="16"/>
          <w:szCs w:val="16"/>
          <w:color w:val="auto"/>
        </w:rPr>
        <w:t>—On January 1, 2009, the Company adopted, on a prospective basis, new accounting guidance issued by the FASB on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combinations. The new accounting guidance supersedes or amends other related authoritative literature although it retains the fundamental requirements that the acquisition method of accounting (previously referred to as the “purchase method”) be used for all business combinations and that an acquirer be identified for each business combination. The new guidance also establishes principles and requirements for how the acquirer (a) recognizes and measures in its financial statements the identifiable assets acquired, the liabilities assumed and any noncontrolling interest in an acquiree; (b) recognizes and measures the goodwill acquired in a business combination or a gain from a bargain purchase; (c) recognizes and measures contingent consideration arrangements, and (d) determines what information to disclose to enable users of the financial statements to evaluate the nature and financial effects of a business combination. The new guidance also requires the acquirer to expense, as incurred, costs relating to any acquisitions. The adoption of the new accounting guidance did not materially impact the Company’s consolidated financial statements. Prospectively, all acquisitions conform to the new accounting guidance.</w:t>
      </w:r>
    </w:p>
    <w:p>
      <w:pPr>
        <w:spacing w:after="0" w:line="112" w:lineRule="exact"/>
        <w:rPr>
          <w:sz w:val="20"/>
          <w:szCs w:val="20"/>
          <w:color w:val="auto"/>
        </w:rPr>
      </w:pPr>
    </w:p>
    <w:p>
      <w:pPr>
        <w:ind w:firstLine="457"/>
        <w:spacing w:after="0" w:line="292" w:lineRule="auto"/>
        <w:rPr>
          <w:sz w:val="20"/>
          <w:szCs w:val="20"/>
          <w:color w:val="auto"/>
        </w:rPr>
      </w:pPr>
      <w:r>
        <w:rPr>
          <w:rFonts w:ascii="Arial" w:cs="Arial" w:eastAsia="Arial" w:hAnsi="Arial"/>
          <w:sz w:val="16"/>
          <w:szCs w:val="16"/>
          <w:color w:val="auto"/>
        </w:rPr>
        <w:t>On April 1, 2009, the Company adopted amended accounting guidance issued by the FASB for business combinations. The amended guidance clarifies the initial recognition and measurement, subsequent measurement and accounting and disclosure of assets and liabilities arising from contingencies in a business combination. The adoption of the amended guidance did not materially impact the Company’s consolidated financial statements.</w:t>
      </w:r>
    </w:p>
    <w:p>
      <w:pPr>
        <w:spacing w:after="0" w:line="98"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—On January 1, 2009, the Company adopted, on a prospective basis, new disclosure guidance issued by the FASB</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derivative instruments and hedging activities. The new guidance enhances the current disclosure framework for derivative instruments and hedging activities, including how and why an entity uses derivative instruments, how derivative instruments and related hedged items are accounted for and how derivative instruments and related hedged items affect an entity’s financial position, financial performance and cash flows. See Note 7 of Notes to Consolidated Financial Statements for the additional disclosures provided pursuant to the new guidance. The adoption of the new disclosure guidance did not materially impact the Company’s consolidated financial statements.</w:t>
      </w:r>
    </w:p>
    <w:p>
      <w:pPr>
        <w:spacing w:after="0" w:line="121" w:lineRule="exact"/>
        <w:rPr>
          <w:sz w:val="20"/>
          <w:szCs w:val="20"/>
          <w:color w:val="auto"/>
        </w:rPr>
      </w:pPr>
    </w:p>
    <w:p>
      <w:pPr>
        <w:ind w:right="240" w:firstLine="457"/>
        <w:spacing w:after="0" w:line="305" w:lineRule="auto"/>
        <w:rPr>
          <w:sz w:val="20"/>
          <w:szCs w:val="20"/>
          <w:color w:val="auto"/>
        </w:rPr>
      </w:pPr>
      <w:r>
        <w:rPr>
          <w:rFonts w:ascii="Arial" w:cs="Arial" w:eastAsia="Arial" w:hAnsi="Arial"/>
          <w:sz w:val="15"/>
          <w:szCs w:val="15"/>
          <w:i w:val="1"/>
          <w:iCs w:val="1"/>
          <w:color w:val="auto"/>
        </w:rPr>
        <w:t>Other-Than-Temporary Impairments of Debt Securities</w:t>
      </w:r>
      <w:r>
        <w:rPr>
          <w:rFonts w:ascii="Arial" w:cs="Arial" w:eastAsia="Arial" w:hAnsi="Arial"/>
          <w:sz w:val="15"/>
          <w:szCs w:val="15"/>
          <w:color w:val="auto"/>
        </w:rPr>
        <w:t>—On April 1, 2009, the Company adopted, on a prospective basis, new accounting guidance issued by</w:t>
      </w:r>
      <w:r>
        <w:rPr>
          <w:rFonts w:ascii="Arial" w:cs="Arial" w:eastAsia="Arial" w:hAnsi="Arial"/>
          <w:sz w:val="15"/>
          <w:szCs w:val="15"/>
          <w:i w:val="1"/>
          <w:iCs w:val="1"/>
          <w:color w:val="auto"/>
        </w:rPr>
        <w:t xml:space="preserve"> </w:t>
      </w:r>
      <w:r>
        <w:rPr>
          <w:rFonts w:ascii="Arial" w:cs="Arial" w:eastAsia="Arial" w:hAnsi="Arial"/>
          <w:sz w:val="15"/>
          <w:szCs w:val="15"/>
          <w:color w:val="auto"/>
        </w:rPr>
        <w:t>the FASB with respect to the recognition and presentation of other-than-temporary impairments pertaining to debt securities. The new accounting guidance requires greater clarity about the credit and non-credit components of debt securities that are not expected to be sold and whose fair value is below amortized cost, and also requires increased disclosures regarding expected cash flows, credit losses and an aging of securities with unrealized losses. The adoption of the new accounting guidance did not materially impact the Company’s consolidated financial statements. See Note 5 of Notes to Consolidated Financial Statements.</w:t>
      </w:r>
    </w:p>
    <w:p>
      <w:pPr>
        <w:spacing w:after="0" w:line="92"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i w:val="1"/>
          <w:iCs w:val="1"/>
          <w:color w:val="auto"/>
        </w:rPr>
        <w:t>VIEs</w:t>
      </w:r>
      <w:r>
        <w:rPr>
          <w:rFonts w:ascii="Arial" w:cs="Arial" w:eastAsia="Arial" w:hAnsi="Arial"/>
          <w:sz w:val="17"/>
          <w:szCs w:val="17"/>
          <w:color w:val="auto"/>
        </w:rPr>
        <w:t>—In June 2009, the FASB amended its guidance on VIEs, which changes how a company determines whether an entity in which it is involved with is</w:t>
      </w:r>
      <w:r>
        <w:rPr>
          <w:rFonts w:ascii="Arial" w:cs="Arial" w:eastAsia="Arial" w:hAnsi="Arial"/>
          <w:sz w:val="17"/>
          <w:szCs w:val="17"/>
          <w:i w:val="1"/>
          <w:iCs w:val="1"/>
          <w:color w:val="auto"/>
        </w:rPr>
        <w:t xml:space="preserve"> </w:t>
      </w:r>
      <w:r>
        <w:rPr>
          <w:rFonts w:ascii="Arial" w:cs="Arial" w:eastAsia="Arial" w:hAnsi="Arial"/>
          <w:sz w:val="17"/>
          <w:szCs w:val="17"/>
          <w:color w:val="auto"/>
        </w:rPr>
        <w:t>insufficiently capitalized or is not controlled through voting (or similar rights) and whether or not such entity should be consolidated. It also requires a company to provide additional disclosures about its involvement with VIEs and any significant changes in risk exposure due to that involvement. The requirements of the amended accounting guidance were to be effective for interim and annual periods beginning after November 15, 2009. On January 27, 2010, the FASB voted to defer the application of its guidance on consolidation of a reporting enterprise’s interest in an entity when certain conditions are met. This deferral, which affects interests in mutual funds, hedge funds, private equity funds and other types of funds, is effective for interim and annual periods beginning after November 15, 2009. The adoption of the amended guidance for which the deferral provisions do not apply and related disclosures did not have a material impact on the Company’s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48"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460" w:hanging="456"/>
        <w:spacing w:after="0"/>
        <w:tabs>
          <w:tab w:leader="none" w:pos="460" w:val="left"/>
        </w:tabs>
        <w:numPr>
          <w:ilvl w:val="0"/>
          <w:numId w:val="4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RECEIVABLES - NET</w:t>
      </w:r>
    </w:p>
    <w:p>
      <w:pPr>
        <w:spacing w:after="0" w:line="78" w:lineRule="exact"/>
        <w:rPr>
          <w:rFonts w:ascii="Arial" w:cs="Arial" w:eastAsia="Arial" w:hAnsi="Arial"/>
          <w:sz w:val="17"/>
          <w:szCs w:val="17"/>
          <w:b w:val="1"/>
          <w:bCs w:val="1"/>
          <w:i w:val="1"/>
          <w:iCs w:val="1"/>
          <w:color w:val="auto"/>
        </w:rPr>
      </w:pPr>
    </w:p>
    <w:p>
      <w:pPr>
        <w:ind w:left="46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The Company’s “receivables - net” represents receivables from fees, customers and other and related parties.</w:t>
      </w:r>
    </w:p>
    <w:p>
      <w:pPr>
        <w:spacing w:after="0" w:line="157"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In connection with collateralized lending activities of LFB, the Company typically receives a pledge of specifically identified securities of equal or greater value than the amount of the cash loaned. Collateralized customer loan receivables, which amounted to $4,009 and $2,305 at December 31, 2010 and 2009, respectively, were collateralized by securities of equal or greater value at each such date. Securities owned by customers and pledged to collateralize secured loan receivables are not reflected on the consolidated statements of financial condition.</w:t>
      </w:r>
    </w:p>
    <w:p>
      <w:pPr>
        <w:spacing w:after="0" w:line="119" w:lineRule="exact"/>
        <w:rPr>
          <w:sz w:val="20"/>
          <w:szCs w:val="20"/>
          <w:color w:val="auto"/>
        </w:rPr>
      </w:pPr>
    </w:p>
    <w:p>
      <w:pPr>
        <w:ind w:right="20" w:firstLine="457"/>
        <w:spacing w:after="0" w:line="280" w:lineRule="auto"/>
        <w:rPr>
          <w:sz w:val="20"/>
          <w:szCs w:val="20"/>
          <w:color w:val="auto"/>
        </w:rPr>
      </w:pPr>
      <w:r>
        <w:rPr>
          <w:rFonts w:ascii="Arial" w:cs="Arial" w:eastAsia="Arial" w:hAnsi="Arial"/>
          <w:sz w:val="17"/>
          <w:szCs w:val="17"/>
          <w:color w:val="auto"/>
        </w:rPr>
        <w:t>Customers and other receivables at December 31, 2010 and 2009 include $2,121 and $4,466, respectively, of loans by LFB to managing directors and employees in France that are made in the ordinary course of business at market terms.</w:t>
      </w:r>
    </w:p>
    <w:p>
      <w:pPr>
        <w:spacing w:after="0" w:line="105" w:lineRule="exact"/>
        <w:rPr>
          <w:sz w:val="20"/>
          <w:szCs w:val="20"/>
          <w:color w:val="auto"/>
        </w:rPr>
      </w:pPr>
    </w:p>
    <w:p>
      <w:pPr>
        <w:jc w:val="both"/>
        <w:ind w:right="220" w:firstLine="457"/>
        <w:spacing w:after="0" w:line="305" w:lineRule="auto"/>
        <w:rPr>
          <w:sz w:val="20"/>
          <w:szCs w:val="20"/>
          <w:color w:val="auto"/>
        </w:rPr>
      </w:pPr>
      <w:r>
        <w:rPr>
          <w:rFonts w:ascii="Arial" w:cs="Arial" w:eastAsia="Arial" w:hAnsi="Arial"/>
          <w:sz w:val="15"/>
          <w:szCs w:val="15"/>
          <w:color w:val="auto"/>
        </w:rPr>
        <w:t>Receivables are stated net of an estimated allowance for doubtful accounts of $15,017 and $11,575 at December 31, 2010 and 2009, respectively, for past due amounts and for specific accounts deemed uncollectible, which may include situations where a fee is in dispute. The Company recorded bad debt expense of $8,392, $4,509 and $5,388 for the years ended December 31, 2010, 2009 and 2008, respectively. In addition, the Company recorded charge-offs, foreign currency translation and other adjustments, which resulted in a net decrease to the allowance for doubtful accounts of $4,950, $8,817 and $2,795 for the years ended December 31, 2010, 2009 and 2008, respectively. At December 31, 2010 and 2009, the Company had receivables deemed past due or uncollectible of $17,101 and $14,150, respectively.</w:t>
      </w:r>
    </w:p>
    <w:p>
      <w:pPr>
        <w:spacing w:after="0" w:line="92" w:lineRule="exact"/>
        <w:rPr>
          <w:sz w:val="20"/>
          <w:szCs w:val="20"/>
          <w:color w:val="auto"/>
        </w:rPr>
      </w:pPr>
    </w:p>
    <w:p>
      <w:pPr>
        <w:ind w:left="460" w:hanging="456"/>
        <w:spacing w:after="0"/>
        <w:tabs>
          <w:tab w:leader="none" w:pos="460" w:val="left"/>
        </w:tabs>
        <w:numPr>
          <w:ilvl w:val="0"/>
          <w:numId w:val="4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INVESTMENTS</w:t>
      </w:r>
    </w:p>
    <w:p>
      <w:pPr>
        <w:spacing w:after="0" w:line="78" w:lineRule="exact"/>
        <w:rPr>
          <w:rFonts w:ascii="Arial" w:cs="Arial" w:eastAsia="Arial" w:hAnsi="Arial"/>
          <w:sz w:val="17"/>
          <w:szCs w:val="17"/>
          <w:b w:val="1"/>
          <w:bCs w:val="1"/>
          <w:i w:val="1"/>
          <w:iCs w:val="1"/>
          <w:color w:val="auto"/>
        </w:rPr>
      </w:pPr>
    </w:p>
    <w:p>
      <w:pPr>
        <w:ind w:left="46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The Company’s investments and securities sold, not yet purchased, consist of the following at December 31, 2010 and 2009: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tcPr>
          <w:p>
            <w:pPr>
              <w:ind w:left="4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97"/>
              <w:spacing w:after="0" w:line="137" w:lineRule="exact"/>
              <w:rPr>
                <w:sz w:val="20"/>
                <w:szCs w:val="20"/>
                <w:color w:val="auto"/>
              </w:rPr>
            </w:pPr>
            <w:r>
              <w:rPr>
                <w:rFonts w:ascii="Arial" w:cs="Arial" w:eastAsia="Arial" w:hAnsi="Arial"/>
                <w:sz w:val="13"/>
                <w:szCs w:val="13"/>
                <w:b w:val="1"/>
                <w:bCs w:val="1"/>
                <w:color w:val="auto"/>
              </w:rPr>
              <w:t>2010</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6"/>
              <w:spacing w:after="0" w:line="137" w:lineRule="exact"/>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Debt:</w:t>
            </w:r>
          </w:p>
        </w:tc>
        <w:tc>
          <w:tcPr>
            <w:tcW w:w="4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7"/>
                <w:szCs w:val="17"/>
                <w:color w:val="auto"/>
              </w:rPr>
              <w:t>U.S. Government and agencies</w:t>
            </w:r>
          </w:p>
        </w:tc>
        <w:tc>
          <w:tcPr>
            <w:tcW w:w="4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31,900</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147,507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Fixed income funds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7"/>
                <w:szCs w:val="17"/>
                <w:color w:val="auto"/>
              </w:rPr>
              <w:t>Corporate and other debt</w:t>
            </w:r>
          </w:p>
        </w:tc>
        <w:tc>
          <w:tcPr>
            <w:tcW w:w="4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29,693</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313,342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Total debt securities</w:t>
            </w:r>
          </w:p>
        </w:tc>
        <w:tc>
          <w:tcPr>
            <w:tcW w:w="4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95,544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460,849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gridSpan w:val="2"/>
          </w:tcPr>
          <w:p>
            <w:pPr>
              <w:spacing w:after="0"/>
              <w:rPr>
                <w:sz w:val="20"/>
                <w:szCs w:val="20"/>
                <w:color w:val="auto"/>
              </w:rPr>
            </w:pPr>
            <w:r>
              <w:rPr>
                <w:rFonts w:ascii="Arial" w:cs="Arial" w:eastAsia="Arial" w:hAnsi="Arial"/>
                <w:sz w:val="17"/>
                <w:szCs w:val="17"/>
                <w:color w:val="auto"/>
              </w:rPr>
              <w:t>Equities</w:t>
            </w:r>
          </w:p>
        </w:tc>
        <w:tc>
          <w:tcPr>
            <w:tcW w:w="4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88,437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7"/>
                <w:szCs w:val="17"/>
                <w:color w:val="auto"/>
              </w:rPr>
              <w:t>Interest in LAM alternative asset management funds:</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General Partner (“GP”) interests owned</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820"/>
              <w:spacing w:after="0"/>
              <w:rPr>
                <w:sz w:val="20"/>
                <w:szCs w:val="20"/>
                <w:color w:val="auto"/>
              </w:rPr>
            </w:pPr>
            <w:r>
              <w:rPr>
                <w:rFonts w:ascii="Arial" w:cs="Arial" w:eastAsia="Arial" w:hAnsi="Arial"/>
                <w:sz w:val="17"/>
                <w:szCs w:val="17"/>
                <w:color w:val="auto"/>
                <w:w w:val="95"/>
              </w:rPr>
              <w:t>GP interests consolidated, but owned by noncontrolling interests</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8,219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Private equity:</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820"/>
              <w:spacing w:after="0"/>
              <w:rPr>
                <w:sz w:val="20"/>
                <w:szCs w:val="20"/>
                <w:color w:val="auto"/>
              </w:rPr>
            </w:pPr>
            <w:r>
              <w:rPr>
                <w:rFonts w:ascii="Arial" w:cs="Arial" w:eastAsia="Arial" w:hAnsi="Arial"/>
                <w:sz w:val="17"/>
                <w:szCs w:val="17"/>
                <w:color w:val="auto"/>
              </w:rPr>
              <w:t>Investments owned</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96,276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102,983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5"/>
              </w:rPr>
              <w:t>Investments consolidated, but owned by noncontrolling interests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7"/>
                <w:szCs w:val="17"/>
                <w:color w:val="auto"/>
              </w:rPr>
              <w:t>Equity method investments</w:t>
            </w:r>
          </w:p>
        </w:tc>
        <w:tc>
          <w:tcPr>
            <w:tcW w:w="4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11,291</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233,429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264,402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gridSpan w:val="2"/>
          </w:tcPr>
          <w:p>
            <w:pPr>
              <w:spacing w:after="0"/>
              <w:rPr>
                <w:sz w:val="20"/>
                <w:szCs w:val="20"/>
                <w:color w:val="auto"/>
              </w:rPr>
            </w:pPr>
            <w:r>
              <w:rPr>
                <w:rFonts w:ascii="Arial" w:cs="Arial" w:eastAsia="Arial" w:hAnsi="Arial"/>
                <w:sz w:val="17"/>
                <w:szCs w:val="17"/>
                <w:color w:val="auto"/>
              </w:rPr>
              <w:t>Total investments</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417,410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807,693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Less: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7"/>
                <w:szCs w:val="17"/>
                <w:color w:val="auto"/>
              </w:rPr>
              <w:t>Debt at amortized cost</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136,630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Equity method investments</w:t>
            </w:r>
          </w:p>
        </w:tc>
        <w:tc>
          <w:tcPr>
            <w:tcW w:w="4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11,291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60" w:type="dxa"/>
            <w:vAlign w:val="bottom"/>
            <w:gridSpan w:val="2"/>
          </w:tcPr>
          <w:p>
            <w:pPr>
              <w:spacing w:after="0"/>
              <w:rPr>
                <w:sz w:val="20"/>
                <w:szCs w:val="20"/>
                <w:color w:val="auto"/>
              </w:rPr>
            </w:pPr>
            <w:r>
              <w:rPr>
                <w:rFonts w:ascii="Arial" w:cs="Arial" w:eastAsia="Arial" w:hAnsi="Arial"/>
                <w:sz w:val="17"/>
                <w:szCs w:val="17"/>
                <w:color w:val="auto"/>
              </w:rPr>
              <w:t>Investments, at fair value</w:t>
            </w:r>
          </w:p>
        </w:tc>
        <w:tc>
          <w:tcPr>
            <w:tcW w:w="4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406,119</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608,505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w w:val="94"/>
              </w:rPr>
              <w:t>Securities sold, not yet purchased, at fair value (included in “other liabilities”)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140" w:type="dxa"/>
            <w:vAlign w:val="bottom"/>
            <w:vMerge w:val="restart"/>
          </w:tcPr>
          <w:p>
            <w:pPr>
              <w:jc w:val="right"/>
              <w:ind w:right="3715"/>
              <w:spacing w:after="0"/>
              <w:rPr>
                <w:sz w:val="20"/>
                <w:szCs w:val="20"/>
                <w:color w:val="auto"/>
              </w:rPr>
            </w:pPr>
            <w:r>
              <w:rPr>
                <w:rFonts w:ascii="Arial" w:cs="Arial" w:eastAsia="Arial" w:hAnsi="Arial"/>
                <w:sz w:val="17"/>
                <w:szCs w:val="17"/>
                <w:color w:val="auto"/>
              </w:rPr>
              <w:t>90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Debt investments at December 31, 2010 and 2009 were categorized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680" w:type="dxa"/>
            <w:vAlign w:val="bottom"/>
          </w:tcPr>
          <w:p>
            <w:pPr>
              <w:spacing w:after="0"/>
              <w:rPr>
                <w:sz w:val="13"/>
                <w:szCs w:val="13"/>
                <w:color w:val="auto"/>
              </w:rPr>
            </w:pPr>
          </w:p>
        </w:tc>
        <w:tc>
          <w:tcPr>
            <w:tcW w:w="1740" w:type="dxa"/>
            <w:vAlign w:val="bottom"/>
            <w:gridSpan w:val="5"/>
          </w:tcPr>
          <w:p>
            <w:pPr>
              <w:ind w:left="460"/>
              <w:spacing w:after="0"/>
              <w:rPr>
                <w:sz w:val="20"/>
                <w:szCs w:val="20"/>
                <w:color w:val="auto"/>
              </w:rPr>
            </w:pPr>
            <w:r>
              <w:rPr>
                <w:rFonts w:ascii="Arial" w:cs="Arial" w:eastAsia="Arial" w:hAnsi="Arial"/>
                <w:sz w:val="13"/>
                <w:szCs w:val="13"/>
                <w:b w:val="1"/>
                <w:bCs w:val="1"/>
                <w:color w:val="auto"/>
              </w:rPr>
              <w:t>December 31,</w:t>
            </w:r>
          </w:p>
        </w:tc>
      </w:tr>
      <w:tr>
        <w:trPr>
          <w:trHeight w:val="215"/>
        </w:trPr>
        <w:tc>
          <w:tcPr>
            <w:tcW w:w="96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2010</w:t>
            </w: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8"/>
                <w:szCs w:val="18"/>
                <w:color w:val="auto"/>
              </w:rPr>
            </w:pPr>
          </w:p>
        </w:tc>
      </w:tr>
      <w:tr>
        <w:trPr>
          <w:trHeight w:val="202"/>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Trading securities:</w:t>
            </w: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9680" w:type="dxa"/>
            <w:vAlign w:val="bottom"/>
          </w:tcPr>
          <w:p>
            <w:pPr>
              <w:ind w:left="420"/>
              <w:spacing w:after="0"/>
              <w:rPr>
                <w:sz w:val="20"/>
                <w:szCs w:val="20"/>
                <w:color w:val="auto"/>
              </w:rPr>
            </w:pPr>
            <w:r>
              <w:rPr>
                <w:rFonts w:ascii="Arial" w:cs="Arial" w:eastAsia="Arial" w:hAnsi="Arial"/>
                <w:sz w:val="17"/>
                <w:szCs w:val="17"/>
                <w:color w:val="auto"/>
              </w:rPr>
              <w:t>U.S. Government and agencies</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$31,900</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21,094</w:t>
            </w:r>
          </w:p>
        </w:tc>
        <w:tc>
          <w:tcPr>
            <w:tcW w:w="80" w:type="dxa"/>
            <w:vAlign w:val="bottom"/>
          </w:tcPr>
          <w:p>
            <w:pPr>
              <w:spacing w:after="0"/>
              <w:rPr>
                <w:sz w:val="18"/>
                <w:szCs w:val="18"/>
                <w:color w:val="auto"/>
              </w:rPr>
            </w:pPr>
          </w:p>
        </w:tc>
      </w:tr>
      <w:tr>
        <w:trPr>
          <w:trHeight w:val="222"/>
        </w:trPr>
        <w:tc>
          <w:tcPr>
            <w:tcW w:w="9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Fixed income funds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33,951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r>
      <w:tr>
        <w:trPr>
          <w:trHeight w:val="215"/>
        </w:trPr>
        <w:tc>
          <w:tcPr>
            <w:tcW w:w="9680" w:type="dxa"/>
            <w:vAlign w:val="bottom"/>
          </w:tcPr>
          <w:p>
            <w:pPr>
              <w:ind w:left="420"/>
              <w:spacing w:after="0"/>
              <w:rPr>
                <w:sz w:val="20"/>
                <w:szCs w:val="20"/>
                <w:color w:val="auto"/>
              </w:rPr>
            </w:pPr>
            <w:r>
              <w:rPr>
                <w:rFonts w:ascii="Arial" w:cs="Arial" w:eastAsia="Arial" w:hAnsi="Arial"/>
                <w:sz w:val="17"/>
                <w:szCs w:val="17"/>
                <w:color w:val="auto"/>
              </w:rPr>
              <w:t>Corporate and other debt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29,693</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49,462</w:t>
            </w:r>
          </w:p>
        </w:tc>
        <w:tc>
          <w:tcPr>
            <w:tcW w:w="80" w:type="dxa"/>
            <w:vAlign w:val="bottom"/>
          </w:tcPr>
          <w:p>
            <w:pPr>
              <w:spacing w:after="0"/>
              <w:rPr>
                <w:sz w:val="18"/>
                <w:szCs w:val="18"/>
                <w:color w:val="auto"/>
              </w:rPr>
            </w:pPr>
          </w:p>
        </w:tc>
      </w:tr>
      <w:tr>
        <w:trPr>
          <w:trHeight w:val="209"/>
        </w:trPr>
        <w:tc>
          <w:tcPr>
            <w:tcW w:w="96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95,544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70,556</w:t>
            </w:r>
          </w:p>
        </w:tc>
        <w:tc>
          <w:tcPr>
            <w:tcW w:w="80" w:type="dxa"/>
            <w:vAlign w:val="bottom"/>
            <w:shd w:val="clear" w:color="auto" w:fill="CCEEFF"/>
          </w:tcPr>
          <w:p>
            <w:pPr>
              <w:spacing w:after="0"/>
              <w:rPr>
                <w:sz w:val="18"/>
                <w:szCs w:val="18"/>
                <w:color w:val="auto"/>
              </w:rPr>
            </w:pPr>
          </w:p>
        </w:tc>
      </w:tr>
      <w:tr>
        <w:trPr>
          <w:trHeight w:val="214"/>
        </w:trPr>
        <w:tc>
          <w:tcPr>
            <w:tcW w:w="9680" w:type="dxa"/>
            <w:vAlign w:val="bottom"/>
          </w:tcPr>
          <w:p>
            <w:pPr>
              <w:spacing w:after="0"/>
              <w:rPr>
                <w:sz w:val="20"/>
                <w:szCs w:val="20"/>
                <w:color w:val="auto"/>
              </w:rPr>
            </w:pPr>
            <w:r>
              <w:rPr>
                <w:rFonts w:ascii="Arial" w:cs="Arial" w:eastAsia="Arial" w:hAnsi="Arial"/>
                <w:sz w:val="17"/>
                <w:szCs w:val="17"/>
                <w:color w:val="auto"/>
              </w:rPr>
              <w:t>Available-for-sale securities:</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9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Corporate and other debt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253,663</w:t>
            </w:r>
          </w:p>
        </w:tc>
        <w:tc>
          <w:tcPr>
            <w:tcW w:w="80" w:type="dxa"/>
            <w:vAlign w:val="bottom"/>
            <w:shd w:val="clear" w:color="auto" w:fill="CCEEFF"/>
          </w:tcPr>
          <w:p>
            <w:pPr>
              <w:spacing w:after="0"/>
              <w:rPr>
                <w:sz w:val="18"/>
                <w:szCs w:val="18"/>
                <w:color w:val="auto"/>
              </w:rPr>
            </w:pPr>
          </w:p>
        </w:tc>
      </w:tr>
      <w:tr>
        <w:trPr>
          <w:trHeight w:val="279"/>
        </w:trPr>
        <w:tc>
          <w:tcPr>
            <w:tcW w:w="9680" w:type="dxa"/>
            <w:vAlign w:val="bottom"/>
          </w:tcPr>
          <w:p>
            <w:pPr>
              <w:spacing w:after="0"/>
              <w:rPr>
                <w:sz w:val="20"/>
                <w:szCs w:val="20"/>
                <w:color w:val="auto"/>
              </w:rPr>
            </w:pPr>
            <w:r>
              <w:rPr>
                <w:rFonts w:ascii="Arial" w:cs="Arial" w:eastAsia="Arial" w:hAnsi="Arial"/>
                <w:sz w:val="17"/>
                <w:szCs w:val="17"/>
                <w:color w:val="auto"/>
              </w:rPr>
              <w:t>Held-to-maturity securities:</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9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U.S. Government and agencies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126,413</w:t>
            </w:r>
          </w:p>
        </w:tc>
        <w:tc>
          <w:tcPr>
            <w:tcW w:w="80" w:type="dxa"/>
            <w:vAlign w:val="bottom"/>
            <w:shd w:val="clear" w:color="auto" w:fill="CCEEFF"/>
          </w:tcPr>
          <w:p>
            <w:pPr>
              <w:spacing w:after="0"/>
              <w:rPr>
                <w:sz w:val="18"/>
                <w:szCs w:val="18"/>
                <w:color w:val="auto"/>
              </w:rPr>
            </w:pPr>
          </w:p>
        </w:tc>
      </w:tr>
      <w:tr>
        <w:trPr>
          <w:trHeight w:val="215"/>
        </w:trPr>
        <w:tc>
          <w:tcPr>
            <w:tcW w:w="9680" w:type="dxa"/>
            <w:vAlign w:val="bottom"/>
          </w:tcPr>
          <w:p>
            <w:pPr>
              <w:ind w:left="420"/>
              <w:spacing w:after="0"/>
              <w:rPr>
                <w:sz w:val="20"/>
                <w:szCs w:val="20"/>
                <w:color w:val="auto"/>
              </w:rPr>
            </w:pPr>
            <w:r>
              <w:rPr>
                <w:rFonts w:ascii="Arial" w:cs="Arial" w:eastAsia="Arial" w:hAnsi="Arial"/>
                <w:sz w:val="17"/>
                <w:szCs w:val="17"/>
                <w:color w:val="auto"/>
              </w:rPr>
              <w:t>Corporate and other debt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10,217</w:t>
            </w:r>
          </w:p>
        </w:tc>
        <w:tc>
          <w:tcPr>
            <w:tcW w:w="80" w:type="dxa"/>
            <w:vAlign w:val="bottom"/>
          </w:tcPr>
          <w:p>
            <w:pPr>
              <w:spacing w:after="0"/>
              <w:rPr>
                <w:sz w:val="18"/>
                <w:szCs w:val="18"/>
                <w:color w:val="auto"/>
              </w:rPr>
            </w:pPr>
          </w:p>
        </w:tc>
      </w:tr>
      <w:tr>
        <w:trPr>
          <w:trHeight w:val="209"/>
        </w:trPr>
        <w:tc>
          <w:tcPr>
            <w:tcW w:w="96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136,630</w:t>
            </w:r>
          </w:p>
        </w:tc>
        <w:tc>
          <w:tcPr>
            <w:tcW w:w="80" w:type="dxa"/>
            <w:vAlign w:val="bottom"/>
            <w:shd w:val="clear" w:color="auto" w:fill="CCEEFF"/>
          </w:tcPr>
          <w:p>
            <w:pPr>
              <w:spacing w:after="0"/>
              <w:rPr>
                <w:sz w:val="18"/>
                <w:szCs w:val="18"/>
                <w:color w:val="auto"/>
              </w:rPr>
            </w:pPr>
          </w:p>
        </w:tc>
      </w:tr>
      <w:tr>
        <w:trPr>
          <w:trHeight w:val="214"/>
        </w:trPr>
        <w:tc>
          <w:tcPr>
            <w:tcW w:w="9680" w:type="dxa"/>
            <w:vAlign w:val="bottom"/>
          </w:tcPr>
          <w:p>
            <w:pPr>
              <w:spacing w:after="0"/>
              <w:rPr>
                <w:sz w:val="20"/>
                <w:szCs w:val="20"/>
                <w:color w:val="auto"/>
              </w:rPr>
            </w:pPr>
            <w:r>
              <w:rPr>
                <w:rFonts w:ascii="Arial" w:cs="Arial" w:eastAsia="Arial" w:hAnsi="Arial"/>
                <w:sz w:val="17"/>
                <w:szCs w:val="17"/>
                <w:color w:val="auto"/>
              </w:rPr>
              <w:t>Total debt securities</w:t>
            </w:r>
          </w:p>
        </w:tc>
        <w:tc>
          <w:tcPr>
            <w:tcW w:w="56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95,544</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460,849</w:t>
            </w:r>
          </w:p>
        </w:tc>
        <w:tc>
          <w:tcPr>
            <w:tcW w:w="8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57"/>
        <w:spacing w:after="0" w:line="280" w:lineRule="auto"/>
        <w:rPr>
          <w:sz w:val="20"/>
          <w:szCs w:val="20"/>
          <w:color w:val="auto"/>
        </w:rPr>
      </w:pPr>
      <w:r>
        <w:rPr>
          <w:rFonts w:ascii="Arial" w:cs="Arial" w:eastAsia="Arial" w:hAnsi="Arial"/>
          <w:sz w:val="17"/>
          <w:szCs w:val="17"/>
          <w:color w:val="auto"/>
        </w:rPr>
        <w:t>Corporate and other debt securities primarily consist of United Kingdom (the “U.K.”) government and U.S. state and municipal debt securities, and, at December 31, 2009, fixed and floating rate European corporate and French government debt securities held by LFB.</w:t>
      </w:r>
    </w:p>
    <w:p>
      <w:pPr>
        <w:spacing w:after="0" w:line="105" w:lineRule="exact"/>
        <w:rPr>
          <w:sz w:val="20"/>
          <w:szCs w:val="20"/>
          <w:color w:val="auto"/>
        </w:rPr>
      </w:pPr>
    </w:p>
    <w:p>
      <w:pPr>
        <w:ind w:right="460" w:firstLine="457"/>
        <w:spacing w:after="0" w:line="268" w:lineRule="auto"/>
        <w:rPr>
          <w:sz w:val="20"/>
          <w:szCs w:val="20"/>
          <w:color w:val="auto"/>
        </w:rPr>
      </w:pPr>
      <w:r>
        <w:rPr>
          <w:rFonts w:ascii="Arial" w:cs="Arial" w:eastAsia="Arial" w:hAnsi="Arial"/>
          <w:sz w:val="17"/>
          <w:szCs w:val="17"/>
          <w:color w:val="auto"/>
        </w:rPr>
        <w:t>Effective July 1, 2008, certain debt securities held by LFB with a carrying value of $236,999 on that date, which were previously designated as “trading” securities, were redesignated as “available-for-sale” securities. Such re-designation represented a non-cash transaction between “trading” and “available-for-sale” securities.</w:t>
      </w:r>
    </w:p>
    <w:p>
      <w:pPr>
        <w:spacing w:after="0" w:line="115" w:lineRule="exact"/>
        <w:rPr>
          <w:sz w:val="20"/>
          <w:szCs w:val="20"/>
          <w:color w:val="auto"/>
        </w:rPr>
      </w:pPr>
    </w:p>
    <w:p>
      <w:pPr>
        <w:ind w:right="80" w:firstLine="457"/>
        <w:spacing w:after="0" w:line="280" w:lineRule="auto"/>
        <w:rPr>
          <w:sz w:val="20"/>
          <w:szCs w:val="20"/>
          <w:color w:val="auto"/>
        </w:rPr>
      </w:pPr>
      <w:r>
        <w:rPr>
          <w:rFonts w:ascii="Arial" w:cs="Arial" w:eastAsia="Arial" w:hAnsi="Arial"/>
          <w:sz w:val="17"/>
          <w:szCs w:val="17"/>
          <w:color w:val="auto"/>
        </w:rPr>
        <w:t>During the year ended December 31, 2010, the Company sold “available-for-sale” corporate debt securities for $214,540, which equaled its then carrying value, and sold “held-to-maturity” U.S. government and agency debt securities for $132,209, which had a carrying value of $126,573.</w:t>
      </w:r>
    </w:p>
    <w:p>
      <w:pPr>
        <w:spacing w:after="0" w:line="105" w:lineRule="exact"/>
        <w:rPr>
          <w:sz w:val="20"/>
          <w:szCs w:val="20"/>
          <w:color w:val="auto"/>
        </w:rPr>
      </w:pPr>
    </w:p>
    <w:p>
      <w:pPr>
        <w:ind w:right="140" w:firstLine="457"/>
        <w:spacing w:after="0" w:line="282" w:lineRule="auto"/>
        <w:rPr>
          <w:sz w:val="20"/>
          <w:szCs w:val="20"/>
          <w:color w:val="auto"/>
        </w:rPr>
      </w:pPr>
      <w:r>
        <w:rPr>
          <w:rFonts w:ascii="Arial" w:cs="Arial" w:eastAsia="Arial" w:hAnsi="Arial"/>
          <w:sz w:val="16"/>
          <w:szCs w:val="16"/>
          <w:color w:val="auto"/>
        </w:rPr>
        <w:t>Debt securities classified as “available-for-sale” at December 31, 2009 that were in an unrealized loss position consisted of securities that were in a continuous loss position for 12 months or longer. The aggregate fair value and unrealized loss pertaining to such debt securities amounted to $166,094 and $21,381, respectively. During the year ended December 31, 2009, an other-than-temporary impairment charge of $1,825 was recognized in “other-revenue” on the consolidated statement of operations, representing the credit loss component of debt securities whose fair value was below amortized cost. There were no other-than-temporary impairment charges recognized during the years ended December 31, 2010 and 2008.</w:t>
      </w:r>
    </w:p>
    <w:p>
      <w:pPr>
        <w:spacing w:after="0" w:line="107" w:lineRule="exact"/>
        <w:rPr>
          <w:sz w:val="20"/>
          <w:szCs w:val="20"/>
          <w:color w:val="auto"/>
        </w:rPr>
      </w:pPr>
    </w:p>
    <w:p>
      <w:pPr>
        <w:ind w:right="300" w:firstLine="457"/>
        <w:spacing w:after="0" w:line="268" w:lineRule="auto"/>
        <w:rPr>
          <w:sz w:val="20"/>
          <w:szCs w:val="20"/>
          <w:color w:val="auto"/>
        </w:rPr>
      </w:pPr>
      <w:r>
        <w:rPr>
          <w:rFonts w:ascii="Arial" w:cs="Arial" w:eastAsia="Arial" w:hAnsi="Arial"/>
          <w:sz w:val="17"/>
          <w:szCs w:val="17"/>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15"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In 2008, LFNY was a party to a Prime Brokerage Agreement with Lehman Brothers Inc. (“LBI”) for certain accounts involving investment strategies managed by LAM. On September 9, 2008, LAM requested a transfer of such accounts, of which $11,368 was not received. On September 15, 2008, Lehman Brothers Holdings, Inc., the ultimate parent company in the Lehman Group, filed for protection under Chapter 11 of the United States Bankruptcy Code and a number of Lehman Group entities in the U.K. entered into administration proceedings under the Insolvency Act 1986. In addition, the Securities Investor Protection Corporation (“SIPC”) commenced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48"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liquidation proceedings on September 19, 2008 pursuant to the Securities Investor Protection Act of 1970, as amended, with respect to LBI. The Chapter 11 filing, Insolvency Act Administration and SIPC proceedings exposed Lazard to possible loss due to counterparty credit and other risk. During 2008, the Company provided for the entire amount of such possible loss, and, through December 31, 2010, $947 has been recovered by the Company. We continue to actively seek recovery of all amounts.</w:t>
      </w:r>
    </w:p>
    <w:p>
      <w:pPr>
        <w:spacing w:after="0" w:line="119"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“stockholders’ equity” on the consolidated statements of financial condition (see Note 15 of Notes to Consolidated Financial Statements).</w:t>
      </w:r>
    </w:p>
    <w:p>
      <w:pPr>
        <w:spacing w:after="0" w:line="107" w:lineRule="exact"/>
        <w:rPr>
          <w:sz w:val="20"/>
          <w:szCs w:val="20"/>
          <w:color w:val="auto"/>
        </w:rPr>
      </w:pPr>
    </w:p>
    <w:p>
      <w:pPr>
        <w:ind w:right="60" w:firstLine="457"/>
        <w:spacing w:after="0" w:line="310" w:lineRule="auto"/>
        <w:rPr>
          <w:sz w:val="20"/>
          <w:szCs w:val="20"/>
          <w:color w:val="auto"/>
        </w:rPr>
      </w:pPr>
      <w:r>
        <w:rPr>
          <w:rFonts w:ascii="Arial" w:cs="Arial" w:eastAsia="Arial" w:hAnsi="Arial"/>
          <w:sz w:val="15"/>
          <w:szCs w:val="15"/>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w:t>
      </w:r>
    </w:p>
    <w:p>
      <w:pPr>
        <w:spacing w:after="0" w:line="88"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Private equity investments consolidated but not owned by Lazard are related solely to Lazard’s establishment of a private equity business with the Edgewater Funds (“Edgewater”), a Chicago-based private equity firm, through the acquisition of Edgewater’s management vehicles on July 15, 2009. The acquisition was structured as a purchase by Lazard of interests in a holding company that owns interests in the general partner and management company entities of the current Edgewater private equity funds (the “Edgewater Acquisition”). Edgewater is focused on buyout and growth equity investments in middle market companies. The economic interests that the Company does not own are owned by the current leadership team and other investors in the Edgewater management vehicles. See Note 9 of Notes to Consolidated Financial Statements.</w:t>
      </w:r>
    </w:p>
    <w:p>
      <w:pPr>
        <w:spacing w:after="0" w:line="121" w:lineRule="exact"/>
        <w:rPr>
          <w:sz w:val="20"/>
          <w:szCs w:val="20"/>
          <w:color w:val="auto"/>
        </w:rPr>
      </w:pPr>
    </w:p>
    <w:p>
      <w:pPr>
        <w:ind w:right="80" w:firstLine="457"/>
        <w:spacing w:after="0" w:line="305" w:lineRule="auto"/>
        <w:rPr>
          <w:sz w:val="20"/>
          <w:szCs w:val="20"/>
          <w:color w:val="auto"/>
        </w:rPr>
      </w:pPr>
      <w:r>
        <w:rPr>
          <w:rFonts w:ascii="Arial" w:cs="Arial" w:eastAsia="Arial" w:hAnsi="Arial"/>
          <w:sz w:val="15"/>
          <w:szCs w:val="15"/>
          <w:color w:val="auto"/>
        </w:rPr>
        <w:t>Equity method investments at December 31, 2009 primarily consisted of our investment in Sapphire Industrials Corp. (“Sapphire”). On January 24, 2008, Sapphire, a then newly-organized special purpose acquisition company formed by the Company, completed an initial public offering (the “Sapphire IPO”). Sapphire was formed for 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w:t>
      </w:r>
    </w:p>
    <w:p>
      <w:pPr>
        <w:spacing w:after="0" w:line="92"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On January 6, 2010, Sapphire announced that it had not completed the Business Combination and it would dissolve and distribute the funds in the Trust Account to all its public shareholders, to the extent they were holders of shares issued in the Sapphire IPO. Pursuant to such dissolution, on January 26, 2010, Sapphire made an initial distribution to the Company aggregating $50,319. All Sapphire warrants expired without value. During the fourth quarter of 2009, the Company recognized a loss of approximately $13,000 principally related to its investment in warrants of Sapphire, with such loss being recorded in “revenue-other” in the accompanying consolidated statement of operations.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00"/>
          </w:cols>
          <w:pgMar w:left="240" w:top="448" w:right="25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100" w:firstLine="457"/>
        <w:spacing w:after="0" w:line="313" w:lineRule="auto"/>
        <w:rPr>
          <w:sz w:val="20"/>
          <w:szCs w:val="20"/>
          <w:color w:val="auto"/>
        </w:rPr>
      </w:pPr>
      <w:r>
        <w:rPr>
          <w:rFonts w:ascii="Arial" w:cs="Arial" w:eastAsia="Arial" w:hAnsi="Arial"/>
          <w:sz w:val="16"/>
          <w:szCs w:val="16"/>
          <w:color w:val="auto"/>
        </w:rPr>
        <w:t>The Company recognized gross investment gains and losses for the years ended December 31, 2010, 2009 and 2008, including a gain of $5,636 from the sale of “held-to-maturity” securities during the fourth quarter of 2010, in “revenue-other” on its consolidated statements of operations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0"/>
              </w:rPr>
              <w:t>Year Ended December 31,</w:t>
            </w:r>
          </w:p>
        </w:tc>
        <w:tc>
          <w:tcPr>
            <w:tcW w:w="56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r>
      <w:tr>
        <w:trPr>
          <w:trHeight w:val="137"/>
        </w:trPr>
        <w:tc>
          <w:tcPr>
            <w:tcW w:w="8260" w:type="dxa"/>
            <w:vAlign w:val="bottom"/>
          </w:tcPr>
          <w:p>
            <w:pPr>
              <w:spacing w:after="0"/>
              <w:rPr>
                <w:sz w:val="11"/>
                <w:szCs w:val="11"/>
                <w:color w:val="auto"/>
              </w:rPr>
            </w:pPr>
          </w:p>
        </w:tc>
        <w:tc>
          <w:tcPr>
            <w:tcW w:w="5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9"/>
              </w:rPr>
              <w:t>2010</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9"/>
              </w:rPr>
              <w:t>2009</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2"/>
              <w:spacing w:after="0" w:line="137" w:lineRule="exact"/>
              <w:rPr>
                <w:sz w:val="20"/>
                <w:szCs w:val="20"/>
                <w:color w:val="auto"/>
              </w:rPr>
            </w:pPr>
            <w:r>
              <w:rPr>
                <w:rFonts w:ascii="Arial" w:cs="Arial" w:eastAsia="Arial" w:hAnsi="Arial"/>
                <w:sz w:val="13"/>
                <w:szCs w:val="13"/>
                <w:b w:val="1"/>
                <w:bCs w:val="1"/>
                <w:color w:val="auto"/>
              </w:rPr>
              <w:t>2008</w:t>
            </w:r>
          </w:p>
        </w:tc>
        <w:tc>
          <w:tcPr>
            <w:tcW w:w="540" w:type="dxa"/>
            <w:vAlign w:val="bottom"/>
          </w:tcPr>
          <w:p>
            <w:pPr>
              <w:spacing w:after="0"/>
              <w:rPr>
                <w:sz w:val="11"/>
                <w:szCs w:val="11"/>
                <w:color w:val="auto"/>
              </w:rPr>
            </w:pPr>
          </w:p>
        </w:tc>
      </w:tr>
      <w:tr>
        <w:trPr>
          <w:trHeight w:val="202"/>
        </w:trPr>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Gross investment gains</w:t>
            </w:r>
          </w:p>
        </w:tc>
        <w:tc>
          <w:tcPr>
            <w:tcW w:w="58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1"/>
              </w:rPr>
              <w:t>$45,503</w:t>
            </w:r>
          </w:p>
        </w:tc>
        <w:tc>
          <w:tcPr>
            <w:tcW w:w="1380" w:type="dxa"/>
            <w:vAlign w:val="bottom"/>
            <w:gridSpan w:val="3"/>
            <w:shd w:val="clear" w:color="auto" w:fill="CCEEFF"/>
          </w:tcPr>
          <w:p>
            <w:pPr>
              <w:jc w:val="center"/>
              <w:ind w:right="20"/>
              <w:spacing w:after="0"/>
              <w:rPr>
                <w:sz w:val="20"/>
                <w:szCs w:val="20"/>
                <w:color w:val="auto"/>
              </w:rPr>
            </w:pPr>
            <w:r>
              <w:rPr>
                <w:rFonts w:ascii="Arial" w:cs="Arial" w:eastAsia="Arial" w:hAnsi="Arial"/>
                <w:sz w:val="17"/>
                <w:szCs w:val="17"/>
                <w:color w:val="auto"/>
                <w:w w:val="91"/>
              </w:rPr>
              <w:t>$53,319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52,748</w:t>
            </w:r>
          </w:p>
        </w:tc>
        <w:tc>
          <w:tcPr>
            <w:tcW w:w="540" w:type="dxa"/>
            <w:vAlign w:val="bottom"/>
            <w:shd w:val="clear" w:color="auto" w:fill="CCEEFF"/>
          </w:tcPr>
          <w:p>
            <w:pPr>
              <w:spacing w:after="0"/>
              <w:rPr>
                <w:sz w:val="17"/>
                <w:szCs w:val="17"/>
                <w:color w:val="auto"/>
              </w:rPr>
            </w:pPr>
          </w:p>
        </w:tc>
      </w:tr>
      <w:tr>
        <w:trPr>
          <w:trHeight w:val="215"/>
        </w:trPr>
        <w:tc>
          <w:tcPr>
            <w:tcW w:w="8260" w:type="dxa"/>
            <w:vAlign w:val="bottom"/>
          </w:tcPr>
          <w:p>
            <w:pPr>
              <w:spacing w:after="0"/>
              <w:rPr>
                <w:sz w:val="20"/>
                <w:szCs w:val="20"/>
                <w:color w:val="auto"/>
              </w:rPr>
            </w:pPr>
            <w:r>
              <w:rPr>
                <w:rFonts w:ascii="Arial" w:cs="Arial" w:eastAsia="Arial" w:hAnsi="Arial"/>
                <w:sz w:val="17"/>
                <w:szCs w:val="17"/>
                <w:color w:val="auto"/>
              </w:rPr>
              <w:t>Gross investment losses</w:t>
            </w:r>
          </w:p>
        </w:tc>
        <w:tc>
          <w:tcPr>
            <w:tcW w:w="580" w:type="dxa"/>
            <w:vAlign w:val="bottom"/>
            <w:gridSpan w:val="2"/>
          </w:tcPr>
          <w:p>
            <w:pPr>
              <w:jc w:val="center"/>
              <w:ind w:right="20"/>
              <w:spacing w:after="0"/>
              <w:rPr>
                <w:sz w:val="20"/>
                <w:szCs w:val="20"/>
                <w:color w:val="auto"/>
              </w:rPr>
            </w:pPr>
            <w:r>
              <w:rPr>
                <w:rFonts w:ascii="Arial" w:cs="Arial" w:eastAsia="Arial" w:hAnsi="Arial"/>
                <w:sz w:val="17"/>
                <w:szCs w:val="17"/>
                <w:color w:val="auto"/>
                <w:w w:val="91"/>
              </w:rPr>
              <w:t>$19,703</w:t>
            </w:r>
          </w:p>
        </w:tc>
        <w:tc>
          <w:tcPr>
            <w:tcW w:w="138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$19,740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164,135</w:t>
            </w:r>
          </w:p>
        </w:tc>
        <w:tc>
          <w:tcPr>
            <w:tcW w:w="540" w:type="dxa"/>
            <w:vAlign w:val="bottom"/>
          </w:tcPr>
          <w:p>
            <w:pPr>
              <w:spacing w:after="0"/>
              <w:rPr>
                <w:sz w:val="18"/>
                <w:szCs w:val="18"/>
                <w:color w:val="auto"/>
              </w:rPr>
            </w:pPr>
          </w:p>
        </w:tc>
      </w:tr>
    </w:tbl>
    <w:p>
      <w:pPr>
        <w:spacing w:after="0" w:line="1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above includes gross unrealized investment gains and losses pertaining to “trading” securities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0"/>
              </w:rPr>
              <w:t>Year Ended December 31,</w:t>
            </w:r>
          </w:p>
        </w:tc>
        <w:tc>
          <w:tcPr>
            <w:tcW w:w="52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r>
      <w:tr>
        <w:trPr>
          <w:trHeight w:val="137"/>
        </w:trPr>
        <w:tc>
          <w:tcPr>
            <w:tcW w:w="8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2"/>
              <w:spacing w:after="0" w:line="137" w:lineRule="exact"/>
              <w:rPr>
                <w:sz w:val="20"/>
                <w:szCs w:val="20"/>
                <w:color w:val="auto"/>
              </w:rPr>
            </w:pPr>
            <w:r>
              <w:rPr>
                <w:rFonts w:ascii="Arial" w:cs="Arial" w:eastAsia="Arial" w:hAnsi="Arial"/>
                <w:sz w:val="13"/>
                <w:szCs w:val="13"/>
                <w:b w:val="1"/>
                <w:bCs w:val="1"/>
                <w:color w:val="auto"/>
                <w:w w:val="96"/>
              </w:rPr>
              <w:t>2010</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2"/>
              <w:spacing w:after="0" w:line="137" w:lineRule="exact"/>
              <w:rPr>
                <w:sz w:val="20"/>
                <w:szCs w:val="20"/>
                <w:color w:val="auto"/>
              </w:rPr>
            </w:pPr>
            <w:r>
              <w:rPr>
                <w:rFonts w:ascii="Arial" w:cs="Arial" w:eastAsia="Arial" w:hAnsi="Arial"/>
                <w:sz w:val="13"/>
                <w:szCs w:val="13"/>
                <w:b w:val="1"/>
                <w:bCs w:val="1"/>
                <w:color w:val="auto"/>
                <w:w w:val="96"/>
              </w:rPr>
              <w:t>2009</w:t>
            </w: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2"/>
              <w:spacing w:after="0" w:line="137" w:lineRule="exact"/>
              <w:rPr>
                <w:sz w:val="20"/>
                <w:szCs w:val="20"/>
                <w:color w:val="auto"/>
              </w:rPr>
            </w:pPr>
            <w:r>
              <w:rPr>
                <w:rFonts w:ascii="Arial" w:cs="Arial" w:eastAsia="Arial" w:hAnsi="Arial"/>
                <w:sz w:val="13"/>
                <w:szCs w:val="13"/>
                <w:b w:val="1"/>
                <w:bCs w:val="1"/>
                <w:color w:val="auto"/>
              </w:rPr>
              <w:t>2008</w:t>
            </w:r>
          </w:p>
        </w:tc>
        <w:tc>
          <w:tcPr>
            <w:tcW w:w="540" w:type="dxa"/>
            <w:vAlign w:val="bottom"/>
          </w:tcPr>
          <w:p>
            <w:pPr>
              <w:spacing w:after="0"/>
              <w:rPr>
                <w:sz w:val="11"/>
                <w:szCs w:val="11"/>
                <w:color w:val="auto"/>
              </w:rPr>
            </w:pPr>
          </w:p>
        </w:tc>
      </w:tr>
      <w:tr>
        <w:trPr>
          <w:trHeight w:val="202"/>
        </w:trPr>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Gross unrealized investment gains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8"/>
              </w:rPr>
              <w:t>3,723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18,672</w:t>
            </w:r>
          </w:p>
        </w:tc>
        <w:tc>
          <w:tcPr>
            <w:tcW w:w="540" w:type="dxa"/>
            <w:vAlign w:val="bottom"/>
            <w:shd w:val="clear" w:color="auto" w:fill="CCEEFF"/>
          </w:tcPr>
          <w:p>
            <w:pPr>
              <w:spacing w:after="0"/>
              <w:rPr>
                <w:sz w:val="17"/>
                <w:szCs w:val="17"/>
                <w:color w:val="auto"/>
              </w:rPr>
            </w:pPr>
          </w:p>
        </w:tc>
      </w:tr>
      <w:tr>
        <w:trPr>
          <w:trHeight w:val="215"/>
        </w:trPr>
        <w:tc>
          <w:tcPr>
            <w:tcW w:w="8260" w:type="dxa"/>
            <w:vAlign w:val="bottom"/>
          </w:tcPr>
          <w:p>
            <w:pPr>
              <w:spacing w:after="0"/>
              <w:rPr>
                <w:sz w:val="20"/>
                <w:szCs w:val="20"/>
                <w:color w:val="auto"/>
              </w:rPr>
            </w:pPr>
            <w:r>
              <w:rPr>
                <w:rFonts w:ascii="Arial" w:cs="Arial" w:eastAsia="Arial" w:hAnsi="Arial"/>
                <w:sz w:val="17"/>
                <w:szCs w:val="17"/>
                <w:color w:val="auto"/>
              </w:rPr>
              <w:t>Gross unrealized investment losses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512</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9,125</w:t>
            </w:r>
          </w:p>
        </w:tc>
        <w:tc>
          <w:tcPr>
            <w:tcW w:w="540" w:type="dxa"/>
            <w:vAlign w:val="bottom"/>
          </w:tcPr>
          <w:p>
            <w:pPr>
              <w:spacing w:after="0"/>
              <w:rPr>
                <w:sz w:val="18"/>
                <w:szCs w:val="18"/>
                <w:color w:val="auto"/>
              </w:rPr>
            </w:pPr>
          </w:p>
        </w:tc>
      </w:tr>
    </w:tbl>
    <w:p>
      <w:pPr>
        <w:spacing w:after="0" w:line="129" w:lineRule="exact"/>
        <w:rPr>
          <w:sz w:val="20"/>
          <w:szCs w:val="20"/>
          <w:color w:val="auto"/>
        </w:rPr>
      </w:pPr>
    </w:p>
    <w:p>
      <w:pPr>
        <w:ind w:right="200" w:firstLine="457"/>
        <w:spacing w:after="0" w:line="310" w:lineRule="auto"/>
        <w:rPr>
          <w:sz w:val="20"/>
          <w:szCs w:val="20"/>
          <w:color w:val="auto"/>
        </w:rPr>
      </w:pPr>
      <w:r>
        <w:rPr>
          <w:rFonts w:ascii="Arial" w:cs="Arial" w:eastAsia="Arial" w:hAnsi="Arial"/>
          <w:sz w:val="15"/>
          <w:szCs w:val="15"/>
          <w:color w:val="auto"/>
        </w:rPr>
        <w:t>Within AOCI, the Company recorded a reduction (increase) in net unrealized losses of $17,923, $46,273 and ($62,347) during the years ended December 31, 2010, 2009 and 2008, respectively, pertaining to “available-for-sale” debt securities. The reduction in net unrealized losses during the year ended December 31, 2010 includes the reclassification to earnings of realized gains of $1,755 and realized losses of $16,245 from the sale of the “available-for-sale” portfolio. With respect to adjustments for items reclassified to earnings, the average cost basis is utilized for purposes of calculating realized investment gains and losses.</w:t>
      </w:r>
    </w:p>
    <w:p>
      <w:pPr>
        <w:spacing w:after="0" w:line="88" w:lineRule="exact"/>
        <w:rPr>
          <w:sz w:val="20"/>
          <w:szCs w:val="20"/>
          <w:color w:val="auto"/>
        </w:rPr>
      </w:pPr>
    </w:p>
    <w:p>
      <w:pPr>
        <w:ind w:left="460" w:hanging="456"/>
        <w:spacing w:after="0"/>
        <w:tabs>
          <w:tab w:leader="none" w:pos="460" w:val="left"/>
        </w:tabs>
        <w:numPr>
          <w:ilvl w:val="0"/>
          <w:numId w:val="5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FAIR VALUE MEASUREMENTS</w:t>
      </w:r>
    </w:p>
    <w:p>
      <w:pPr>
        <w:spacing w:after="0" w:line="78" w:lineRule="exact"/>
        <w:rPr>
          <w:rFonts w:ascii="Arial" w:cs="Arial" w:eastAsia="Arial" w:hAnsi="Arial"/>
          <w:sz w:val="17"/>
          <w:szCs w:val="17"/>
          <w:b w:val="1"/>
          <w:bCs w:val="1"/>
          <w:i w:val="1"/>
          <w:iCs w:val="1"/>
          <w:color w:val="auto"/>
        </w:rPr>
      </w:pPr>
    </w:p>
    <w:p>
      <w:pPr>
        <w:ind w:left="46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Lazard categorizes its investments and certain other assets and liabilities recorded at fair value into a three-level fair value hierarchy as follows:</w:t>
      </w:r>
    </w:p>
    <w:p>
      <w:pPr>
        <w:spacing w:after="0" w:line="79" w:lineRule="exact"/>
        <w:rPr>
          <w:sz w:val="20"/>
          <w:szCs w:val="20"/>
          <w:color w:val="auto"/>
        </w:rPr>
      </w:pPr>
    </w:p>
    <w:p>
      <w:pPr>
        <w:ind w:left="920" w:right="40" w:hanging="913"/>
        <w:spacing w:after="0" w:line="280" w:lineRule="auto"/>
        <w:tabs>
          <w:tab w:leader="none" w:pos="900" w:val="left"/>
        </w:tabs>
        <w:rPr>
          <w:sz w:val="20"/>
          <w:szCs w:val="20"/>
          <w:color w:val="auto"/>
        </w:rPr>
      </w:pPr>
      <w:r>
        <w:rPr>
          <w:rFonts w:ascii="Arial" w:cs="Arial" w:eastAsia="Arial" w:hAnsi="Arial"/>
          <w:sz w:val="17"/>
          <w:szCs w:val="17"/>
          <w:i w:val="1"/>
          <w:iCs w:val="1"/>
          <w:color w:val="auto"/>
        </w:rPr>
        <w:t>Level 1.</w:t>
      </w:r>
      <w:r>
        <w:rPr>
          <w:sz w:val="20"/>
          <w:szCs w:val="20"/>
          <w:color w:val="auto"/>
        </w:rPr>
        <w:tab/>
      </w:r>
      <w:r>
        <w:rPr>
          <w:rFonts w:ascii="Arial" w:cs="Arial" w:eastAsia="Arial" w:hAnsi="Arial"/>
          <w:sz w:val="17"/>
          <w:szCs w:val="17"/>
          <w:color w:val="auto"/>
        </w:rPr>
        <w:t>Assets and liabilities whose values are based on unadjusted quoted prices for identical assets or liabilities in an active market that Lazard has the ability to access.</w:t>
      </w:r>
    </w:p>
    <w:p>
      <w:pPr>
        <w:spacing w:after="0" w:line="27" w:lineRule="exact"/>
        <w:rPr>
          <w:sz w:val="20"/>
          <w:szCs w:val="20"/>
          <w:color w:val="auto"/>
        </w:rPr>
      </w:pPr>
    </w:p>
    <w:p>
      <w:pPr>
        <w:jc w:val="both"/>
        <w:ind w:left="920" w:right="340" w:hanging="913"/>
        <w:spacing w:after="0" w:line="268" w:lineRule="auto"/>
        <w:tabs>
          <w:tab w:leader="none" w:pos="900" w:val="left"/>
        </w:tabs>
        <w:rPr>
          <w:sz w:val="20"/>
          <w:szCs w:val="20"/>
          <w:color w:val="auto"/>
        </w:rPr>
      </w:pPr>
      <w:r>
        <w:rPr>
          <w:rFonts w:ascii="Arial" w:cs="Arial" w:eastAsia="Arial" w:hAnsi="Arial"/>
          <w:sz w:val="17"/>
          <w:szCs w:val="17"/>
          <w:i w:val="1"/>
          <w:iCs w:val="1"/>
          <w:color w:val="auto"/>
        </w:rPr>
        <w:t>Level 2.</w:t>
      </w:r>
      <w:r>
        <w:rPr>
          <w:sz w:val="20"/>
          <w:szCs w:val="20"/>
          <w:color w:val="auto"/>
        </w:rPr>
        <w:tab/>
      </w:r>
      <w:r>
        <w:rPr>
          <w:rFonts w:ascii="Arial" w:cs="Arial" w:eastAsia="Arial" w:hAnsi="Arial"/>
          <w:sz w:val="17"/>
          <w:szCs w:val="17"/>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37" w:lineRule="exact"/>
        <w:rPr>
          <w:sz w:val="20"/>
          <w:szCs w:val="20"/>
          <w:color w:val="auto"/>
        </w:rPr>
      </w:pPr>
    </w:p>
    <w:p>
      <w:pPr>
        <w:ind w:left="920" w:right="60" w:hanging="913"/>
        <w:spacing w:after="0" w:line="310" w:lineRule="auto"/>
        <w:tabs>
          <w:tab w:leader="none" w:pos="900" w:val="left"/>
        </w:tabs>
        <w:rPr>
          <w:sz w:val="20"/>
          <w:szCs w:val="20"/>
          <w:color w:val="auto"/>
        </w:rPr>
      </w:pPr>
      <w:r>
        <w:rPr>
          <w:rFonts w:ascii="Arial" w:cs="Arial" w:eastAsia="Arial" w:hAnsi="Arial"/>
          <w:sz w:val="17"/>
          <w:szCs w:val="17"/>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8" w:lineRule="exact"/>
        <w:rPr>
          <w:sz w:val="20"/>
          <w:szCs w:val="20"/>
          <w:color w:val="auto"/>
        </w:rPr>
      </w:pPr>
    </w:p>
    <w:p>
      <w:pPr>
        <w:ind w:right="120" w:firstLine="457"/>
        <w:spacing w:after="0" w:line="292" w:lineRule="auto"/>
        <w:rPr>
          <w:sz w:val="20"/>
          <w:szCs w:val="20"/>
          <w:color w:val="auto"/>
        </w:rPr>
      </w:pPr>
      <w:r>
        <w:rPr>
          <w:rFonts w:ascii="Arial" w:cs="Arial" w:eastAsia="Arial" w:hAnsi="Arial"/>
          <w:sz w:val="16"/>
          <w:szCs w:val="16"/>
          <w:color w:val="auto"/>
        </w:rPr>
        <w:t>At December 31, 2010, the Company’s investments in U.S. Government and agency debt securities as well as its corporate and other debt securities were considered Level 1 assets with the respective fair values based on unadjusted quoted prices in active markets. The Company’s investments in fixed income funds were considered Level 2 assets with its fair values primarily based on broker quotes as provided by external pricing services.</w:t>
      </w:r>
    </w:p>
    <w:p>
      <w:pPr>
        <w:spacing w:after="0" w:line="98" w:lineRule="exact"/>
        <w:rPr>
          <w:sz w:val="20"/>
          <w:szCs w:val="20"/>
          <w:color w:val="auto"/>
        </w:rPr>
      </w:pPr>
    </w:p>
    <w:p>
      <w:pPr>
        <w:ind w:right="120" w:firstLine="457"/>
        <w:spacing w:after="0" w:line="280" w:lineRule="auto"/>
        <w:rPr>
          <w:sz w:val="20"/>
          <w:szCs w:val="20"/>
          <w:color w:val="auto"/>
        </w:rPr>
      </w:pPr>
      <w:r>
        <w:rPr>
          <w:rFonts w:ascii="Arial" w:cs="Arial" w:eastAsia="Arial" w:hAnsi="Arial"/>
          <w:sz w:val="17"/>
          <w:szCs w:val="17"/>
          <w:color w:val="auto"/>
        </w:rPr>
        <w:t>At December 31, 2009, most of the Company’s investments in corporate and other debt securities were considered Level 2 assets with the respective fair values based on observable data, principally broker quotes, as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48"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provided by external pricing services. The Company’s other debt securities, at fair value, including U.S Government and agency debt securities, were considered Level 1 assets, with the respective fair values based on unadjusted quoted prices in active markets.</w:t>
      </w:r>
    </w:p>
    <w:p>
      <w:pPr>
        <w:spacing w:after="0" w:line="10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of interests in LAM alternative asset management funds is classified as Level 2, and is based on information provided by external pricing services.</w:t>
      </w:r>
    </w:p>
    <w:p>
      <w:pPr>
        <w:spacing w:after="0" w:line="180" w:lineRule="exact"/>
        <w:rPr>
          <w:sz w:val="20"/>
          <w:szCs w:val="20"/>
          <w:color w:val="auto"/>
        </w:rPr>
      </w:pPr>
    </w:p>
    <w:p>
      <w:pPr>
        <w:ind w:right="380" w:firstLine="457"/>
        <w:spacing w:after="0" w:line="280" w:lineRule="auto"/>
        <w:rPr>
          <w:sz w:val="20"/>
          <w:szCs w:val="20"/>
          <w:color w:val="auto"/>
        </w:rPr>
      </w:pPr>
      <w:r>
        <w:rPr>
          <w:rFonts w:ascii="Arial" w:cs="Arial" w:eastAsia="Arial" w:hAnsi="Arial"/>
          <w:sz w:val="17"/>
          <w:szCs w:val="17"/>
          <w:color w:val="auto"/>
        </w:rPr>
        <w:t>The fair value of private equity investments is classified as Level 3, and is based on financial statements provided by fund managers, appraisals and internal valuations.</w:t>
      </w:r>
    </w:p>
    <w:p>
      <w:pPr>
        <w:spacing w:after="0" w:line="105" w:lineRule="exact"/>
        <w:rPr>
          <w:sz w:val="20"/>
          <w:szCs w:val="20"/>
          <w:color w:val="auto"/>
        </w:rPr>
      </w:pPr>
    </w:p>
    <w:p>
      <w:pPr>
        <w:ind w:right="60" w:firstLine="457"/>
        <w:spacing w:after="0" w:line="280" w:lineRule="auto"/>
        <w:rPr>
          <w:sz w:val="20"/>
          <w:szCs w:val="20"/>
          <w:color w:val="auto"/>
        </w:rPr>
      </w:pPr>
      <w:r>
        <w:rPr>
          <w:rFonts w:ascii="Arial" w:cs="Arial" w:eastAsia="Arial" w:hAnsi="Arial"/>
          <w:sz w:val="17"/>
          <w:szCs w:val="17"/>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05" w:lineRule="exact"/>
        <w:rPr>
          <w:sz w:val="20"/>
          <w:szCs w:val="20"/>
          <w:color w:val="auto"/>
        </w:rPr>
      </w:pPr>
    </w:p>
    <w:p>
      <w:pPr>
        <w:ind w:right="60" w:firstLine="457"/>
        <w:spacing w:after="0" w:line="280" w:lineRule="auto"/>
        <w:rPr>
          <w:sz w:val="20"/>
          <w:szCs w:val="20"/>
          <w:color w:val="auto"/>
        </w:rPr>
      </w:pPr>
      <w:r>
        <w:rPr>
          <w:rFonts w:ascii="Arial" w:cs="Arial" w:eastAsia="Arial" w:hAnsi="Arial"/>
          <w:sz w:val="17"/>
          <w:szCs w:val="17"/>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448"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120" w:firstLine="457"/>
        <w:spacing w:after="0" w:line="280" w:lineRule="auto"/>
        <w:rPr>
          <w:sz w:val="20"/>
          <w:szCs w:val="20"/>
          <w:color w:val="auto"/>
        </w:rPr>
      </w:pPr>
      <w:r>
        <w:rPr>
          <w:rFonts w:ascii="Arial" w:cs="Arial" w:eastAsia="Arial" w:hAnsi="Arial"/>
          <w:sz w:val="17"/>
          <w:szCs w:val="17"/>
          <w:color w:val="auto"/>
        </w:rPr>
        <w:t>The following tables present the categorization of investments and certain other assets and liabilities measured at fair value on a recurring basis as of December 31, 2010 and 2009 into a three-level fair value hierarchy in accordance with fair value measurement disclosure requirements: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3"/>
                <w:szCs w:val="13"/>
                <w:b w:val="1"/>
                <w:bCs w:val="1"/>
                <w:color w:val="auto"/>
                <w:w w:val="96"/>
              </w:rPr>
              <w:t>As of December 31, 2010</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580"/>
              <w:spacing w:after="0" w:line="137" w:lineRule="exact"/>
              <w:rPr>
                <w:sz w:val="20"/>
                <w:szCs w:val="20"/>
                <w:color w:val="auto"/>
              </w:rPr>
            </w:pPr>
            <w:r>
              <w:rPr>
                <w:rFonts w:ascii="Arial" w:cs="Arial" w:eastAsia="Arial" w:hAnsi="Arial"/>
                <w:sz w:val="13"/>
                <w:szCs w:val="13"/>
                <w:b w:val="1"/>
                <w:bCs w:val="1"/>
                <w:color w:val="auto"/>
                <w:w w:val="95"/>
              </w:rPr>
              <w:t>Level 1</w:t>
            </w:r>
          </w:p>
        </w:tc>
        <w:tc>
          <w:tcPr>
            <w:tcW w:w="120" w:type="dxa"/>
            <w:vAlign w:val="bottom"/>
          </w:tcPr>
          <w:p>
            <w:pPr>
              <w:spacing w:after="0"/>
              <w:rPr>
                <w:sz w:val="11"/>
                <w:szCs w:val="11"/>
                <w:color w:val="auto"/>
              </w:rPr>
            </w:pPr>
          </w:p>
        </w:tc>
        <w:tc>
          <w:tcPr>
            <w:tcW w:w="560" w:type="dxa"/>
            <w:vAlign w:val="bottom"/>
          </w:tcPr>
          <w:p>
            <w:pPr>
              <w:jc w:val="right"/>
              <w:ind w:right="58"/>
              <w:spacing w:after="0" w:line="137" w:lineRule="exact"/>
              <w:rPr>
                <w:sz w:val="20"/>
                <w:szCs w:val="20"/>
                <w:color w:val="auto"/>
              </w:rPr>
            </w:pPr>
            <w:r>
              <w:rPr>
                <w:rFonts w:ascii="Arial" w:cs="Arial" w:eastAsia="Arial" w:hAnsi="Arial"/>
                <w:sz w:val="13"/>
                <w:szCs w:val="13"/>
                <w:b w:val="1"/>
                <w:bCs w:val="1"/>
                <w:color w:val="auto"/>
                <w:w w:val="90"/>
              </w:rPr>
              <w:t>Level 2</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Level 3</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00"/>
              <w:spacing w:after="0" w:line="137"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7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7"/>
                <w:szCs w:val="17"/>
                <w:color w:val="auto"/>
              </w:rPr>
              <w:t>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Debt: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840"/>
              <w:spacing w:after="0"/>
              <w:rPr>
                <w:sz w:val="20"/>
                <w:szCs w:val="20"/>
                <w:color w:val="auto"/>
              </w:rPr>
            </w:pPr>
            <w:r>
              <w:rPr>
                <w:rFonts w:ascii="Arial" w:cs="Arial" w:eastAsia="Arial" w:hAnsi="Arial"/>
                <w:sz w:val="17"/>
                <w:szCs w:val="17"/>
                <w:color w:val="auto"/>
              </w:rPr>
              <w:t>U.S. Government and agencies</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31,900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31,900</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Fixed income funds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33,951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33,951</w:t>
            </w:r>
          </w:p>
        </w:tc>
        <w:tc>
          <w:tcPr>
            <w:tcW w:w="0" w:type="dxa"/>
            <w:vAlign w:val="bottom"/>
          </w:tcPr>
          <w:p>
            <w:pPr>
              <w:spacing w:after="0"/>
              <w:rPr>
                <w:sz w:val="1"/>
                <w:szCs w:val="1"/>
                <w:color w:val="auto"/>
              </w:rPr>
            </w:pPr>
          </w:p>
        </w:tc>
      </w:tr>
      <w:tr>
        <w:trPr>
          <w:trHeight w:val="209"/>
        </w:trPr>
        <w:tc>
          <w:tcPr>
            <w:tcW w:w="6500" w:type="dxa"/>
            <w:vAlign w:val="bottom"/>
          </w:tcPr>
          <w:p>
            <w:pPr>
              <w:ind w:left="840"/>
              <w:spacing w:after="0"/>
              <w:rPr>
                <w:sz w:val="20"/>
                <w:szCs w:val="20"/>
                <w:color w:val="auto"/>
              </w:rPr>
            </w:pPr>
            <w:r>
              <w:rPr>
                <w:rFonts w:ascii="Arial" w:cs="Arial" w:eastAsia="Arial" w:hAnsi="Arial"/>
                <w:sz w:val="17"/>
                <w:szCs w:val="17"/>
                <w:color w:val="auto"/>
              </w:rPr>
              <w:t>Corporate and other debt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29,693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29,693</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Equities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66,269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21,852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7"/>
                <w:szCs w:val="17"/>
                <w:color w:val="auto"/>
                <w:w w:val="77"/>
              </w:rPr>
              <w:t>316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88,437</w:t>
            </w:r>
          </w:p>
        </w:tc>
        <w:tc>
          <w:tcPr>
            <w:tcW w:w="0" w:type="dxa"/>
            <w:vAlign w:val="bottom"/>
          </w:tcPr>
          <w:p>
            <w:pPr>
              <w:spacing w:after="0"/>
              <w:rPr>
                <w:sz w:val="1"/>
                <w:szCs w:val="1"/>
                <w:color w:val="auto"/>
              </w:rPr>
            </w:pPr>
          </w:p>
        </w:tc>
      </w:tr>
      <w:tr>
        <w:trPr>
          <w:trHeight w:val="209"/>
        </w:trPr>
        <w:tc>
          <w:tcPr>
            <w:tcW w:w="6500" w:type="dxa"/>
            <w:vAlign w:val="bottom"/>
          </w:tcPr>
          <w:p>
            <w:pPr>
              <w:ind w:left="420"/>
              <w:spacing w:after="0"/>
              <w:rPr>
                <w:sz w:val="20"/>
                <w:szCs w:val="20"/>
                <w:color w:val="auto"/>
              </w:rPr>
            </w:pPr>
            <w:r>
              <w:rPr>
                <w:rFonts w:ascii="Arial" w:cs="Arial" w:eastAsia="Arial" w:hAnsi="Arial"/>
                <w:sz w:val="17"/>
                <w:szCs w:val="17"/>
                <w:color w:val="auto"/>
              </w:rPr>
              <w:t>Other (excluding equity method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Interest in LAM alternative asset management funds: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1260"/>
              <w:spacing w:after="0"/>
              <w:rPr>
                <w:sz w:val="20"/>
                <w:szCs w:val="20"/>
                <w:color w:val="auto"/>
              </w:rPr>
            </w:pPr>
            <w:r>
              <w:rPr>
                <w:rFonts w:ascii="Arial" w:cs="Arial" w:eastAsia="Arial" w:hAnsi="Arial"/>
                <w:sz w:val="17"/>
                <w:szCs w:val="17"/>
                <w:color w:val="auto"/>
              </w:rPr>
              <w:t>GP interests owned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50,437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50,437</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GP interests consolidated, but owned by noncontrolling interests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8,219</w:t>
            </w:r>
          </w:p>
        </w:tc>
        <w:tc>
          <w:tcPr>
            <w:tcW w:w="0" w:type="dxa"/>
            <w:vAlign w:val="bottom"/>
          </w:tcPr>
          <w:p>
            <w:pPr>
              <w:spacing w:after="0"/>
              <w:rPr>
                <w:sz w:val="1"/>
                <w:szCs w:val="1"/>
                <w:color w:val="auto"/>
              </w:rPr>
            </w:pPr>
          </w:p>
        </w:tc>
      </w:tr>
      <w:tr>
        <w:trPr>
          <w:trHeight w:val="209"/>
        </w:trPr>
        <w:tc>
          <w:tcPr>
            <w:tcW w:w="6500" w:type="dxa"/>
            <w:vAlign w:val="bottom"/>
          </w:tcPr>
          <w:p>
            <w:pPr>
              <w:ind w:left="840"/>
              <w:spacing w:after="0"/>
              <w:rPr>
                <w:sz w:val="20"/>
                <w:szCs w:val="20"/>
                <w:color w:val="auto"/>
              </w:rPr>
            </w:pPr>
            <w:r>
              <w:rPr>
                <w:rFonts w:ascii="Arial" w:cs="Arial" w:eastAsia="Arial" w:hAnsi="Arial"/>
                <w:sz w:val="17"/>
                <w:szCs w:val="17"/>
                <w:color w:val="auto"/>
              </w:rPr>
              <w:t>Private equity: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Investments owned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96,276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96,276</w:t>
            </w:r>
          </w:p>
        </w:tc>
        <w:tc>
          <w:tcPr>
            <w:tcW w:w="0" w:type="dxa"/>
            <w:vAlign w:val="bottom"/>
          </w:tcPr>
          <w:p>
            <w:pPr>
              <w:spacing w:after="0"/>
              <w:rPr>
                <w:sz w:val="1"/>
                <w:szCs w:val="1"/>
                <w:color w:val="auto"/>
              </w:rPr>
            </w:pPr>
          </w:p>
        </w:tc>
      </w:tr>
      <w:tr>
        <w:trPr>
          <w:trHeight w:val="209"/>
        </w:trPr>
        <w:tc>
          <w:tcPr>
            <w:tcW w:w="6500" w:type="dxa"/>
            <w:vAlign w:val="bottom"/>
          </w:tcPr>
          <w:p>
            <w:pPr>
              <w:ind w:left="1260"/>
              <w:spacing w:after="0"/>
              <w:rPr>
                <w:sz w:val="20"/>
                <w:szCs w:val="20"/>
                <w:color w:val="auto"/>
              </w:rPr>
            </w:pPr>
            <w:r>
              <w:rPr>
                <w:rFonts w:ascii="Arial" w:cs="Arial" w:eastAsia="Arial" w:hAnsi="Arial"/>
                <w:sz w:val="17"/>
                <w:szCs w:val="17"/>
                <w:color w:val="auto"/>
              </w:rPr>
              <w:t>Investments consolidated, but owned by noncontrolling interests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67,206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67,206</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Derivatives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1,874</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20"/>
              <w:spacing w:after="0"/>
              <w:rPr>
                <w:sz w:val="20"/>
                <w:szCs w:val="20"/>
                <w:color w:val="auto"/>
              </w:rPr>
            </w:pPr>
            <w:r>
              <w:rPr>
                <w:rFonts w:ascii="Arial" w:cs="Arial" w:eastAsia="Arial" w:hAnsi="Arial"/>
                <w:sz w:val="17"/>
                <w:szCs w:val="17"/>
                <w:color w:val="auto"/>
              </w:rPr>
              <w:t>Total Assets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500" w:type="dxa"/>
            <w:vAlign w:val="bottom"/>
            <w:vMerge w:val="continue"/>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w w:val="91"/>
              </w:rPr>
              <w:t>127,862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116,333</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163,798</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407,993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7"/>
                <w:szCs w:val="17"/>
                <w:color w:val="auto"/>
              </w:rPr>
              <w:t>Securities sold, not yet purchased</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2,897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2,897</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Derivatives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3,230</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20"/>
              <w:spacing w:after="0"/>
              <w:rPr>
                <w:sz w:val="20"/>
                <w:szCs w:val="20"/>
                <w:color w:val="auto"/>
              </w:rPr>
            </w:pPr>
            <w:r>
              <w:rPr>
                <w:rFonts w:ascii="Arial" w:cs="Arial" w:eastAsia="Arial" w:hAnsi="Arial"/>
                <w:sz w:val="17"/>
                <w:szCs w:val="17"/>
                <w:color w:val="auto"/>
              </w:rPr>
              <w:t>Total Liabilities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500" w:type="dxa"/>
            <w:vAlign w:val="bottom"/>
            <w:vMerge w:val="continue"/>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2,897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3,230</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6,127</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3"/>
                <w:szCs w:val="13"/>
                <w:b w:val="1"/>
                <w:bCs w:val="1"/>
                <w:color w:val="auto"/>
                <w:w w:val="96"/>
              </w:rPr>
              <w:t>As of December 31, 2009</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6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580"/>
              <w:spacing w:after="0" w:line="137" w:lineRule="exact"/>
              <w:rPr>
                <w:sz w:val="20"/>
                <w:szCs w:val="20"/>
                <w:color w:val="auto"/>
              </w:rPr>
            </w:pPr>
            <w:r>
              <w:rPr>
                <w:rFonts w:ascii="Arial" w:cs="Arial" w:eastAsia="Arial" w:hAnsi="Arial"/>
                <w:sz w:val="13"/>
                <w:szCs w:val="13"/>
                <w:b w:val="1"/>
                <w:bCs w:val="1"/>
                <w:color w:val="auto"/>
                <w:w w:val="95"/>
              </w:rPr>
              <w:t>Level 1</w:t>
            </w:r>
          </w:p>
        </w:tc>
        <w:tc>
          <w:tcPr>
            <w:tcW w:w="120" w:type="dxa"/>
            <w:vAlign w:val="bottom"/>
          </w:tcPr>
          <w:p>
            <w:pPr>
              <w:spacing w:after="0"/>
              <w:rPr>
                <w:sz w:val="11"/>
                <w:szCs w:val="11"/>
                <w:color w:val="auto"/>
              </w:rPr>
            </w:pPr>
          </w:p>
        </w:tc>
        <w:tc>
          <w:tcPr>
            <w:tcW w:w="560" w:type="dxa"/>
            <w:vAlign w:val="bottom"/>
          </w:tcPr>
          <w:p>
            <w:pPr>
              <w:jc w:val="right"/>
              <w:ind w:right="58"/>
              <w:spacing w:after="0" w:line="137" w:lineRule="exact"/>
              <w:rPr>
                <w:sz w:val="20"/>
                <w:szCs w:val="20"/>
                <w:color w:val="auto"/>
              </w:rPr>
            </w:pPr>
            <w:r>
              <w:rPr>
                <w:rFonts w:ascii="Arial" w:cs="Arial" w:eastAsia="Arial" w:hAnsi="Arial"/>
                <w:sz w:val="13"/>
                <w:szCs w:val="13"/>
                <w:b w:val="1"/>
                <w:bCs w:val="1"/>
                <w:color w:val="auto"/>
                <w:w w:val="90"/>
              </w:rPr>
              <w:t>Level 2</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Level 3</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00"/>
              <w:spacing w:after="0" w:line="137"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7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7"/>
                <w:szCs w:val="17"/>
                <w:color w:val="auto"/>
              </w:rPr>
              <w:t>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Debt (excluding securities at amortized cost):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840"/>
              <w:spacing w:after="0"/>
              <w:rPr>
                <w:sz w:val="20"/>
                <w:szCs w:val="20"/>
                <w:color w:val="auto"/>
              </w:rPr>
            </w:pPr>
            <w:r>
              <w:rPr>
                <w:rFonts w:ascii="Arial" w:cs="Arial" w:eastAsia="Arial" w:hAnsi="Arial"/>
                <w:sz w:val="17"/>
                <w:szCs w:val="17"/>
                <w:color w:val="auto"/>
              </w:rPr>
              <w:t>U.S. Government and agencies</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21,094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21,094</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Corporate and other debt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49,462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253,663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303,125</w:t>
            </w:r>
          </w:p>
        </w:tc>
        <w:tc>
          <w:tcPr>
            <w:tcW w:w="0" w:type="dxa"/>
            <w:vAlign w:val="bottom"/>
          </w:tcPr>
          <w:p>
            <w:pPr>
              <w:spacing w:after="0"/>
              <w:rPr>
                <w:sz w:val="1"/>
                <w:szCs w:val="1"/>
                <w:color w:val="auto"/>
              </w:rPr>
            </w:pPr>
          </w:p>
        </w:tc>
      </w:tr>
      <w:tr>
        <w:trPr>
          <w:trHeight w:val="209"/>
        </w:trPr>
        <w:tc>
          <w:tcPr>
            <w:tcW w:w="6500" w:type="dxa"/>
            <w:vAlign w:val="bottom"/>
          </w:tcPr>
          <w:p>
            <w:pPr>
              <w:ind w:left="420"/>
              <w:spacing w:after="0"/>
              <w:rPr>
                <w:sz w:val="20"/>
                <w:szCs w:val="20"/>
                <w:color w:val="auto"/>
              </w:rPr>
            </w:pPr>
            <w:r>
              <w:rPr>
                <w:rFonts w:ascii="Arial" w:cs="Arial" w:eastAsia="Arial" w:hAnsi="Arial"/>
                <w:sz w:val="17"/>
                <w:szCs w:val="17"/>
                <w:color w:val="auto"/>
              </w:rPr>
              <w:t>Equities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65,932</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16,205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auto"/>
                <w:w w:val="77"/>
              </w:rPr>
              <w:t>305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82,442</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(excluding equity method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840"/>
              <w:spacing w:after="0"/>
              <w:rPr>
                <w:sz w:val="20"/>
                <w:szCs w:val="20"/>
                <w:color w:val="auto"/>
              </w:rPr>
            </w:pPr>
            <w:r>
              <w:rPr>
                <w:rFonts w:ascii="Arial" w:cs="Arial" w:eastAsia="Arial" w:hAnsi="Arial"/>
                <w:sz w:val="17"/>
                <w:szCs w:val="17"/>
                <w:color w:val="auto"/>
              </w:rPr>
              <w:t>Interest in LAM alternative asset management funds: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GP interests owned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50,080</w:t>
            </w:r>
          </w:p>
        </w:tc>
        <w:tc>
          <w:tcPr>
            <w:tcW w:w="0" w:type="dxa"/>
            <w:vAlign w:val="bottom"/>
          </w:tcPr>
          <w:p>
            <w:pPr>
              <w:spacing w:after="0"/>
              <w:rPr>
                <w:sz w:val="1"/>
                <w:szCs w:val="1"/>
                <w:color w:val="auto"/>
              </w:rPr>
            </w:pPr>
          </w:p>
        </w:tc>
      </w:tr>
      <w:tr>
        <w:trPr>
          <w:trHeight w:val="209"/>
        </w:trPr>
        <w:tc>
          <w:tcPr>
            <w:tcW w:w="6500" w:type="dxa"/>
            <w:vAlign w:val="bottom"/>
          </w:tcPr>
          <w:p>
            <w:pPr>
              <w:ind w:left="1260"/>
              <w:spacing w:after="0"/>
              <w:rPr>
                <w:sz w:val="20"/>
                <w:szCs w:val="20"/>
                <w:color w:val="auto"/>
              </w:rPr>
            </w:pPr>
            <w:r>
              <w:rPr>
                <w:rFonts w:ascii="Arial" w:cs="Arial" w:eastAsia="Arial" w:hAnsi="Arial"/>
                <w:sz w:val="17"/>
                <w:szCs w:val="17"/>
                <w:color w:val="auto"/>
              </w:rPr>
              <w:t>GP interests consolidated, but owned by noncontrolling interests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13,038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13,038</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Private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1260"/>
              <w:spacing w:after="0"/>
              <w:rPr>
                <w:sz w:val="20"/>
                <w:szCs w:val="20"/>
                <w:color w:val="auto"/>
              </w:rPr>
            </w:pPr>
            <w:r>
              <w:rPr>
                <w:rFonts w:ascii="Arial" w:cs="Arial" w:eastAsia="Arial" w:hAnsi="Arial"/>
                <w:sz w:val="17"/>
                <w:szCs w:val="17"/>
                <w:color w:val="auto"/>
              </w:rPr>
              <w:t>Investments owned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2,812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100,171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102,983</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Investments consolidated, but owned by noncontrolling interests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35,743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35,743</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7"/>
                <w:szCs w:val="17"/>
                <w:color w:val="auto"/>
              </w:rPr>
              <w:t>Derivatives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916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921</w:t>
            </w: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Assets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1"/>
              </w:rPr>
              <w:t>136,493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336,714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136,219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609,426</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5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Securities sold, not yet purchased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5,179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5,179</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7"/>
                <w:szCs w:val="17"/>
                <w:color w:val="auto"/>
              </w:rPr>
              <w:t>Derivatives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17,383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17,383</w:t>
            </w: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Liabilities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5,179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17,383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22,562</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5620"/>
              <w:spacing w:after="0"/>
              <w:rPr>
                <w:sz w:val="20"/>
                <w:szCs w:val="20"/>
                <w:color w:val="auto"/>
              </w:rPr>
            </w:pPr>
            <w:r>
              <w:rPr>
                <w:rFonts w:ascii="Arial" w:cs="Arial" w:eastAsia="Arial" w:hAnsi="Arial"/>
                <w:sz w:val="17"/>
                <w:szCs w:val="17"/>
                <w:color w:val="auto"/>
              </w:rPr>
              <w:t>95</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65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were no transfers between any of the Level 1, 2 and 3 categories in the fair value measurement hierarchy during the year ended December 31, 2010.</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years ended December 31, 2010, 2009 and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3"/>
                <w:szCs w:val="13"/>
                <w:b w:val="1"/>
                <w:bCs w:val="1"/>
                <w:color w:val="auto"/>
                <w:w w:val="94"/>
              </w:rPr>
              <w:t>Year Ended December 31, 2010</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4"/>
          </w:tcPr>
          <w:p>
            <w:pPr>
              <w:jc w:val="center"/>
              <w:ind w:right="660"/>
              <w:spacing w:after="0" w:line="124" w:lineRule="exact"/>
              <w:rPr>
                <w:sz w:val="20"/>
                <w:szCs w:val="20"/>
                <w:color w:val="auto"/>
              </w:rPr>
            </w:pPr>
            <w:r>
              <w:rPr>
                <w:rFonts w:ascii="Arial" w:cs="Arial" w:eastAsia="Arial" w:hAnsi="Arial"/>
                <w:sz w:val="13"/>
                <w:szCs w:val="13"/>
                <w:b w:val="1"/>
                <w:bCs w:val="1"/>
                <w:color w:val="auto"/>
                <w:w w:val="95"/>
              </w:rPr>
              <w:t>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5"/>
          </w:tcPr>
          <w:p>
            <w:pPr>
              <w:jc w:val="center"/>
              <w:ind w:right="400"/>
              <w:spacing w:after="0" w:line="144" w:lineRule="exact"/>
              <w:rPr>
                <w:sz w:val="20"/>
                <w:szCs w:val="20"/>
                <w:color w:val="auto"/>
              </w:rPr>
            </w:pPr>
            <w:r>
              <w:rPr>
                <w:rFonts w:ascii="Arial" w:cs="Arial" w:eastAsia="Arial" w:hAnsi="Arial"/>
                <w:sz w:val="13"/>
                <w:szCs w:val="13"/>
                <w:b w:val="1"/>
                <w:bCs w:val="1"/>
                <w:color w:val="auto"/>
                <w:w w:val="89"/>
              </w:rPr>
              <w:t>Net Unrealized/</w:t>
            </w:r>
          </w:p>
        </w:tc>
        <w:tc>
          <w:tcPr>
            <w:tcW w:w="140" w:type="dxa"/>
            <w:vAlign w:val="bottom"/>
          </w:tcPr>
          <w:p>
            <w:pPr>
              <w:spacing w:after="0"/>
              <w:rPr>
                <w:sz w:val="12"/>
                <w:szCs w:val="12"/>
                <w:color w:val="auto"/>
              </w:rPr>
            </w:pPr>
          </w:p>
        </w:tc>
        <w:tc>
          <w:tcPr>
            <w:tcW w:w="1180" w:type="dxa"/>
            <w:vAlign w:val="bottom"/>
            <w:gridSpan w:val="5"/>
          </w:tcPr>
          <w:p>
            <w:pPr>
              <w:jc w:val="center"/>
              <w:ind w:right="580"/>
              <w:spacing w:after="0" w:line="144" w:lineRule="exact"/>
              <w:rPr>
                <w:sz w:val="20"/>
                <w:szCs w:val="20"/>
                <w:color w:val="auto"/>
              </w:rPr>
            </w:pPr>
            <w:r>
              <w:rPr>
                <w:rFonts w:ascii="Arial" w:cs="Arial" w:eastAsia="Arial" w:hAnsi="Arial"/>
                <w:sz w:val="13"/>
                <w:szCs w:val="13"/>
                <w:b w:val="1"/>
                <w:bCs w:val="1"/>
                <w:color w:val="auto"/>
                <w:w w:val="86"/>
              </w:rPr>
              <w:t>Purchases,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540"/>
              <w:spacing w:after="0" w:line="144" w:lineRule="exact"/>
              <w:rPr>
                <w:sz w:val="20"/>
                <w:szCs w:val="20"/>
                <w:color w:val="auto"/>
              </w:rPr>
            </w:pPr>
            <w:r>
              <w:rPr>
                <w:rFonts w:ascii="Arial" w:cs="Arial" w:eastAsia="Arial" w:hAnsi="Arial"/>
                <w:sz w:val="13"/>
                <w:szCs w:val="13"/>
                <w:b w:val="1"/>
                <w:bCs w:val="1"/>
                <w:color w:val="auto"/>
                <w:w w:val="90"/>
              </w:rPr>
              <w:t>Realized</w:t>
            </w:r>
          </w:p>
        </w:tc>
        <w:tc>
          <w:tcPr>
            <w:tcW w:w="140" w:type="dxa"/>
            <w:vAlign w:val="bottom"/>
          </w:tcPr>
          <w:p>
            <w:pPr>
              <w:spacing w:after="0"/>
              <w:rPr>
                <w:sz w:val="12"/>
                <w:szCs w:val="12"/>
                <w:color w:val="auto"/>
              </w:rPr>
            </w:pPr>
          </w:p>
        </w:tc>
        <w:tc>
          <w:tcPr>
            <w:tcW w:w="1180" w:type="dxa"/>
            <w:vAlign w:val="bottom"/>
            <w:gridSpan w:val="5"/>
          </w:tcPr>
          <w:p>
            <w:pPr>
              <w:jc w:val="center"/>
              <w:ind w:right="620"/>
              <w:spacing w:after="0" w:line="144" w:lineRule="exact"/>
              <w:rPr>
                <w:sz w:val="20"/>
                <w:szCs w:val="20"/>
                <w:color w:val="auto"/>
              </w:rPr>
            </w:pPr>
            <w:r>
              <w:rPr>
                <w:rFonts w:ascii="Arial" w:cs="Arial" w:eastAsia="Arial" w:hAnsi="Arial"/>
                <w:sz w:val="13"/>
                <w:szCs w:val="13"/>
                <w:b w:val="1"/>
                <w:bCs w:val="1"/>
                <w:color w:val="auto"/>
                <w:w w:val="82"/>
              </w:rPr>
              <w:t>Issuances</w:t>
            </w:r>
          </w:p>
        </w:tc>
        <w:tc>
          <w:tcPr>
            <w:tcW w:w="80" w:type="dxa"/>
            <w:vAlign w:val="bottom"/>
          </w:tcPr>
          <w:p>
            <w:pPr>
              <w:spacing w:after="0"/>
              <w:rPr>
                <w:sz w:val="12"/>
                <w:szCs w:val="12"/>
                <w:color w:val="auto"/>
              </w:rPr>
            </w:pPr>
          </w:p>
        </w:tc>
        <w:tc>
          <w:tcPr>
            <w:tcW w:w="1120" w:type="dxa"/>
            <w:vAlign w:val="bottom"/>
            <w:gridSpan w:val="3"/>
          </w:tcPr>
          <w:p>
            <w:pPr>
              <w:jc w:val="center"/>
              <w:ind w:right="620"/>
              <w:spacing w:after="0" w:line="144" w:lineRule="exact"/>
              <w:rPr>
                <w:sz w:val="20"/>
                <w:szCs w:val="20"/>
                <w:color w:val="auto"/>
              </w:rPr>
            </w:pPr>
            <w:r>
              <w:rPr>
                <w:rFonts w:ascii="Arial" w:cs="Arial" w:eastAsia="Arial" w:hAnsi="Arial"/>
                <w:sz w:val="13"/>
                <w:szCs w:val="13"/>
                <w:b w:val="1"/>
                <w:bCs w:val="1"/>
                <w:color w:val="auto"/>
                <w:w w:val="88"/>
              </w:rPr>
              <w:t>Foreign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5"/>
          </w:tcPr>
          <w:p>
            <w:pPr>
              <w:jc w:val="center"/>
              <w:ind w:right="440"/>
              <w:spacing w:after="0" w:line="144" w:lineRule="exact"/>
              <w:rPr>
                <w:sz w:val="20"/>
                <w:szCs w:val="20"/>
                <w:color w:val="auto"/>
              </w:rPr>
            </w:pPr>
            <w:r>
              <w:rPr>
                <w:rFonts w:ascii="Arial" w:cs="Arial" w:eastAsia="Arial" w:hAnsi="Arial"/>
                <w:sz w:val="13"/>
                <w:szCs w:val="13"/>
                <w:b w:val="1"/>
                <w:bCs w:val="1"/>
                <w:color w:val="auto"/>
                <w:w w:val="85"/>
              </w:rPr>
              <w:t>Gains (Losses)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660"/>
              <w:spacing w:after="0" w:line="144" w:lineRule="exact"/>
              <w:rPr>
                <w:sz w:val="20"/>
                <w:szCs w:val="20"/>
                <w:color w:val="auto"/>
              </w:rPr>
            </w:pPr>
            <w:r>
              <w:rPr>
                <w:rFonts w:ascii="Arial" w:cs="Arial" w:eastAsia="Arial" w:hAnsi="Arial"/>
                <w:sz w:val="13"/>
                <w:szCs w:val="13"/>
                <w:b w:val="1"/>
                <w:bCs w:val="1"/>
                <w:color w:val="auto"/>
                <w:w w:val="86"/>
              </w:rPr>
              <w:t>and</w:t>
            </w:r>
          </w:p>
        </w:tc>
        <w:tc>
          <w:tcPr>
            <w:tcW w:w="1200" w:type="dxa"/>
            <w:vAlign w:val="bottom"/>
            <w:gridSpan w:val="4"/>
          </w:tcPr>
          <w:p>
            <w:pPr>
              <w:jc w:val="center"/>
              <w:ind w:right="540"/>
              <w:spacing w:after="0" w:line="144" w:lineRule="exact"/>
              <w:rPr>
                <w:sz w:val="20"/>
                <w:szCs w:val="20"/>
                <w:color w:val="auto"/>
              </w:rPr>
            </w:pPr>
            <w:r>
              <w:rPr>
                <w:rFonts w:ascii="Arial" w:cs="Arial" w:eastAsia="Arial" w:hAnsi="Arial"/>
                <w:sz w:val="13"/>
                <w:szCs w:val="13"/>
                <w:b w:val="1"/>
                <w:bCs w:val="1"/>
                <w:color w:val="auto"/>
                <w:w w:val="94"/>
              </w:rPr>
              <w:t>Currency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6"/>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Beginning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5"/>
          </w:tcPr>
          <w:p>
            <w:pPr>
              <w:jc w:val="center"/>
              <w:ind w:right="460"/>
              <w:spacing w:after="0" w:line="144" w:lineRule="exact"/>
              <w:rPr>
                <w:sz w:val="20"/>
                <w:szCs w:val="20"/>
                <w:color w:val="auto"/>
              </w:rPr>
            </w:pPr>
            <w:r>
              <w:rPr>
                <w:rFonts w:ascii="Arial" w:cs="Arial" w:eastAsia="Arial" w:hAnsi="Arial"/>
                <w:sz w:val="13"/>
                <w:szCs w:val="13"/>
                <w:b w:val="1"/>
                <w:bCs w:val="1"/>
                <w:color w:val="auto"/>
                <w:w w:val="96"/>
              </w:rPr>
              <w:t>Included In</w:t>
            </w:r>
          </w:p>
        </w:tc>
        <w:tc>
          <w:tcPr>
            <w:tcW w:w="140" w:type="dxa"/>
            <w:vAlign w:val="bottom"/>
          </w:tcPr>
          <w:p>
            <w:pPr>
              <w:spacing w:after="0"/>
              <w:rPr>
                <w:sz w:val="12"/>
                <w:szCs w:val="12"/>
                <w:color w:val="auto"/>
              </w:rPr>
            </w:pPr>
          </w:p>
        </w:tc>
        <w:tc>
          <w:tcPr>
            <w:tcW w:w="1180" w:type="dxa"/>
            <w:vAlign w:val="bottom"/>
            <w:gridSpan w:val="5"/>
          </w:tcPr>
          <w:p>
            <w:pPr>
              <w:jc w:val="center"/>
              <w:ind w:right="540"/>
              <w:spacing w:after="0" w:line="144" w:lineRule="exact"/>
              <w:rPr>
                <w:sz w:val="20"/>
                <w:szCs w:val="20"/>
                <w:color w:val="auto"/>
              </w:rPr>
            </w:pPr>
            <w:r>
              <w:rPr>
                <w:rFonts w:ascii="Arial" w:cs="Arial" w:eastAsia="Arial" w:hAnsi="Arial"/>
                <w:sz w:val="13"/>
                <w:szCs w:val="13"/>
                <w:b w:val="1"/>
                <w:bCs w:val="1"/>
                <w:color w:val="auto"/>
                <w:w w:val="82"/>
              </w:rPr>
              <w:t>Settlements/</w:t>
            </w:r>
          </w:p>
        </w:tc>
        <w:tc>
          <w:tcPr>
            <w:tcW w:w="1200" w:type="dxa"/>
            <w:vAlign w:val="bottom"/>
            <w:gridSpan w:val="4"/>
          </w:tcPr>
          <w:p>
            <w:pPr>
              <w:jc w:val="center"/>
              <w:ind w:right="520"/>
              <w:spacing w:after="0" w:line="144" w:lineRule="exact"/>
              <w:rPr>
                <w:sz w:val="20"/>
                <w:szCs w:val="20"/>
                <w:color w:val="auto"/>
              </w:rPr>
            </w:pPr>
            <w:r>
              <w:rPr>
                <w:rFonts w:ascii="Arial" w:cs="Arial" w:eastAsia="Arial" w:hAnsi="Arial"/>
                <w:sz w:val="13"/>
                <w:szCs w:val="13"/>
                <w:b w:val="1"/>
                <w:bCs w:val="1"/>
                <w:color w:val="auto"/>
                <w:w w:val="91"/>
              </w:rPr>
              <w:t>Translation</w:t>
            </w:r>
          </w:p>
        </w:tc>
        <w:tc>
          <w:tcPr>
            <w:tcW w:w="100" w:type="dxa"/>
            <w:vAlign w:val="bottom"/>
          </w:tcPr>
          <w:p>
            <w:pPr>
              <w:spacing w:after="0"/>
              <w:rPr>
                <w:sz w:val="12"/>
                <w:szCs w:val="12"/>
                <w:color w:val="auto"/>
              </w:rPr>
            </w:pPr>
          </w:p>
        </w:tc>
        <w:tc>
          <w:tcPr>
            <w:tcW w:w="6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88"/>
              </w:rPr>
              <w:t>Balance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87"/>
              </w:rPr>
              <w:t>Revenue-Other</w:t>
            </w:r>
          </w:p>
        </w:tc>
        <w:tc>
          <w:tcPr>
            <w:tcW w:w="140" w:type="dxa"/>
            <w:vAlign w:val="bottom"/>
          </w:tcPr>
          <w:p>
            <w:pPr>
              <w:spacing w:after="0"/>
              <w:rPr>
                <w:sz w:val="13"/>
                <w:szCs w:val="13"/>
                <w:color w:val="auto"/>
              </w:rPr>
            </w:pPr>
          </w:p>
        </w:tc>
        <w:tc>
          <w:tcPr>
            <w:tcW w:w="1180" w:type="dxa"/>
            <w:vAlign w:val="bottom"/>
            <w:gridSpan w:val="5"/>
          </w:tcPr>
          <w:p>
            <w:pPr>
              <w:jc w:val="center"/>
              <w:ind w:right="540"/>
              <w:spacing w:after="0"/>
              <w:rPr>
                <w:sz w:val="20"/>
                <w:szCs w:val="20"/>
                <w:color w:val="auto"/>
              </w:rPr>
            </w:pPr>
            <w:r>
              <w:rPr>
                <w:rFonts w:ascii="Arial" w:cs="Arial" w:eastAsia="Arial" w:hAnsi="Arial"/>
                <w:sz w:val="13"/>
                <w:szCs w:val="13"/>
                <w:b w:val="1"/>
                <w:bCs w:val="1"/>
                <w:color w:val="auto"/>
                <w:w w:val="81"/>
              </w:rPr>
              <w:t>Acquisitions</w:t>
            </w:r>
          </w:p>
        </w:tc>
        <w:tc>
          <w:tcPr>
            <w:tcW w:w="1200" w:type="dxa"/>
            <w:vAlign w:val="bottom"/>
            <w:gridSpan w:val="4"/>
          </w:tcPr>
          <w:p>
            <w:pPr>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Investments:</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420"/>
              <w:spacing w:after="0"/>
              <w:rPr>
                <w:sz w:val="20"/>
                <w:szCs w:val="20"/>
                <w:color w:val="auto"/>
              </w:rPr>
            </w:pPr>
            <w:r>
              <w:rPr>
                <w:rFonts w:ascii="Arial" w:cs="Arial" w:eastAsia="Arial" w:hAnsi="Arial"/>
                <w:sz w:val="17"/>
                <w:szCs w:val="17"/>
                <w:color w:val="auto"/>
              </w:rPr>
              <w:t>Equities</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305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14"/>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60"/>
              <w:spacing w:after="0"/>
              <w:rPr>
                <w:sz w:val="20"/>
                <w:szCs w:val="20"/>
                <w:color w:val="auto"/>
              </w:rPr>
            </w:pPr>
            <w:r>
              <w:rPr>
                <w:rFonts w:ascii="Arial" w:cs="Arial" w:eastAsia="Arial" w:hAnsi="Arial"/>
                <w:sz w:val="17"/>
                <w:szCs w:val="17"/>
                <w:color w:val="auto"/>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Private equity: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840"/>
              <w:spacing w:after="0"/>
              <w:rPr>
                <w:sz w:val="20"/>
                <w:szCs w:val="20"/>
                <w:color w:val="auto"/>
              </w:rPr>
            </w:pPr>
            <w:r>
              <w:rPr>
                <w:rFonts w:ascii="Arial" w:cs="Arial" w:eastAsia="Arial" w:hAnsi="Arial"/>
                <w:sz w:val="17"/>
                <w:szCs w:val="17"/>
                <w:color w:val="auto"/>
              </w:rPr>
              <w:t>Investments owned</w:t>
            </w:r>
          </w:p>
        </w:tc>
        <w:tc>
          <w:tcPr>
            <w:tcW w:w="860" w:type="dxa"/>
            <w:vAlign w:val="bottom"/>
            <w:gridSpan w:val="5"/>
          </w:tcPr>
          <w:p>
            <w:pPr>
              <w:jc w:val="right"/>
              <w:spacing w:after="0"/>
              <w:rPr>
                <w:sz w:val="20"/>
                <w:szCs w:val="20"/>
                <w:color w:val="auto"/>
              </w:rPr>
            </w:pPr>
            <w:r>
              <w:rPr>
                <w:rFonts w:ascii="Arial" w:cs="Arial" w:eastAsia="Arial" w:hAnsi="Arial"/>
                <w:sz w:val="17"/>
                <w:szCs w:val="17"/>
                <w:color w:val="auto"/>
              </w:rPr>
              <w:t>100,171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1,418</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jc w:val="right"/>
              <w:ind w:right="480"/>
              <w:spacing w:after="0"/>
              <w:rPr>
                <w:sz w:val="20"/>
                <w:szCs w:val="20"/>
                <w:color w:val="auto"/>
              </w:rPr>
            </w:pPr>
            <w:r>
              <w:rPr>
                <w:rFonts w:ascii="Arial" w:cs="Arial" w:eastAsia="Arial" w:hAnsi="Arial"/>
                <w:sz w:val="17"/>
                <w:szCs w:val="17"/>
                <w:color w:val="auto"/>
              </w:rPr>
              <w:t>(1,932)</w:t>
            </w:r>
          </w:p>
        </w:tc>
        <w:tc>
          <w:tcPr>
            <w:tcW w:w="80" w:type="dxa"/>
            <w:vAlign w:val="bottom"/>
          </w:tcPr>
          <w:p>
            <w:pPr>
              <w:spacing w:after="0"/>
              <w:rPr>
                <w:sz w:val="18"/>
                <w:szCs w:val="18"/>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7"/>
                <w:szCs w:val="17"/>
                <w:color w:val="auto"/>
              </w:rPr>
              <w:t>(3,381)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96,276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6"/>
              </w:rPr>
              <w:t>Investments consolidated, but owned by noncontrolling interests</w:t>
            </w:r>
          </w:p>
        </w:tc>
        <w:tc>
          <w:tcPr>
            <w:tcW w:w="2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35,743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7,228</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24,235</w:t>
            </w: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right="2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67,206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420"/>
              <w:spacing w:after="0"/>
              <w:rPr>
                <w:sz w:val="20"/>
                <w:szCs w:val="20"/>
                <w:color w:val="auto"/>
              </w:rPr>
            </w:pPr>
            <w:r>
              <w:rPr>
                <w:rFonts w:ascii="Arial" w:cs="Arial" w:eastAsia="Arial" w:hAnsi="Arial"/>
                <w:sz w:val="17"/>
                <w:szCs w:val="17"/>
                <w:color w:val="auto"/>
              </w:rPr>
              <w:t>Total Level 3 Assets</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136,219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14"/>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8,652</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22,317</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60"/>
              <w:spacing w:after="0"/>
              <w:rPr>
                <w:sz w:val="20"/>
                <w:szCs w:val="20"/>
                <w:color w:val="auto"/>
              </w:rPr>
            </w:pPr>
            <w:r>
              <w:rPr>
                <w:rFonts w:ascii="Arial" w:cs="Arial" w:eastAsia="Arial" w:hAnsi="Arial"/>
                <w:sz w:val="17"/>
                <w:szCs w:val="17"/>
                <w:color w:val="auto"/>
              </w:rPr>
              <w:t>(3,390)</w:t>
            </w:r>
          </w:p>
        </w:tc>
        <w:tc>
          <w:tcPr>
            <w:tcW w:w="660" w:type="dxa"/>
            <w:vAlign w:val="bottom"/>
            <w:gridSpan w:val="3"/>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163,798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0"/>
          </w:tcPr>
          <w:p>
            <w:pPr>
              <w:jc w:val="center"/>
              <w:spacing w:after="0"/>
              <w:rPr>
                <w:sz w:val="20"/>
                <w:szCs w:val="20"/>
                <w:color w:val="auto"/>
              </w:rPr>
            </w:pPr>
            <w:r>
              <w:rPr>
                <w:rFonts w:ascii="Arial" w:cs="Arial" w:eastAsia="Arial" w:hAnsi="Arial"/>
                <w:sz w:val="13"/>
                <w:szCs w:val="13"/>
                <w:b w:val="1"/>
                <w:bCs w:val="1"/>
                <w:color w:val="auto"/>
                <w:w w:val="90"/>
              </w:rPr>
              <w:t>Year Ended December 31, 2009</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4"/>
          </w:tcPr>
          <w:p>
            <w:pPr>
              <w:jc w:val="center"/>
              <w:ind w:right="580"/>
              <w:spacing w:after="0" w:line="124" w:lineRule="exact"/>
              <w:rPr>
                <w:sz w:val="20"/>
                <w:szCs w:val="20"/>
                <w:color w:val="auto"/>
              </w:rPr>
            </w:pPr>
            <w:r>
              <w:rPr>
                <w:rFonts w:ascii="Arial" w:cs="Arial" w:eastAsia="Arial" w:hAnsi="Arial"/>
                <w:sz w:val="13"/>
                <w:szCs w:val="13"/>
                <w:b w:val="1"/>
                <w:bCs w:val="1"/>
                <w:color w:val="auto"/>
                <w:w w:val="95"/>
              </w:rPr>
              <w:t>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5"/>
          </w:tcPr>
          <w:p>
            <w:pPr>
              <w:jc w:val="center"/>
              <w:ind w:right="360"/>
              <w:spacing w:after="0" w:line="144" w:lineRule="exact"/>
              <w:rPr>
                <w:sz w:val="20"/>
                <w:szCs w:val="20"/>
                <w:color w:val="auto"/>
              </w:rPr>
            </w:pPr>
            <w:r>
              <w:rPr>
                <w:rFonts w:ascii="Arial" w:cs="Arial" w:eastAsia="Arial" w:hAnsi="Arial"/>
                <w:sz w:val="13"/>
                <w:szCs w:val="13"/>
                <w:b w:val="1"/>
                <w:bCs w:val="1"/>
                <w:color w:val="auto"/>
                <w:w w:val="93"/>
              </w:rPr>
              <w:t>Net Unrealized/</w:t>
            </w:r>
          </w:p>
        </w:tc>
        <w:tc>
          <w:tcPr>
            <w:tcW w:w="140" w:type="dxa"/>
            <w:vAlign w:val="bottom"/>
          </w:tcPr>
          <w:p>
            <w:pPr>
              <w:spacing w:after="0"/>
              <w:rPr>
                <w:sz w:val="12"/>
                <w:szCs w:val="12"/>
                <w:color w:val="auto"/>
              </w:rPr>
            </w:pPr>
          </w:p>
        </w:tc>
        <w:tc>
          <w:tcPr>
            <w:tcW w:w="1180" w:type="dxa"/>
            <w:vAlign w:val="bottom"/>
            <w:gridSpan w:val="5"/>
          </w:tcPr>
          <w:p>
            <w:pPr>
              <w:jc w:val="center"/>
              <w:ind w:right="500"/>
              <w:spacing w:after="0" w:line="144" w:lineRule="exact"/>
              <w:rPr>
                <w:sz w:val="20"/>
                <w:szCs w:val="20"/>
                <w:color w:val="auto"/>
              </w:rPr>
            </w:pPr>
            <w:r>
              <w:rPr>
                <w:rFonts w:ascii="Arial" w:cs="Arial" w:eastAsia="Arial" w:hAnsi="Arial"/>
                <w:sz w:val="13"/>
                <w:szCs w:val="13"/>
                <w:b w:val="1"/>
                <w:bCs w:val="1"/>
                <w:color w:val="auto"/>
                <w:w w:val="86"/>
              </w:rPr>
              <w:t>Purchases,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460"/>
              <w:spacing w:after="0" w:line="144" w:lineRule="exact"/>
              <w:rPr>
                <w:sz w:val="20"/>
                <w:szCs w:val="20"/>
                <w:color w:val="auto"/>
              </w:rPr>
            </w:pPr>
            <w:r>
              <w:rPr>
                <w:rFonts w:ascii="Arial" w:cs="Arial" w:eastAsia="Arial" w:hAnsi="Arial"/>
                <w:sz w:val="13"/>
                <w:szCs w:val="13"/>
                <w:b w:val="1"/>
                <w:bCs w:val="1"/>
                <w:color w:val="auto"/>
                <w:w w:val="90"/>
              </w:rPr>
              <w:t>Realized</w:t>
            </w:r>
          </w:p>
        </w:tc>
        <w:tc>
          <w:tcPr>
            <w:tcW w:w="140" w:type="dxa"/>
            <w:vAlign w:val="bottom"/>
          </w:tcPr>
          <w:p>
            <w:pPr>
              <w:spacing w:after="0"/>
              <w:rPr>
                <w:sz w:val="12"/>
                <w:szCs w:val="12"/>
                <w:color w:val="auto"/>
              </w:rPr>
            </w:pPr>
          </w:p>
        </w:tc>
        <w:tc>
          <w:tcPr>
            <w:tcW w:w="1180" w:type="dxa"/>
            <w:vAlign w:val="bottom"/>
            <w:gridSpan w:val="5"/>
          </w:tcPr>
          <w:p>
            <w:pPr>
              <w:jc w:val="center"/>
              <w:ind w:right="540"/>
              <w:spacing w:after="0" w:line="144" w:lineRule="exact"/>
              <w:rPr>
                <w:sz w:val="20"/>
                <w:szCs w:val="20"/>
                <w:color w:val="auto"/>
              </w:rPr>
            </w:pPr>
            <w:r>
              <w:rPr>
                <w:rFonts w:ascii="Arial" w:cs="Arial" w:eastAsia="Arial" w:hAnsi="Arial"/>
                <w:sz w:val="13"/>
                <w:szCs w:val="13"/>
                <w:b w:val="1"/>
                <w:bCs w:val="1"/>
                <w:color w:val="auto"/>
                <w:w w:val="82"/>
              </w:rPr>
              <w:t>Issuances</w:t>
            </w:r>
          </w:p>
        </w:tc>
        <w:tc>
          <w:tcPr>
            <w:tcW w:w="80" w:type="dxa"/>
            <w:vAlign w:val="bottom"/>
          </w:tcPr>
          <w:p>
            <w:pPr>
              <w:spacing w:after="0"/>
              <w:rPr>
                <w:sz w:val="12"/>
                <w:szCs w:val="12"/>
                <w:color w:val="auto"/>
              </w:rPr>
            </w:pPr>
          </w:p>
        </w:tc>
        <w:tc>
          <w:tcPr>
            <w:tcW w:w="1120" w:type="dxa"/>
            <w:vAlign w:val="bottom"/>
            <w:gridSpan w:val="3"/>
          </w:tcPr>
          <w:p>
            <w:pPr>
              <w:jc w:val="center"/>
              <w:ind w:right="560"/>
              <w:spacing w:after="0" w:line="144" w:lineRule="exact"/>
              <w:rPr>
                <w:sz w:val="20"/>
                <w:szCs w:val="20"/>
                <w:color w:val="auto"/>
              </w:rPr>
            </w:pPr>
            <w:r>
              <w:rPr>
                <w:rFonts w:ascii="Arial" w:cs="Arial" w:eastAsia="Arial" w:hAnsi="Arial"/>
                <w:sz w:val="13"/>
                <w:szCs w:val="13"/>
                <w:b w:val="1"/>
                <w:bCs w:val="1"/>
                <w:color w:val="auto"/>
                <w:w w:val="92"/>
              </w:rPr>
              <w:t>Foreign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5"/>
          </w:tcPr>
          <w:p>
            <w:pPr>
              <w:jc w:val="center"/>
              <w:ind w:right="360"/>
              <w:spacing w:after="0" w:line="144" w:lineRule="exact"/>
              <w:rPr>
                <w:sz w:val="20"/>
                <w:szCs w:val="20"/>
                <w:color w:val="auto"/>
              </w:rPr>
            </w:pPr>
            <w:r>
              <w:rPr>
                <w:rFonts w:ascii="Arial" w:cs="Arial" w:eastAsia="Arial" w:hAnsi="Arial"/>
                <w:sz w:val="13"/>
                <w:szCs w:val="13"/>
                <w:b w:val="1"/>
                <w:bCs w:val="1"/>
                <w:color w:val="auto"/>
                <w:w w:val="85"/>
              </w:rPr>
              <w:t>Gains (Losses)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580"/>
              <w:spacing w:after="0" w:line="144" w:lineRule="exact"/>
              <w:rPr>
                <w:sz w:val="20"/>
                <w:szCs w:val="20"/>
                <w:color w:val="auto"/>
              </w:rPr>
            </w:pPr>
            <w:r>
              <w:rPr>
                <w:rFonts w:ascii="Arial" w:cs="Arial" w:eastAsia="Arial" w:hAnsi="Arial"/>
                <w:sz w:val="13"/>
                <w:szCs w:val="13"/>
                <w:b w:val="1"/>
                <w:bCs w:val="1"/>
                <w:color w:val="auto"/>
                <w:w w:val="86"/>
              </w:rPr>
              <w:t>and</w:t>
            </w:r>
          </w:p>
        </w:tc>
        <w:tc>
          <w:tcPr>
            <w:tcW w:w="80" w:type="dxa"/>
            <w:vAlign w:val="bottom"/>
          </w:tcPr>
          <w:p>
            <w:pPr>
              <w:spacing w:after="0"/>
              <w:rPr>
                <w:sz w:val="12"/>
                <w:szCs w:val="12"/>
                <w:color w:val="auto"/>
              </w:rPr>
            </w:pPr>
          </w:p>
        </w:tc>
        <w:tc>
          <w:tcPr>
            <w:tcW w:w="1120" w:type="dxa"/>
            <w:vAlign w:val="bottom"/>
            <w:gridSpan w:val="3"/>
          </w:tcPr>
          <w:p>
            <w:pPr>
              <w:jc w:val="center"/>
              <w:ind w:right="560"/>
              <w:spacing w:after="0" w:line="144" w:lineRule="exact"/>
              <w:rPr>
                <w:sz w:val="20"/>
                <w:szCs w:val="20"/>
                <w:color w:val="auto"/>
              </w:rPr>
            </w:pPr>
            <w:r>
              <w:rPr>
                <w:rFonts w:ascii="Arial" w:cs="Arial" w:eastAsia="Arial" w:hAnsi="Arial"/>
                <w:sz w:val="13"/>
                <w:szCs w:val="13"/>
                <w:b w:val="1"/>
                <w:bCs w:val="1"/>
                <w:color w:val="auto"/>
                <w:w w:val="91"/>
              </w:rPr>
              <w:t>Currency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5"/>
          </w:tcPr>
          <w:p>
            <w:pPr>
              <w:spacing w:after="0" w:line="144" w:lineRule="exact"/>
              <w:rPr>
                <w:sz w:val="20"/>
                <w:szCs w:val="20"/>
                <w:color w:val="auto"/>
              </w:rPr>
            </w:pPr>
            <w:r>
              <w:rPr>
                <w:rFonts w:ascii="Arial" w:cs="Arial" w:eastAsia="Arial" w:hAnsi="Arial"/>
                <w:sz w:val="13"/>
                <w:szCs w:val="13"/>
                <w:b w:val="1"/>
                <w:bCs w:val="1"/>
                <w:color w:val="auto"/>
              </w:rPr>
              <w:t>Beginning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460"/>
              <w:spacing w:after="0" w:line="144" w:lineRule="exact"/>
              <w:rPr>
                <w:sz w:val="20"/>
                <w:szCs w:val="20"/>
                <w:color w:val="auto"/>
              </w:rPr>
            </w:pPr>
            <w:r>
              <w:rPr>
                <w:rFonts w:ascii="Arial" w:cs="Arial" w:eastAsia="Arial" w:hAnsi="Arial"/>
                <w:sz w:val="13"/>
                <w:szCs w:val="13"/>
                <w:b w:val="1"/>
                <w:bCs w:val="1"/>
                <w:color w:val="auto"/>
                <w:w w:val="93"/>
              </w:rPr>
              <w:t>Included In</w:t>
            </w:r>
          </w:p>
        </w:tc>
        <w:tc>
          <w:tcPr>
            <w:tcW w:w="140" w:type="dxa"/>
            <w:vAlign w:val="bottom"/>
          </w:tcPr>
          <w:p>
            <w:pPr>
              <w:spacing w:after="0"/>
              <w:rPr>
                <w:sz w:val="12"/>
                <w:szCs w:val="12"/>
                <w:color w:val="auto"/>
              </w:rPr>
            </w:pPr>
          </w:p>
        </w:tc>
        <w:tc>
          <w:tcPr>
            <w:tcW w:w="1180" w:type="dxa"/>
            <w:vAlign w:val="bottom"/>
            <w:gridSpan w:val="5"/>
          </w:tcPr>
          <w:p>
            <w:pPr>
              <w:jc w:val="center"/>
              <w:ind w:right="500"/>
              <w:spacing w:after="0" w:line="144" w:lineRule="exact"/>
              <w:rPr>
                <w:sz w:val="20"/>
                <w:szCs w:val="20"/>
                <w:color w:val="auto"/>
              </w:rPr>
            </w:pPr>
            <w:r>
              <w:rPr>
                <w:rFonts w:ascii="Arial" w:cs="Arial" w:eastAsia="Arial" w:hAnsi="Arial"/>
                <w:sz w:val="13"/>
                <w:szCs w:val="13"/>
                <w:b w:val="1"/>
                <w:bCs w:val="1"/>
                <w:color w:val="auto"/>
                <w:w w:val="87"/>
              </w:rPr>
              <w:t>Settlements/</w:t>
            </w:r>
          </w:p>
        </w:tc>
        <w:tc>
          <w:tcPr>
            <w:tcW w:w="1200" w:type="dxa"/>
            <w:vAlign w:val="bottom"/>
            <w:gridSpan w:val="4"/>
          </w:tcPr>
          <w:p>
            <w:pPr>
              <w:jc w:val="center"/>
              <w:ind w:right="480"/>
              <w:spacing w:after="0" w:line="144" w:lineRule="exact"/>
              <w:rPr>
                <w:sz w:val="20"/>
                <w:szCs w:val="20"/>
                <w:color w:val="auto"/>
              </w:rPr>
            </w:pPr>
            <w:r>
              <w:rPr>
                <w:rFonts w:ascii="Arial" w:cs="Arial" w:eastAsia="Arial" w:hAnsi="Arial"/>
                <w:sz w:val="13"/>
                <w:szCs w:val="13"/>
                <w:b w:val="1"/>
                <w:bCs w:val="1"/>
                <w:color w:val="auto"/>
                <w:w w:val="91"/>
              </w:rPr>
              <w:t>Translation</w:t>
            </w:r>
          </w:p>
        </w:tc>
        <w:tc>
          <w:tcPr>
            <w:tcW w:w="100" w:type="dxa"/>
            <w:vAlign w:val="bottom"/>
          </w:tcPr>
          <w:p>
            <w:pPr>
              <w:spacing w:after="0"/>
              <w:rPr>
                <w:sz w:val="12"/>
                <w:szCs w:val="12"/>
                <w:color w:val="auto"/>
              </w:rPr>
            </w:pPr>
          </w:p>
        </w:tc>
        <w:tc>
          <w:tcPr>
            <w:tcW w:w="6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5"/>
          </w:tcPr>
          <w:p>
            <w:pPr>
              <w:ind w:left="80"/>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0"/>
              </w:rPr>
              <w:t>Revenue-Other</w:t>
            </w:r>
          </w:p>
        </w:tc>
        <w:tc>
          <w:tcPr>
            <w:tcW w:w="140" w:type="dxa"/>
            <w:vAlign w:val="bottom"/>
          </w:tcPr>
          <w:p>
            <w:pPr>
              <w:spacing w:after="0"/>
              <w:rPr>
                <w:sz w:val="13"/>
                <w:szCs w:val="13"/>
                <w:color w:val="auto"/>
              </w:rPr>
            </w:pPr>
          </w:p>
        </w:tc>
        <w:tc>
          <w:tcPr>
            <w:tcW w:w="1180" w:type="dxa"/>
            <w:vAlign w:val="bottom"/>
            <w:gridSpan w:val="5"/>
          </w:tcPr>
          <w:p>
            <w:pPr>
              <w:jc w:val="center"/>
              <w:ind w:right="500"/>
              <w:spacing w:after="0"/>
              <w:rPr>
                <w:sz w:val="20"/>
                <w:szCs w:val="20"/>
                <w:color w:val="auto"/>
              </w:rPr>
            </w:pPr>
            <w:r>
              <w:rPr>
                <w:rFonts w:ascii="Arial" w:cs="Arial" w:eastAsia="Arial" w:hAnsi="Arial"/>
                <w:sz w:val="13"/>
                <w:szCs w:val="13"/>
                <w:b w:val="1"/>
                <w:bCs w:val="1"/>
                <w:color w:val="auto"/>
                <w:w w:val="87"/>
              </w:rPr>
              <w:t>Acquisitions</w:t>
            </w:r>
          </w:p>
        </w:tc>
        <w:tc>
          <w:tcPr>
            <w:tcW w:w="1200" w:type="dxa"/>
            <w:vAlign w:val="bottom"/>
            <w:gridSpan w:val="4"/>
          </w:tcPr>
          <w:p>
            <w:pPr>
              <w:jc w:val="center"/>
              <w:ind w:right="480"/>
              <w:spacing w:after="0"/>
              <w:rPr>
                <w:sz w:val="20"/>
                <w:szCs w:val="20"/>
                <w:color w:val="auto"/>
              </w:rPr>
            </w:pPr>
            <w:r>
              <w:rPr>
                <w:rFonts w:ascii="Arial" w:cs="Arial" w:eastAsia="Arial" w:hAnsi="Arial"/>
                <w:sz w:val="13"/>
                <w:szCs w:val="13"/>
                <w:b w:val="1"/>
                <w:bCs w:val="1"/>
                <w:color w:val="auto"/>
                <w:w w:val="91"/>
              </w:rPr>
              <w:t>Adjustments</w:t>
            </w:r>
          </w:p>
        </w:tc>
        <w:tc>
          <w:tcPr>
            <w:tcW w:w="10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Investments: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420"/>
              <w:spacing w:after="0"/>
              <w:rPr>
                <w:sz w:val="20"/>
                <w:szCs w:val="20"/>
                <w:color w:val="auto"/>
              </w:rPr>
            </w:pPr>
            <w:r>
              <w:rPr>
                <w:rFonts w:ascii="Arial" w:cs="Arial" w:eastAsia="Arial" w:hAnsi="Arial"/>
                <w:sz w:val="17"/>
                <w:szCs w:val="17"/>
                <w:color w:val="auto"/>
              </w:rPr>
              <w:t>Equities</w:t>
            </w:r>
          </w:p>
        </w:tc>
        <w:tc>
          <w:tcPr>
            <w:tcW w:w="440" w:type="dxa"/>
            <w:vAlign w:val="bottom"/>
            <w:gridSpan w:val="3"/>
          </w:tcPr>
          <w:p>
            <w:pPr>
              <w:ind w:left="340"/>
              <w:spacing w:after="0"/>
              <w:rPr>
                <w:sz w:val="20"/>
                <w:szCs w:val="20"/>
                <w:color w:val="auto"/>
              </w:rPr>
            </w:pPr>
            <w:r>
              <w:rPr>
                <w:rFonts w:ascii="Arial" w:cs="Arial" w:eastAsia="Arial" w:hAnsi="Arial"/>
                <w:sz w:val="17"/>
                <w:szCs w:val="17"/>
                <w:color w:val="auto"/>
                <w:w w:val="84"/>
              </w:rPr>
              <w:t>$</w:t>
            </w:r>
          </w:p>
        </w:tc>
        <w:tc>
          <w:tcPr>
            <w:tcW w:w="600" w:type="dxa"/>
            <w:vAlign w:val="bottom"/>
            <w:gridSpan w:val="4"/>
          </w:tcPr>
          <w:p>
            <w:pPr>
              <w:jc w:val="right"/>
              <w:ind w:right="120"/>
              <w:spacing w:after="0"/>
              <w:rPr>
                <w:sz w:val="20"/>
                <w:szCs w:val="20"/>
                <w:color w:val="auto"/>
              </w:rPr>
            </w:pPr>
            <w:r>
              <w:rPr>
                <w:rFonts w:ascii="Arial" w:cs="Arial" w:eastAsia="Arial" w:hAnsi="Arial"/>
                <w:sz w:val="17"/>
                <w:szCs w:val="17"/>
                <w:color w:val="auto"/>
              </w:rPr>
              <w:t>2,453</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4"/>
          </w:tcPr>
          <w:p>
            <w:pPr>
              <w:jc w:val="right"/>
              <w:ind w:right="300"/>
              <w:spacing w:after="0"/>
              <w:rPr>
                <w:sz w:val="20"/>
                <w:szCs w:val="20"/>
                <w:color w:val="auto"/>
              </w:rPr>
            </w:pPr>
            <w:r>
              <w:rPr>
                <w:rFonts w:ascii="Arial" w:cs="Arial" w:eastAsia="Arial" w:hAnsi="Arial"/>
                <w:sz w:val="17"/>
                <w:szCs w:val="17"/>
                <w:color w:val="auto"/>
              </w:rPr>
              <w:t>(97)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4"/>
          </w:tcPr>
          <w:p>
            <w:pPr>
              <w:jc w:val="right"/>
              <w:ind w:right="440"/>
              <w:spacing w:after="0"/>
              <w:rPr>
                <w:sz w:val="20"/>
                <w:szCs w:val="20"/>
                <w:color w:val="auto"/>
              </w:rPr>
            </w:pPr>
            <w:r>
              <w:rPr>
                <w:rFonts w:ascii="Arial" w:cs="Arial" w:eastAsia="Arial" w:hAnsi="Arial"/>
                <w:sz w:val="17"/>
                <w:szCs w:val="17"/>
                <w:color w:val="auto"/>
              </w:rPr>
              <w:t>(2,051)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5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Private equity: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840"/>
              <w:spacing w:after="0"/>
              <w:rPr>
                <w:sz w:val="20"/>
                <w:szCs w:val="20"/>
                <w:color w:val="auto"/>
              </w:rPr>
            </w:pPr>
            <w:r>
              <w:rPr>
                <w:rFonts w:ascii="Arial" w:cs="Arial" w:eastAsia="Arial" w:hAnsi="Arial"/>
                <w:sz w:val="17"/>
                <w:szCs w:val="17"/>
                <w:color w:val="auto"/>
              </w:rPr>
              <w:t>Investments owned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7"/>
                <w:szCs w:val="17"/>
                <w:color w:val="auto"/>
                <w:w w:val="88"/>
              </w:rPr>
              <w:t>83,931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360"/>
              <w:spacing w:after="0"/>
              <w:rPr>
                <w:sz w:val="20"/>
                <w:szCs w:val="20"/>
                <w:color w:val="auto"/>
              </w:rPr>
            </w:pPr>
            <w:r>
              <w:rPr>
                <w:rFonts w:ascii="Arial" w:cs="Arial" w:eastAsia="Arial" w:hAnsi="Arial"/>
                <w:sz w:val="17"/>
                <w:szCs w:val="17"/>
                <w:color w:val="auto"/>
              </w:rPr>
              <w:t>2,769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jc w:val="right"/>
              <w:ind w:right="500"/>
              <w:spacing w:after="0"/>
              <w:rPr>
                <w:sz w:val="20"/>
                <w:szCs w:val="20"/>
                <w:color w:val="auto"/>
              </w:rPr>
            </w:pPr>
            <w:r>
              <w:rPr>
                <w:rFonts w:ascii="Arial" w:cs="Arial" w:eastAsia="Arial" w:hAnsi="Arial"/>
                <w:sz w:val="17"/>
                <w:szCs w:val="17"/>
                <w:color w:val="auto"/>
              </w:rPr>
              <w:t>11,932</w:t>
            </w:r>
          </w:p>
        </w:tc>
        <w:tc>
          <w:tcPr>
            <w:tcW w:w="80" w:type="dxa"/>
            <w:vAlign w:val="bottom"/>
          </w:tcPr>
          <w:p>
            <w:pPr>
              <w:spacing w:after="0"/>
              <w:rPr>
                <w:sz w:val="18"/>
                <w:szCs w:val="18"/>
                <w:color w:val="auto"/>
              </w:rPr>
            </w:pPr>
          </w:p>
        </w:tc>
        <w:tc>
          <w:tcPr>
            <w:tcW w:w="640" w:type="dxa"/>
            <w:vAlign w:val="bottom"/>
            <w:gridSpan w:val="2"/>
          </w:tcPr>
          <w:p>
            <w:pPr>
              <w:jc w:val="center"/>
              <w:ind w:left="180"/>
              <w:spacing w:after="0"/>
              <w:rPr>
                <w:sz w:val="20"/>
                <w:szCs w:val="20"/>
                <w:color w:val="auto"/>
              </w:rPr>
            </w:pPr>
            <w:r>
              <w:rPr>
                <w:rFonts w:ascii="Arial" w:cs="Arial" w:eastAsia="Arial" w:hAnsi="Arial"/>
                <w:sz w:val="17"/>
                <w:szCs w:val="17"/>
                <w:color w:val="auto"/>
                <w:w w:val="89"/>
              </w:rPr>
              <w:t>1,539</w:t>
            </w:r>
          </w:p>
        </w:tc>
        <w:tc>
          <w:tcPr>
            <w:tcW w:w="4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100,171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6"/>
              </w:rPr>
              <w:t>Investments consolidated, but owned by noncontrolling interests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3,824</w:t>
            </w:r>
          </w:p>
        </w:tc>
        <w:tc>
          <w:tcPr>
            <w:tcW w:w="3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7"/>
                <w:szCs w:val="17"/>
                <w:color w:val="auto"/>
              </w:rPr>
              <w:t>31,919</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35,743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420"/>
              <w:spacing w:after="0"/>
              <w:rPr>
                <w:sz w:val="20"/>
                <w:szCs w:val="20"/>
                <w:color w:val="auto"/>
              </w:rPr>
            </w:pPr>
            <w:r>
              <w:rPr>
                <w:rFonts w:ascii="Arial" w:cs="Arial" w:eastAsia="Arial" w:hAnsi="Arial"/>
                <w:sz w:val="17"/>
                <w:szCs w:val="17"/>
                <w:color w:val="auto"/>
              </w:rPr>
              <w:t>Total Level 3 Assets</w:t>
            </w:r>
          </w:p>
        </w:tc>
        <w:tc>
          <w:tcPr>
            <w:tcW w:w="340" w:type="dxa"/>
            <w:vAlign w:val="bottom"/>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20" w:type="dxa"/>
            <w:vAlign w:val="bottom"/>
            <w:vMerge w:val="continue"/>
          </w:tcPr>
          <w:p>
            <w:pPr>
              <w:spacing w:after="0"/>
              <w:rPr>
                <w:sz w:val="18"/>
                <w:szCs w:val="18"/>
                <w:color w:val="auto"/>
              </w:rPr>
            </w:pPr>
          </w:p>
        </w:tc>
        <w:tc>
          <w:tcPr>
            <w:tcW w:w="340" w:type="dxa"/>
            <w:vAlign w:val="bottom"/>
            <w:gridSpan w:val="2"/>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7"/>
                <w:szCs w:val="17"/>
                <w:color w:val="auto"/>
                <w:w w:val="84"/>
              </w:rPr>
              <w:t>$ 86,384</w:t>
            </w: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6,496</w:t>
            </w:r>
          </w:p>
        </w:tc>
        <w:tc>
          <w:tcPr>
            <w:tcW w:w="3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4"/>
          </w:tcPr>
          <w:p>
            <w:pPr>
              <w:jc w:val="right"/>
              <w:ind w:right="500"/>
              <w:spacing w:after="0"/>
              <w:rPr>
                <w:sz w:val="20"/>
                <w:szCs w:val="20"/>
                <w:color w:val="auto"/>
              </w:rPr>
            </w:pPr>
            <w:r>
              <w:rPr>
                <w:rFonts w:ascii="Arial" w:cs="Arial" w:eastAsia="Arial" w:hAnsi="Arial"/>
                <w:sz w:val="17"/>
                <w:szCs w:val="17"/>
                <w:color w:val="auto"/>
              </w:rPr>
              <w:t>41,800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center"/>
              <w:ind w:left="180"/>
              <w:spacing w:after="0"/>
              <w:rPr>
                <w:sz w:val="20"/>
                <w:szCs w:val="20"/>
                <w:color w:val="auto"/>
              </w:rPr>
            </w:pPr>
            <w:r>
              <w:rPr>
                <w:rFonts w:ascii="Arial" w:cs="Arial" w:eastAsia="Arial" w:hAnsi="Arial"/>
                <w:sz w:val="17"/>
                <w:szCs w:val="17"/>
                <w:color w:val="auto"/>
                <w:w w:val="89"/>
              </w:rPr>
              <w:t>1,539</w:t>
            </w:r>
          </w:p>
        </w:tc>
        <w:tc>
          <w:tcPr>
            <w:tcW w:w="4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136,219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tcPr>
          <w:p>
            <w:pPr>
              <w:jc w:val="right"/>
              <w:ind w:right="180"/>
              <w:spacing w:after="0"/>
              <w:rPr>
                <w:sz w:val="20"/>
                <w:szCs w:val="20"/>
                <w:color w:val="auto"/>
              </w:rPr>
            </w:pPr>
            <w:r>
              <w:rPr>
                <w:rFonts w:ascii="Arial" w:cs="Arial" w:eastAsia="Arial" w:hAnsi="Arial"/>
                <w:sz w:val="13"/>
                <w:szCs w:val="13"/>
                <w:b w:val="1"/>
                <w:bCs w:val="1"/>
                <w:color w:val="auto"/>
              </w:rPr>
              <w:t>Year Ended December 31, 2008</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4"/>
          </w:tcPr>
          <w:p>
            <w:pPr>
              <w:jc w:val="center"/>
              <w:ind w:right="860"/>
              <w:spacing w:after="0" w:line="124" w:lineRule="exact"/>
              <w:rPr>
                <w:sz w:val="20"/>
                <w:szCs w:val="20"/>
                <w:color w:val="auto"/>
              </w:rPr>
            </w:pPr>
            <w:r>
              <w:rPr>
                <w:rFonts w:ascii="Arial" w:cs="Arial" w:eastAsia="Arial" w:hAnsi="Arial"/>
                <w:sz w:val="13"/>
                <w:szCs w:val="13"/>
                <w:b w:val="1"/>
                <w:bCs w:val="1"/>
                <w:color w:val="auto"/>
                <w:w w:val="95"/>
              </w:rPr>
              <w:t>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6"/>
          </w:tcPr>
          <w:p>
            <w:pPr>
              <w:jc w:val="center"/>
              <w:ind w:right="600"/>
              <w:spacing w:after="0" w:line="144" w:lineRule="exact"/>
              <w:rPr>
                <w:sz w:val="20"/>
                <w:szCs w:val="20"/>
                <w:color w:val="auto"/>
              </w:rPr>
            </w:pPr>
            <w:r>
              <w:rPr>
                <w:rFonts w:ascii="Arial" w:cs="Arial" w:eastAsia="Arial" w:hAnsi="Arial"/>
                <w:sz w:val="13"/>
                <w:szCs w:val="13"/>
                <w:b w:val="1"/>
                <w:bCs w:val="1"/>
                <w:color w:val="auto"/>
                <w:w w:val="93"/>
              </w:rPr>
              <w:t>Net Unrealized/</w:t>
            </w:r>
          </w:p>
        </w:tc>
        <w:tc>
          <w:tcPr>
            <w:tcW w:w="1320" w:type="dxa"/>
            <w:vAlign w:val="bottom"/>
            <w:gridSpan w:val="6"/>
          </w:tcPr>
          <w:p>
            <w:pPr>
              <w:jc w:val="center"/>
              <w:ind w:right="640"/>
              <w:spacing w:after="0" w:line="144" w:lineRule="exact"/>
              <w:rPr>
                <w:sz w:val="20"/>
                <w:szCs w:val="20"/>
                <w:color w:val="auto"/>
              </w:rPr>
            </w:pPr>
            <w:r>
              <w:rPr>
                <w:rFonts w:ascii="Arial" w:cs="Arial" w:eastAsia="Arial" w:hAnsi="Arial"/>
                <w:sz w:val="13"/>
                <w:szCs w:val="13"/>
                <w:b w:val="1"/>
                <w:bCs w:val="1"/>
                <w:color w:val="auto"/>
                <w:w w:val="86"/>
              </w:rPr>
              <w:t>Purchases,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5"/>
          </w:tcPr>
          <w:p>
            <w:pPr>
              <w:jc w:val="center"/>
              <w:ind w:right="800"/>
              <w:spacing w:after="0" w:line="144" w:lineRule="exact"/>
              <w:rPr>
                <w:sz w:val="20"/>
                <w:szCs w:val="20"/>
                <w:color w:val="auto"/>
              </w:rPr>
            </w:pPr>
            <w:r>
              <w:rPr>
                <w:rFonts w:ascii="Arial" w:cs="Arial" w:eastAsia="Arial" w:hAnsi="Arial"/>
                <w:sz w:val="13"/>
                <w:szCs w:val="13"/>
                <w:b w:val="1"/>
                <w:bCs w:val="1"/>
                <w:color w:val="auto"/>
                <w:w w:val="83"/>
              </w:rPr>
              <w:t>Realized</w:t>
            </w:r>
          </w:p>
        </w:tc>
        <w:tc>
          <w:tcPr>
            <w:tcW w:w="1320" w:type="dxa"/>
            <w:vAlign w:val="bottom"/>
            <w:gridSpan w:val="6"/>
          </w:tcPr>
          <w:p>
            <w:pPr>
              <w:jc w:val="center"/>
              <w:ind w:right="660"/>
              <w:spacing w:after="0" w:line="144" w:lineRule="exact"/>
              <w:rPr>
                <w:sz w:val="20"/>
                <w:szCs w:val="20"/>
                <w:color w:val="auto"/>
              </w:rPr>
            </w:pPr>
            <w:r>
              <w:rPr>
                <w:rFonts w:ascii="Arial" w:cs="Arial" w:eastAsia="Arial" w:hAnsi="Arial"/>
                <w:sz w:val="13"/>
                <w:szCs w:val="13"/>
                <w:b w:val="1"/>
                <w:bCs w:val="1"/>
                <w:color w:val="auto"/>
                <w:w w:val="85"/>
              </w:rPr>
              <w:t>Issuances</w:t>
            </w:r>
          </w:p>
        </w:tc>
        <w:tc>
          <w:tcPr>
            <w:tcW w:w="80" w:type="dxa"/>
            <w:vAlign w:val="bottom"/>
          </w:tcPr>
          <w:p>
            <w:pPr>
              <w:spacing w:after="0"/>
              <w:rPr>
                <w:sz w:val="12"/>
                <w:szCs w:val="12"/>
                <w:color w:val="auto"/>
              </w:rPr>
            </w:pPr>
          </w:p>
        </w:tc>
        <w:tc>
          <w:tcPr>
            <w:tcW w:w="1120" w:type="dxa"/>
            <w:vAlign w:val="bottom"/>
            <w:gridSpan w:val="3"/>
          </w:tcPr>
          <w:p>
            <w:pPr>
              <w:jc w:val="center"/>
              <w:ind w:right="620"/>
              <w:spacing w:after="0" w:line="144" w:lineRule="exact"/>
              <w:rPr>
                <w:sz w:val="20"/>
                <w:szCs w:val="20"/>
                <w:color w:val="auto"/>
              </w:rPr>
            </w:pPr>
            <w:r>
              <w:rPr>
                <w:rFonts w:ascii="Arial" w:cs="Arial" w:eastAsia="Arial" w:hAnsi="Arial"/>
                <w:sz w:val="13"/>
                <w:szCs w:val="13"/>
                <w:b w:val="1"/>
                <w:bCs w:val="1"/>
                <w:color w:val="auto"/>
                <w:w w:val="88"/>
              </w:rPr>
              <w:t>Foreign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6"/>
          </w:tcPr>
          <w:p>
            <w:pPr>
              <w:jc w:val="center"/>
              <w:ind w:right="600"/>
              <w:spacing w:after="0" w:line="144" w:lineRule="exact"/>
              <w:rPr>
                <w:sz w:val="20"/>
                <w:szCs w:val="20"/>
                <w:color w:val="auto"/>
              </w:rPr>
            </w:pPr>
            <w:r>
              <w:rPr>
                <w:rFonts w:ascii="Arial" w:cs="Arial" w:eastAsia="Arial" w:hAnsi="Arial"/>
                <w:sz w:val="13"/>
                <w:szCs w:val="13"/>
                <w:b w:val="1"/>
                <w:bCs w:val="1"/>
                <w:color w:val="auto"/>
                <w:w w:val="85"/>
              </w:rPr>
              <w:t>Gains (Losses)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840"/>
              <w:spacing w:after="0" w:line="144" w:lineRule="exact"/>
              <w:rPr>
                <w:sz w:val="20"/>
                <w:szCs w:val="20"/>
                <w:color w:val="auto"/>
              </w:rPr>
            </w:pPr>
            <w:r>
              <w:rPr>
                <w:rFonts w:ascii="Arial" w:cs="Arial" w:eastAsia="Arial" w:hAnsi="Arial"/>
                <w:sz w:val="13"/>
                <w:szCs w:val="13"/>
                <w:b w:val="1"/>
                <w:bCs w:val="1"/>
                <w:color w:val="auto"/>
                <w:w w:val="94"/>
              </w:rPr>
              <w:t>and</w:t>
            </w:r>
          </w:p>
        </w:tc>
        <w:tc>
          <w:tcPr>
            <w:tcW w:w="1200" w:type="dxa"/>
            <w:vAlign w:val="bottom"/>
            <w:gridSpan w:val="4"/>
          </w:tcPr>
          <w:p>
            <w:pPr>
              <w:jc w:val="center"/>
              <w:ind w:right="540"/>
              <w:spacing w:after="0" w:line="144" w:lineRule="exact"/>
              <w:rPr>
                <w:sz w:val="20"/>
                <w:szCs w:val="20"/>
                <w:color w:val="auto"/>
              </w:rPr>
            </w:pPr>
            <w:r>
              <w:rPr>
                <w:rFonts w:ascii="Arial" w:cs="Arial" w:eastAsia="Arial" w:hAnsi="Arial"/>
                <w:sz w:val="13"/>
                <w:szCs w:val="13"/>
                <w:b w:val="1"/>
                <w:bCs w:val="1"/>
                <w:color w:val="auto"/>
                <w:w w:val="94"/>
              </w:rPr>
              <w:t>Currency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1040" w:type="dxa"/>
            <w:vAlign w:val="bottom"/>
            <w:gridSpan w:val="7"/>
          </w:tcPr>
          <w:p>
            <w:pPr>
              <w:jc w:val="center"/>
              <w:ind w:right="460"/>
              <w:spacing w:after="0" w:line="144" w:lineRule="exact"/>
              <w:rPr>
                <w:sz w:val="20"/>
                <w:szCs w:val="20"/>
                <w:color w:val="auto"/>
              </w:rPr>
            </w:pPr>
            <w:r>
              <w:rPr>
                <w:rFonts w:ascii="Arial" w:cs="Arial" w:eastAsia="Arial" w:hAnsi="Arial"/>
                <w:sz w:val="13"/>
                <w:szCs w:val="13"/>
                <w:b w:val="1"/>
                <w:bCs w:val="1"/>
                <w:color w:val="auto"/>
                <w:w w:val="91"/>
              </w:rPr>
              <w:t>Beginning</w:t>
            </w:r>
          </w:p>
        </w:tc>
        <w:tc>
          <w:tcPr>
            <w:tcW w:w="120" w:type="dxa"/>
            <w:vAlign w:val="bottom"/>
          </w:tcPr>
          <w:p>
            <w:pPr>
              <w:spacing w:after="0"/>
              <w:rPr>
                <w:sz w:val="12"/>
                <w:szCs w:val="12"/>
                <w:color w:val="auto"/>
              </w:rPr>
            </w:pPr>
          </w:p>
        </w:tc>
        <w:tc>
          <w:tcPr>
            <w:tcW w:w="1480" w:type="dxa"/>
            <w:vAlign w:val="bottom"/>
            <w:gridSpan w:val="6"/>
          </w:tcPr>
          <w:p>
            <w:pPr>
              <w:jc w:val="center"/>
              <w:ind w:right="600"/>
              <w:spacing w:after="0" w:line="144" w:lineRule="exact"/>
              <w:rPr>
                <w:sz w:val="20"/>
                <w:szCs w:val="20"/>
                <w:color w:val="auto"/>
              </w:rPr>
            </w:pPr>
            <w:r>
              <w:rPr>
                <w:rFonts w:ascii="Arial" w:cs="Arial" w:eastAsia="Arial" w:hAnsi="Arial"/>
                <w:sz w:val="13"/>
                <w:szCs w:val="13"/>
                <w:b w:val="1"/>
                <w:bCs w:val="1"/>
                <w:color w:val="auto"/>
                <w:w w:val="93"/>
              </w:rPr>
              <w:t>Included In</w:t>
            </w:r>
          </w:p>
        </w:tc>
        <w:tc>
          <w:tcPr>
            <w:tcW w:w="1320" w:type="dxa"/>
            <w:vAlign w:val="bottom"/>
            <w:gridSpan w:val="6"/>
          </w:tcPr>
          <w:p>
            <w:pPr>
              <w:jc w:val="center"/>
              <w:ind w:right="640"/>
              <w:spacing w:after="0" w:line="144" w:lineRule="exact"/>
              <w:rPr>
                <w:sz w:val="20"/>
                <w:szCs w:val="20"/>
                <w:color w:val="auto"/>
              </w:rPr>
            </w:pPr>
            <w:r>
              <w:rPr>
                <w:rFonts w:ascii="Arial" w:cs="Arial" w:eastAsia="Arial" w:hAnsi="Arial"/>
                <w:sz w:val="13"/>
                <w:szCs w:val="13"/>
                <w:b w:val="1"/>
                <w:bCs w:val="1"/>
                <w:color w:val="auto"/>
                <w:w w:val="87"/>
              </w:rPr>
              <w:t>Settlements/</w:t>
            </w:r>
          </w:p>
        </w:tc>
        <w:tc>
          <w:tcPr>
            <w:tcW w:w="1200" w:type="dxa"/>
            <w:vAlign w:val="bottom"/>
            <w:gridSpan w:val="4"/>
          </w:tcPr>
          <w:p>
            <w:pPr>
              <w:jc w:val="center"/>
              <w:ind w:right="520"/>
              <w:spacing w:after="0" w:line="144" w:lineRule="exact"/>
              <w:rPr>
                <w:sz w:val="20"/>
                <w:szCs w:val="20"/>
                <w:color w:val="auto"/>
              </w:rPr>
            </w:pPr>
            <w:r>
              <w:rPr>
                <w:rFonts w:ascii="Arial" w:cs="Arial" w:eastAsia="Arial" w:hAnsi="Arial"/>
                <w:sz w:val="13"/>
                <w:szCs w:val="13"/>
                <w:b w:val="1"/>
                <w:bCs w:val="1"/>
                <w:color w:val="auto"/>
                <w:w w:val="91"/>
              </w:rPr>
              <w:t>Translation</w:t>
            </w:r>
          </w:p>
        </w:tc>
        <w:tc>
          <w:tcPr>
            <w:tcW w:w="100" w:type="dxa"/>
            <w:vAlign w:val="bottom"/>
          </w:tcPr>
          <w:p>
            <w:pPr>
              <w:spacing w:after="0"/>
              <w:rPr>
                <w:sz w:val="12"/>
                <w:szCs w:val="12"/>
                <w:color w:val="auto"/>
              </w:rPr>
            </w:pPr>
          </w:p>
        </w:tc>
        <w:tc>
          <w:tcPr>
            <w:tcW w:w="640" w:type="dxa"/>
            <w:vAlign w:val="bottom"/>
            <w:gridSpan w:val="3"/>
          </w:tcPr>
          <w:p>
            <w:pPr>
              <w:ind w:left="60"/>
              <w:spacing w:after="0" w:line="144"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1040" w:type="dxa"/>
            <w:vAlign w:val="bottom"/>
            <w:gridSpan w:val="7"/>
          </w:tcPr>
          <w:p>
            <w:pPr>
              <w:jc w:val="center"/>
              <w:ind w:right="440"/>
              <w:spacing w:after="0"/>
              <w:rPr>
                <w:sz w:val="20"/>
                <w:szCs w:val="20"/>
                <w:color w:val="auto"/>
              </w:rPr>
            </w:pPr>
            <w:r>
              <w:rPr>
                <w:rFonts w:ascii="Arial" w:cs="Arial" w:eastAsia="Arial" w:hAnsi="Arial"/>
                <w:sz w:val="13"/>
                <w:szCs w:val="13"/>
                <w:b w:val="1"/>
                <w:bCs w:val="1"/>
                <w:color w:val="auto"/>
                <w:w w:val="88"/>
              </w:rPr>
              <w:t>Balance</w:t>
            </w:r>
          </w:p>
        </w:tc>
        <w:tc>
          <w:tcPr>
            <w:tcW w:w="120" w:type="dxa"/>
            <w:vAlign w:val="bottom"/>
          </w:tcPr>
          <w:p>
            <w:pPr>
              <w:spacing w:after="0"/>
              <w:rPr>
                <w:sz w:val="13"/>
                <w:szCs w:val="13"/>
                <w:color w:val="auto"/>
              </w:rPr>
            </w:pPr>
          </w:p>
        </w:tc>
        <w:tc>
          <w:tcPr>
            <w:tcW w:w="1480" w:type="dxa"/>
            <w:vAlign w:val="bottom"/>
            <w:gridSpan w:val="6"/>
          </w:tcPr>
          <w:p>
            <w:pPr>
              <w:jc w:val="center"/>
              <w:ind w:right="580"/>
              <w:spacing w:after="0"/>
              <w:rPr>
                <w:sz w:val="20"/>
                <w:szCs w:val="20"/>
                <w:color w:val="auto"/>
              </w:rPr>
            </w:pPr>
            <w:r>
              <w:rPr>
                <w:rFonts w:ascii="Arial" w:cs="Arial" w:eastAsia="Arial" w:hAnsi="Arial"/>
                <w:sz w:val="13"/>
                <w:szCs w:val="13"/>
                <w:b w:val="1"/>
                <w:bCs w:val="1"/>
                <w:color w:val="auto"/>
                <w:w w:val="92"/>
              </w:rPr>
              <w:t>Revenue-Other</w:t>
            </w:r>
          </w:p>
        </w:tc>
        <w:tc>
          <w:tcPr>
            <w:tcW w:w="1320" w:type="dxa"/>
            <w:vAlign w:val="bottom"/>
            <w:gridSpan w:val="6"/>
          </w:tcPr>
          <w:p>
            <w:pPr>
              <w:jc w:val="center"/>
              <w:ind w:right="620"/>
              <w:spacing w:after="0"/>
              <w:rPr>
                <w:sz w:val="20"/>
                <w:szCs w:val="20"/>
                <w:color w:val="auto"/>
              </w:rPr>
            </w:pPr>
            <w:r>
              <w:rPr>
                <w:rFonts w:ascii="Arial" w:cs="Arial" w:eastAsia="Arial" w:hAnsi="Arial"/>
                <w:sz w:val="13"/>
                <w:szCs w:val="13"/>
                <w:b w:val="1"/>
                <w:bCs w:val="1"/>
                <w:color w:val="auto"/>
                <w:w w:val="89"/>
              </w:rPr>
              <w:t>Acquisitions</w:t>
            </w:r>
          </w:p>
        </w:tc>
        <w:tc>
          <w:tcPr>
            <w:tcW w:w="1200" w:type="dxa"/>
            <w:vAlign w:val="bottom"/>
            <w:gridSpan w:val="4"/>
          </w:tcPr>
          <w:p>
            <w:pPr>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Investments:</w:t>
            </w: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420"/>
              <w:spacing w:after="0"/>
              <w:rPr>
                <w:sz w:val="20"/>
                <w:szCs w:val="20"/>
                <w:color w:val="auto"/>
              </w:rPr>
            </w:pPr>
            <w:r>
              <w:rPr>
                <w:rFonts w:ascii="Arial" w:cs="Arial" w:eastAsia="Arial" w:hAnsi="Arial"/>
                <w:sz w:val="17"/>
                <w:szCs w:val="17"/>
                <w:color w:val="auto"/>
              </w:rPr>
              <w:t>Equities</w:t>
            </w:r>
          </w:p>
        </w:tc>
        <w:tc>
          <w:tcPr>
            <w:tcW w:w="580" w:type="dxa"/>
            <w:vAlign w:val="bottom"/>
            <w:gridSpan w:val="4"/>
          </w:tcPr>
          <w:p>
            <w:pPr>
              <w:jc w:val="right"/>
              <w:spacing w:after="0"/>
              <w:rPr>
                <w:sz w:val="20"/>
                <w:szCs w:val="20"/>
                <w:color w:val="auto"/>
              </w:rPr>
            </w:pPr>
            <w:r>
              <w:rPr>
                <w:rFonts w:ascii="Arial" w:cs="Arial" w:eastAsia="Arial" w:hAnsi="Arial"/>
                <w:sz w:val="17"/>
                <w:szCs w:val="17"/>
                <w:color w:val="auto"/>
                <w:w w:val="91"/>
              </w:rPr>
              <w:t>$  4,469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7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(1,944)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60"/>
              <w:spacing w:after="0"/>
              <w:rPr>
                <w:sz w:val="20"/>
                <w:szCs w:val="20"/>
                <w:color w:val="auto"/>
              </w:rPr>
            </w:pPr>
            <w:r>
              <w:rPr>
                <w:rFonts w:ascii="Arial" w:cs="Arial" w:eastAsia="Arial" w:hAnsi="Arial"/>
                <w:sz w:val="17"/>
                <w:szCs w:val="17"/>
                <w:color w:val="auto"/>
              </w:rPr>
              <w:t>(284)</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Private equity investments owned</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74,051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w w:val="91"/>
              </w:rPr>
              <w:t>(12,391)</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25,733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(3,462)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83,931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420"/>
              <w:spacing w:after="0"/>
              <w:rPr>
                <w:sz w:val="20"/>
                <w:szCs w:val="20"/>
                <w:color w:val="auto"/>
              </w:rPr>
            </w:pPr>
            <w:r>
              <w:rPr>
                <w:rFonts w:ascii="Arial" w:cs="Arial" w:eastAsia="Arial" w:hAnsi="Arial"/>
                <w:sz w:val="17"/>
                <w:szCs w:val="17"/>
                <w:color w:val="auto"/>
              </w:rPr>
              <w:t>Total Level 3 Assets</w:t>
            </w:r>
          </w:p>
        </w:tc>
        <w:tc>
          <w:tcPr>
            <w:tcW w:w="58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20" w:type="dxa"/>
            <w:vAlign w:val="bottom"/>
            <w:vMerge w:val="continue"/>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7"/>
                <w:szCs w:val="17"/>
                <w:color w:val="auto"/>
                <w:w w:val="84"/>
              </w:rPr>
              <w:t>$ 78,520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71"/>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740" w:type="dxa"/>
            <w:vAlign w:val="bottom"/>
            <w:gridSpan w:val="2"/>
          </w:tcPr>
          <w:p>
            <w:pPr>
              <w:jc w:val="right"/>
              <w:ind w:right="75"/>
              <w:spacing w:after="0"/>
              <w:rPr>
                <w:sz w:val="20"/>
                <w:szCs w:val="20"/>
                <w:color w:val="auto"/>
              </w:rPr>
            </w:pPr>
            <w:r>
              <w:rPr>
                <w:rFonts w:ascii="Arial" w:cs="Arial" w:eastAsia="Arial" w:hAnsi="Arial"/>
                <w:sz w:val="17"/>
                <w:szCs w:val="17"/>
                <w:color w:val="auto"/>
                <w:w w:val="91"/>
              </w:rPr>
              <w:t>(12,179)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23,789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60"/>
              <w:spacing w:after="0"/>
              <w:rPr>
                <w:sz w:val="20"/>
                <w:szCs w:val="20"/>
                <w:color w:val="auto"/>
              </w:rPr>
            </w:pPr>
            <w:r>
              <w:rPr>
                <w:rFonts w:ascii="Arial" w:cs="Arial" w:eastAsia="Arial" w:hAnsi="Arial"/>
                <w:sz w:val="17"/>
                <w:szCs w:val="17"/>
                <w:color w:val="auto"/>
              </w:rPr>
              <w:t>(3,746)</w:t>
            </w:r>
          </w:p>
        </w:tc>
        <w:tc>
          <w:tcPr>
            <w:tcW w:w="66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86,384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57"/>
        <w:spacing w:after="0" w:line="280" w:lineRule="auto"/>
        <w:rPr>
          <w:sz w:val="20"/>
          <w:szCs w:val="20"/>
          <w:color w:val="auto"/>
        </w:rPr>
      </w:pPr>
      <w:r>
        <w:rPr>
          <w:rFonts w:ascii="Arial" w:cs="Arial" w:eastAsia="Arial" w:hAnsi="Arial"/>
          <w:sz w:val="17"/>
          <w:szCs w:val="17"/>
          <w:color w:val="auto"/>
        </w:rPr>
        <w:t>There were net realized gains (losses) of $353, $(682) and $1,810 included in earnings during the years ended December 31, 2010, 2009 and 2008, respectively, with respect to Level 3 assets.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448" w:right="2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460" w:hanging="456"/>
        <w:spacing w:after="0"/>
        <w:tabs>
          <w:tab w:leader="none" w:pos="460" w:val="left"/>
        </w:tabs>
        <w:numPr>
          <w:ilvl w:val="0"/>
          <w:numId w:val="5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DERIVATIVES</w:t>
      </w:r>
    </w:p>
    <w:p>
      <w:pPr>
        <w:spacing w:after="0" w:line="79" w:lineRule="exact"/>
        <w:rPr>
          <w:sz w:val="20"/>
          <w:szCs w:val="20"/>
          <w:color w:val="auto"/>
        </w:rPr>
      </w:pPr>
    </w:p>
    <w:p>
      <w:pPr>
        <w:ind w:right="740" w:firstLine="457"/>
        <w:spacing w:after="0" w:line="280" w:lineRule="auto"/>
        <w:rPr>
          <w:sz w:val="20"/>
          <w:szCs w:val="20"/>
          <w:color w:val="auto"/>
        </w:rPr>
      </w:pPr>
      <w:r>
        <w:rPr>
          <w:rFonts w:ascii="Arial" w:cs="Arial" w:eastAsia="Arial" w:hAnsi="Arial"/>
          <w:sz w:val="17"/>
          <w:szCs w:val="17"/>
          <w:color w:val="auto"/>
        </w:rPr>
        <w:t>The table below represents the fair values of the Company’s derivative assets and liabilities reported within “other assets” and “other liabilities” on the accompanying consolidated statements of financial condition as of December 31, 2010 and 2009: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85"/>
              </w:rPr>
              <w:t>Designated</w:t>
            </w:r>
          </w:p>
        </w:tc>
        <w:tc>
          <w:tcPr>
            <w:tcW w:w="80" w:type="dxa"/>
            <w:vAlign w:val="bottom"/>
          </w:tcPr>
          <w:p>
            <w:pPr>
              <w:spacing w:after="0"/>
              <w:rPr>
                <w:sz w:val="13"/>
                <w:szCs w:val="13"/>
                <w:color w:val="auto"/>
              </w:rPr>
            </w:pPr>
          </w:p>
        </w:tc>
        <w:tc>
          <w:tcPr>
            <w:tcW w:w="14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Not Designated</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89"/>
              </w:rPr>
              <w:t>as Hedging Instruments</w:t>
            </w:r>
          </w:p>
        </w:tc>
        <w:tc>
          <w:tcPr>
            <w:tcW w:w="80" w:type="dxa"/>
            <w:vAlign w:val="bottom"/>
          </w:tcPr>
          <w:p>
            <w:pPr>
              <w:spacing w:after="0"/>
              <w:rPr>
                <w:sz w:val="13"/>
                <w:szCs w:val="13"/>
                <w:color w:val="auto"/>
              </w:rPr>
            </w:pPr>
          </w:p>
        </w:tc>
        <w:tc>
          <w:tcPr>
            <w:tcW w:w="14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9"/>
              </w:rPr>
              <w:t>as Hedging Instruments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6"/>
              </w:rPr>
              <w:t>Total</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3"/>
                <w:szCs w:val="13"/>
                <w:b w:val="1"/>
                <w:bCs w:val="1"/>
                <w:color w:val="auto"/>
                <w:w w:val="89"/>
              </w:rPr>
              <w:t>December 31,</w:t>
            </w: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3"/>
                <w:szCs w:val="13"/>
                <w:b w:val="1"/>
                <w:bCs w:val="1"/>
                <w:color w:val="auto"/>
                <w:w w:val="89"/>
              </w:rPr>
              <w:t>December 31,</w:t>
            </w:r>
          </w:p>
        </w:tc>
        <w:tc>
          <w:tcPr>
            <w:tcW w:w="320" w:type="dxa"/>
            <w:vAlign w:val="bottom"/>
          </w:tcPr>
          <w:p>
            <w:pPr>
              <w:spacing w:after="0"/>
              <w:rPr>
                <w:sz w:val="11"/>
                <w:szCs w:val="11"/>
                <w:color w:val="auto"/>
              </w:rPr>
            </w:pPr>
          </w:p>
        </w:tc>
        <w:tc>
          <w:tcPr>
            <w:tcW w:w="1480" w:type="dxa"/>
            <w:vAlign w:val="bottom"/>
            <w:gridSpan w:val="5"/>
          </w:tcPr>
          <w:p>
            <w:pPr>
              <w:ind w:left="300"/>
              <w:spacing w:after="0" w:line="137"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62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80"/>
              <w:spacing w:after="0" w:line="137" w:lineRule="exact"/>
              <w:rPr>
                <w:sz w:val="20"/>
                <w:szCs w:val="20"/>
                <w:color w:val="auto"/>
              </w:rPr>
            </w:pPr>
            <w:r>
              <w:rPr>
                <w:rFonts w:ascii="Arial" w:cs="Arial" w:eastAsia="Arial" w:hAnsi="Arial"/>
                <w:sz w:val="13"/>
                <w:szCs w:val="13"/>
                <w:b w:val="1"/>
                <w:bCs w:val="1"/>
                <w:color w:val="auto"/>
              </w:rPr>
              <w:t>2010</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ind w:left="60"/>
              <w:spacing w:after="0" w:line="137" w:lineRule="exact"/>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02"/>
              <w:spacing w:after="0" w:line="137" w:lineRule="exact"/>
              <w:rPr>
                <w:sz w:val="20"/>
                <w:szCs w:val="20"/>
                <w:color w:val="auto"/>
              </w:rPr>
            </w:pPr>
            <w:r>
              <w:rPr>
                <w:rFonts w:ascii="Arial" w:cs="Arial" w:eastAsia="Arial" w:hAnsi="Arial"/>
                <w:sz w:val="13"/>
                <w:szCs w:val="13"/>
                <w:b w:val="1"/>
                <w:bCs w:val="1"/>
                <w:color w:val="auto"/>
              </w:rPr>
              <w:t>2010</w:t>
            </w: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7"/>
              <w:spacing w:after="0" w:line="137" w:lineRule="exact"/>
              <w:rPr>
                <w:sz w:val="20"/>
                <w:szCs w:val="20"/>
                <w:color w:val="auto"/>
              </w:rPr>
            </w:pPr>
            <w:r>
              <w:rPr>
                <w:rFonts w:ascii="Arial" w:cs="Arial" w:eastAsia="Arial" w:hAnsi="Arial"/>
                <w:sz w:val="13"/>
                <w:szCs w:val="13"/>
                <w:b w:val="1"/>
                <w:bCs w:val="1"/>
                <w:color w:val="auto"/>
                <w:w w:val="96"/>
              </w:rPr>
              <w:t>2009</w:t>
            </w:r>
          </w:p>
        </w:tc>
        <w:tc>
          <w:tcPr>
            <w:tcW w:w="3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65"/>
              <w:spacing w:after="0" w:line="137" w:lineRule="exact"/>
              <w:rPr>
                <w:sz w:val="20"/>
                <w:szCs w:val="20"/>
                <w:color w:val="auto"/>
              </w:rPr>
            </w:pPr>
            <w:r>
              <w:rPr>
                <w:rFonts w:ascii="Arial" w:cs="Arial" w:eastAsia="Arial" w:hAnsi="Arial"/>
                <w:sz w:val="13"/>
                <w:szCs w:val="13"/>
                <w:b w:val="1"/>
                <w:bCs w:val="1"/>
                <w:color w:val="auto"/>
              </w:rPr>
              <w:t>2010</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Derivative Assets: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60" w:type="dxa"/>
            <w:vAlign w:val="bottom"/>
          </w:tcPr>
          <w:p>
            <w:pPr>
              <w:ind w:left="420"/>
              <w:spacing w:after="0"/>
              <w:rPr>
                <w:sz w:val="20"/>
                <w:szCs w:val="20"/>
                <w:color w:val="auto"/>
              </w:rPr>
            </w:pPr>
            <w:r>
              <w:rPr>
                <w:rFonts w:ascii="Arial" w:cs="Arial" w:eastAsia="Arial" w:hAnsi="Arial"/>
                <w:sz w:val="17"/>
                <w:szCs w:val="17"/>
                <w:color w:val="auto"/>
              </w:rPr>
              <w:t>Forward foreign currency exchange rate contracts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1,432</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836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$ 1,432</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rate swaps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60" w:type="dxa"/>
            <w:vAlign w:val="bottom"/>
          </w:tcPr>
          <w:p>
            <w:pPr>
              <w:ind w:left="420"/>
              <w:spacing w:after="0"/>
              <w:rPr>
                <w:sz w:val="20"/>
                <w:szCs w:val="20"/>
                <w:color w:val="auto"/>
              </w:rPr>
            </w:pPr>
            <w:r>
              <w:rPr>
                <w:rFonts w:ascii="Arial" w:cs="Arial" w:eastAsia="Arial" w:hAnsi="Arial"/>
                <w:sz w:val="17"/>
                <w:szCs w:val="17"/>
                <w:color w:val="auto"/>
              </w:rPr>
              <w:t>Equity swaps and other</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3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$ 1,874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7"/>
                <w:szCs w:val="17"/>
                <w:b w:val="1"/>
                <w:bCs w:val="1"/>
                <w:color w:val="auto"/>
              </w:rPr>
              <w:t>Derivative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Forward foreign currency exchange rate contracts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$ 2,151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ind w:left="420"/>
              <w:spacing w:after="0"/>
              <w:rPr>
                <w:sz w:val="20"/>
                <w:szCs w:val="20"/>
                <w:color w:val="auto"/>
              </w:rPr>
            </w:pPr>
            <w:r>
              <w:rPr>
                <w:rFonts w:ascii="Arial" w:cs="Arial" w:eastAsia="Arial" w:hAnsi="Arial"/>
                <w:sz w:val="17"/>
                <w:szCs w:val="17"/>
                <w:color w:val="auto"/>
              </w:rPr>
              <w:t>Interest rate swaps</w:t>
            </w:r>
          </w:p>
        </w:tc>
        <w:tc>
          <w:tcPr>
            <w:tcW w:w="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7"/>
                <w:szCs w:val="17"/>
                <w:color w:val="auto"/>
              </w:rPr>
              <w:t>14,147</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326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14,203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Equity swaps</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40"/>
              <w:spacing w:after="0"/>
              <w:rPr>
                <w:sz w:val="20"/>
                <w:szCs w:val="20"/>
                <w:color w:val="auto"/>
              </w:rPr>
            </w:pPr>
            <w:r>
              <w:rPr>
                <w:rFonts w:ascii="Arial" w:cs="Arial" w:eastAsia="Arial" w:hAnsi="Arial"/>
                <w:sz w:val="17"/>
                <w:szCs w:val="17"/>
                <w:color w:val="auto"/>
              </w:rPr>
              <w:t>14,147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3,230</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3,236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$ 3,230</w:t>
            </w:r>
          </w:p>
        </w:tc>
        <w:tc>
          <w:tcPr>
            <w:tcW w:w="4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17,383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Gains (losses) with respect to derivatives not designated as hedging instruments on the accompanying consolidated statements of operations for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2010 and 2009 (predominantly reflected in “revenue-other”), by type of derivative,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Year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9600" w:type="dxa"/>
            <w:vAlign w:val="bottom"/>
          </w:tcPr>
          <w:p>
            <w:pPr>
              <w:spacing w:after="0"/>
              <w:rPr>
                <w:sz w:val="13"/>
                <w:szCs w:val="13"/>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960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64"/>
              <w:spacing w:after="0" w:line="137" w:lineRule="exact"/>
              <w:rPr>
                <w:sz w:val="20"/>
                <w:szCs w:val="20"/>
                <w:color w:val="auto"/>
              </w:rPr>
            </w:pPr>
            <w:r>
              <w:rPr>
                <w:rFonts w:ascii="Arial" w:cs="Arial" w:eastAsia="Arial" w:hAnsi="Arial"/>
                <w:sz w:val="13"/>
                <w:szCs w:val="13"/>
                <w:b w:val="1"/>
                <w:bCs w:val="1"/>
                <w:color w:val="auto"/>
              </w:rPr>
              <w:t>2010</w:t>
            </w: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9"/>
              <w:spacing w:after="0" w:line="137"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r>
      <w:tr>
        <w:trPr>
          <w:trHeight w:val="202"/>
        </w:trPr>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Forward foreign currency exchange rate contracts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$ 2,291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3,311</w:t>
            </w:r>
          </w:p>
        </w:tc>
      </w:tr>
      <w:tr>
        <w:trPr>
          <w:trHeight w:val="209"/>
        </w:trPr>
        <w:tc>
          <w:tcPr>
            <w:tcW w:w="9600" w:type="dxa"/>
            <w:vAlign w:val="bottom"/>
          </w:tcPr>
          <w:p>
            <w:pPr>
              <w:spacing w:after="0"/>
              <w:rPr>
                <w:sz w:val="20"/>
                <w:szCs w:val="20"/>
                <w:color w:val="auto"/>
              </w:rPr>
            </w:pPr>
            <w:r>
              <w:rPr>
                <w:rFonts w:ascii="Arial" w:cs="Arial" w:eastAsia="Arial" w:hAnsi="Arial"/>
                <w:sz w:val="17"/>
                <w:szCs w:val="17"/>
                <w:color w:val="auto"/>
              </w:rPr>
              <w:t>Interest rate swaps</w:t>
            </w:r>
          </w:p>
        </w:tc>
        <w:tc>
          <w:tcPr>
            <w:tcW w:w="1100" w:type="dxa"/>
            <w:vAlign w:val="bottom"/>
            <w:gridSpan w:val="2"/>
          </w:tcPr>
          <w:p>
            <w:pPr>
              <w:jc w:val="right"/>
              <w:ind w:right="520"/>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625</w:t>
            </w:r>
          </w:p>
        </w:tc>
      </w:tr>
      <w:tr>
        <w:trPr>
          <w:trHeight w:val="209"/>
        </w:trPr>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Equity swaps and other</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(6,415)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(13,810)</w:t>
            </w:r>
          </w:p>
        </w:tc>
      </w:tr>
      <w:tr>
        <w:trPr>
          <w:trHeight w:val="20"/>
        </w:trPr>
        <w:tc>
          <w:tcPr>
            <w:tcW w:w="9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96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(4,418)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(9,874)</w:t>
            </w:r>
          </w:p>
        </w:tc>
      </w:tr>
      <w:tr>
        <w:trPr>
          <w:trHeight w:val="20"/>
        </w:trPr>
        <w:tc>
          <w:tcPr>
            <w:tcW w:w="9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57"/>
        <w:spacing w:after="0" w:line="292" w:lineRule="auto"/>
        <w:rPr>
          <w:sz w:val="20"/>
          <w:szCs w:val="20"/>
          <w:color w:val="auto"/>
        </w:rPr>
      </w:pPr>
      <w:r>
        <w:rPr>
          <w:rFonts w:ascii="Arial" w:cs="Arial" w:eastAsia="Arial" w:hAnsi="Arial"/>
          <w:sz w:val="16"/>
          <w:szCs w:val="16"/>
          <w:color w:val="auto"/>
        </w:rPr>
        <w:t>Derivatives designated as hedging instruments relate to interest rate swaps that hedged “available-for-sale” securities and had been accounted for as fair value hedges. For the years ended December 31, 2010 and 2009, the Company recognized pre-tax losses pertaining to interest rate swaps of $2,844 and $1,263, respectively. These losses were substantially offset by gains recognized on the hedged risk portion of such “available-for-sale” securities.</w:t>
      </w:r>
    </w:p>
    <w:p>
      <w:pPr>
        <w:spacing w:after="0" w:line="98" w:lineRule="exact"/>
        <w:rPr>
          <w:sz w:val="20"/>
          <w:szCs w:val="20"/>
          <w:color w:val="auto"/>
        </w:rPr>
      </w:pPr>
    </w:p>
    <w:p>
      <w:pPr>
        <w:ind w:left="460" w:hanging="456"/>
        <w:spacing w:after="0"/>
        <w:tabs>
          <w:tab w:leader="none" w:pos="460" w:val="left"/>
        </w:tabs>
        <w:numPr>
          <w:ilvl w:val="0"/>
          <w:numId w:val="5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LAM MERGER TRANSACTION</w:t>
      </w:r>
    </w:p>
    <w:p>
      <w:pPr>
        <w:spacing w:after="0" w:line="79" w:lineRule="exact"/>
        <w:rPr>
          <w:sz w:val="20"/>
          <w:szCs w:val="20"/>
          <w:color w:val="auto"/>
        </w:rPr>
      </w:pPr>
    </w:p>
    <w:p>
      <w:pPr>
        <w:jc w:val="both"/>
        <w:ind w:right="240" w:firstLine="457"/>
        <w:spacing w:after="0" w:line="268" w:lineRule="auto"/>
        <w:rPr>
          <w:sz w:val="20"/>
          <w:szCs w:val="20"/>
          <w:color w:val="auto"/>
        </w:rPr>
      </w:pPr>
      <w:r>
        <w:rPr>
          <w:rFonts w:ascii="Arial" w:cs="Arial" w:eastAsia="Arial" w:hAnsi="Arial"/>
          <w:sz w:val="17"/>
          <w:szCs w:val="17"/>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a certain specified fundamental transactions occur, were held by present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48" w:right="2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and former employees of LAM. Following the LAM Merger, all equity interests of LAM are owned directly or indirectly by LFNY. As a consequence of the LAM Merger, during the three month period ended September 30, 2008 the Company recorded compensation and benefits expense of $197,550 related to the equity interests of LAM held by present and former employees of LAM and $2,000 of non-compensation related transaction costs (together aggregating to a reduction of operating income of $199,550).</w:t>
      </w:r>
    </w:p>
    <w:p>
      <w:pPr>
        <w:spacing w:after="0" w:line="119" w:lineRule="exact"/>
        <w:rPr>
          <w:sz w:val="20"/>
          <w:szCs w:val="20"/>
          <w:color w:val="auto"/>
        </w:rPr>
      </w:pPr>
    </w:p>
    <w:p>
      <w:pPr>
        <w:ind w:right="60" w:firstLine="457"/>
        <w:spacing w:after="0" w:line="297" w:lineRule="auto"/>
        <w:rPr>
          <w:sz w:val="20"/>
          <w:szCs w:val="20"/>
          <w:color w:val="auto"/>
        </w:rPr>
      </w:pPr>
      <w:r>
        <w:rPr>
          <w:rFonts w:ascii="Arial" w:cs="Arial" w:eastAsia="Arial" w:hAnsi="Arial"/>
          <w:sz w:val="15"/>
          <w:szCs w:val="15"/>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the Company or a sale of LAM, any and all of the Transaction Consideration will be payable as of the date of such change in control. The related liabilities for the present value of the unpaid cash consideration have been recorded in the accompanying consolidated statements of financial condition in “accrued compensation and benefits” and “other liabilities”, and amounted to $15,152 and $71,394, respectively, as of December 31, 2010, and $14,252 and $65,308, respectively, as of December 31, 2009.</w:t>
      </w:r>
    </w:p>
    <w:p>
      <w:pPr>
        <w:spacing w:after="0" w:line="97" w:lineRule="exact"/>
        <w:rPr>
          <w:sz w:val="20"/>
          <w:szCs w:val="20"/>
          <w:color w:val="auto"/>
        </w:rPr>
      </w:pPr>
    </w:p>
    <w:p>
      <w:pPr>
        <w:ind w:left="460" w:hanging="456"/>
        <w:spacing w:after="0"/>
        <w:tabs>
          <w:tab w:leader="none" w:pos="460" w:val="left"/>
        </w:tabs>
        <w:numPr>
          <w:ilvl w:val="0"/>
          <w:numId w:val="5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BUSINESS ACQUISITIONS AND JOINT VENTURE INVESTMENT</w:t>
      </w:r>
    </w:p>
    <w:p>
      <w:pPr>
        <w:spacing w:after="0" w:line="79" w:lineRule="exact"/>
        <w:rPr>
          <w:sz w:val="20"/>
          <w:szCs w:val="20"/>
          <w:color w:val="auto"/>
        </w:rPr>
      </w:pPr>
    </w:p>
    <w:p>
      <w:pPr>
        <w:ind w:right="180" w:firstLine="457"/>
        <w:spacing w:after="0" w:line="285" w:lineRule="auto"/>
        <w:rPr>
          <w:sz w:val="20"/>
          <w:szCs w:val="20"/>
          <w:color w:val="auto"/>
        </w:rPr>
      </w:pPr>
      <w:r>
        <w:rPr>
          <w:rFonts w:ascii="Arial" w:cs="Arial" w:eastAsia="Arial" w:hAnsi="Arial"/>
          <w:sz w:val="16"/>
          <w:szCs w:val="16"/>
          <w:color w:val="auto"/>
        </w:rPr>
        <w:t>On July 15, 2009, the Company established a private equity business with Edgewater, a private equity firm based in Chicago, Illinois, through the Edgewater Acquisition. Following such acquisition, Edgewater’s current leadership team retained a substantial economic interest in such entities. Edgewater primarily manages middle market funds (the “underlying funds”). The acquisition was structured as a purchase by Lazard Group of interests in a holding company that in turn owns interests in the general partner and management company entities of the current Edgewater private equity funds.</w:t>
      </w:r>
    </w:p>
    <w:p>
      <w:pPr>
        <w:spacing w:after="0" w:line="105" w:lineRule="exact"/>
        <w:rPr>
          <w:sz w:val="20"/>
          <w:szCs w:val="20"/>
          <w:color w:val="auto"/>
        </w:rPr>
      </w:pPr>
    </w:p>
    <w:p>
      <w:pPr>
        <w:ind w:right="220" w:firstLine="457"/>
        <w:spacing w:after="0" w:line="262" w:lineRule="auto"/>
        <w:rPr>
          <w:sz w:val="20"/>
          <w:szCs w:val="20"/>
          <w:color w:val="auto"/>
        </w:rPr>
      </w:pPr>
      <w:r>
        <w:rPr>
          <w:rFonts w:ascii="Arial" w:cs="Arial" w:eastAsia="Arial" w:hAnsi="Arial"/>
          <w:sz w:val="17"/>
          <w:szCs w:val="17"/>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transfer restrictions and forfeiture provisions that lapse only upon the achievement of certain performance thresholds for the next Edgewater fund that must be met by July 15, 2011. The Earnout Shares will be issued only if certain performance thresholds for the next two Edgewater funds are met.</w:t>
      </w:r>
    </w:p>
    <w:p>
      <w:pPr>
        <w:spacing w:after="0" w:line="121" w:lineRule="exact"/>
        <w:rPr>
          <w:sz w:val="20"/>
          <w:szCs w:val="20"/>
          <w:color w:val="auto"/>
        </w:rPr>
      </w:pPr>
    </w:p>
    <w:p>
      <w:pPr>
        <w:ind w:right="80" w:firstLine="457"/>
        <w:spacing w:after="0" w:line="282" w:lineRule="auto"/>
        <w:rPr>
          <w:sz w:val="20"/>
          <w:szCs w:val="20"/>
          <w:color w:val="auto"/>
        </w:rPr>
      </w:pPr>
      <w:r>
        <w:rPr>
          <w:rFonts w:ascii="Arial" w:cs="Arial" w:eastAsia="Arial" w:hAnsi="Arial"/>
          <w:sz w:val="16"/>
          <w:szCs w:val="16"/>
          <w:color w:val="auto"/>
        </w:rPr>
        <w:t>The Edgewater Acquisition was accounted for under the acquisition method of accounting, whereby the results of the acquired business are included in our consolidated financial results from July 15, 2009, the effective date of the acquisition. As a result of the acquisition, we recorded net tangible assets, identifiable intangible assets and goodwill of $53,635 (consisting primarily of Edgewater’s investments in the underlying funds and cash), $56,200 and $61,630, respectively, which include amounts for Edgewater’s noncontrolling interests held (whose economic interests approximate 50%) aggregating $109,841. Goodwill pertaining to this acquisition is deductible for income tax purposes. See Note 11 of Notes to Consolidated Financial Statements for</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360"/>
          </w:cols>
          <w:pgMar w:left="240" w:top="448" w:right="29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additional information relating to goodwill and other intangible assets. The operating results relating to Edgewater are included in the Company’s Asset Management segment.</w:t>
      </w:r>
    </w:p>
    <w:p>
      <w:pPr>
        <w:spacing w:after="0" w:line="105"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 2007, the Company acquired Goldsmith, Agio, Helms &amp; Lynner, LLC (“GAHL”), a Minneapolis-based investment bank specializing in financial advisory services to mid-sized private companies, and Carnegie, Wylie &amp; Company (Holdings) PTY LTD (“CWC”), an Australia-based financial advisory firm.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December 31, 2010 and 2009, 1,295,029 and 662,015 shares of Class A common stock were issuable on a non-contingent basis, respectively. Additionally, at December 31, 2010 and 2009, 4,862 and 7,293 shares of Series A preferred stock, respectively, were convertible into Class A common shares on a non-contingent basis, with the number of Class A common shares dependent, in part, upon future prices of the Class A common stock. Depending upon the future performance of GAHL and CWC, at December 31, 2009, 948,631 shares of Class A common stock were contingently issuable and, at December 31, 2010 and 2009, 17,159 and 19,590 shares of Series A preferred stock, respectively, were contingently convertible into shares of Class A common stock. The Class A common stock described above related to the GAHL and CWC acquisitions is issuable over multi-year periods.</w:t>
      </w:r>
    </w:p>
    <w:p>
      <w:pPr>
        <w:spacing w:after="0" w:line="116" w:lineRule="exact"/>
        <w:rPr>
          <w:sz w:val="20"/>
          <w:szCs w:val="20"/>
          <w:color w:val="auto"/>
        </w:rPr>
      </w:pPr>
    </w:p>
    <w:p>
      <w:pPr>
        <w:ind w:right="380" w:firstLine="457"/>
        <w:spacing w:after="0" w:line="280" w:lineRule="auto"/>
        <w:rPr>
          <w:sz w:val="20"/>
          <w:szCs w:val="20"/>
          <w:color w:val="auto"/>
        </w:rPr>
      </w:pPr>
      <w:r>
        <w:rPr>
          <w:rFonts w:ascii="Arial" w:cs="Arial" w:eastAsia="Arial" w:hAnsi="Arial"/>
          <w:sz w:val="17"/>
          <w:szCs w:val="17"/>
          <w:color w:val="auto"/>
        </w:rPr>
        <w:t>On January 31, 2008, Lazard Group acquired a 50% interest in Merchant Bankers Asociados (“MBA”). The Company accounts for the investment in MBA using the equity method of accounting.</w:t>
      </w:r>
    </w:p>
    <w:p>
      <w:pPr>
        <w:spacing w:after="0" w:line="105" w:lineRule="exact"/>
        <w:rPr>
          <w:sz w:val="20"/>
          <w:szCs w:val="20"/>
          <w:color w:val="auto"/>
        </w:rPr>
      </w:pPr>
    </w:p>
    <w:p>
      <w:pPr>
        <w:ind w:left="380" w:hanging="376"/>
        <w:spacing w:after="0"/>
        <w:tabs>
          <w:tab w:leader="none" w:pos="380" w:val="left"/>
        </w:tabs>
        <w:numPr>
          <w:ilvl w:val="0"/>
          <w:numId w:val="5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PROPERTY-NET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2010 and 2009 property-net consists of the following:</w:t>
      </w:r>
    </w:p>
    <w:p>
      <w:pPr>
        <w:spacing w:after="0" w:line="147"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4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3"/>
              </w:rPr>
              <w:t>Estimated</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gridSpan w:val="5"/>
            <w:vMerge w:val="restart"/>
          </w:tcPr>
          <w:p>
            <w:pPr>
              <w:jc w:val="right"/>
              <w:ind w:right="7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78"/>
        </w:trPr>
        <w:tc>
          <w:tcPr>
            <w:tcW w:w="4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89"/>
              </w:rPr>
              <w:t>Depreciable</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1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580" w:type="dxa"/>
            <w:vAlign w:val="bottom"/>
            <w:gridSpan w:val="2"/>
          </w:tcPr>
          <w:p>
            <w:pPr>
              <w:jc w:val="center"/>
              <w:ind w:left="762"/>
              <w:spacing w:after="0"/>
              <w:rPr>
                <w:sz w:val="20"/>
                <w:szCs w:val="20"/>
                <w:color w:val="auto"/>
              </w:rPr>
            </w:pPr>
            <w:r>
              <w:rPr>
                <w:rFonts w:ascii="Arial" w:cs="Arial" w:eastAsia="Arial" w:hAnsi="Arial"/>
                <w:sz w:val="13"/>
                <w:szCs w:val="13"/>
                <w:b w:val="1"/>
                <w:bCs w:val="1"/>
                <w:color w:val="auto"/>
                <w:w w:val="90"/>
              </w:rPr>
              <w:t>Life in Years</w:t>
            </w:r>
          </w:p>
        </w:tc>
        <w:tc>
          <w:tcPr>
            <w:tcW w:w="1300" w:type="dxa"/>
            <w:vAlign w:val="bottom"/>
            <w:gridSpan w:val="3"/>
          </w:tcPr>
          <w:p>
            <w:pPr>
              <w:jc w:val="right"/>
              <w:ind w:right="142"/>
              <w:spacing w:after="0"/>
              <w:rPr>
                <w:sz w:val="20"/>
                <w:szCs w:val="20"/>
                <w:color w:val="auto"/>
              </w:rPr>
            </w:pPr>
            <w:r>
              <w:rPr>
                <w:rFonts w:ascii="Arial" w:cs="Arial" w:eastAsia="Arial" w:hAnsi="Arial"/>
                <w:sz w:val="13"/>
                <w:szCs w:val="13"/>
                <w:b w:val="1"/>
                <w:bCs w:val="1"/>
                <w:color w:val="auto"/>
              </w:rPr>
              <w:t>2010</w:t>
            </w:r>
          </w:p>
        </w:tc>
        <w:tc>
          <w:tcPr>
            <w:tcW w:w="320" w:type="dxa"/>
            <w:vAlign w:val="bottom"/>
          </w:tcPr>
          <w:p>
            <w:pPr>
              <w:spacing w:after="0"/>
              <w:rPr>
                <w:sz w:val="13"/>
                <w:szCs w:val="13"/>
                <w:color w:val="auto"/>
              </w:rPr>
            </w:pPr>
          </w:p>
        </w:tc>
        <w:tc>
          <w:tcPr>
            <w:tcW w:w="1000" w:type="dxa"/>
            <w:vAlign w:val="bottom"/>
            <w:gridSpan w:val="2"/>
          </w:tcPr>
          <w:p>
            <w:pPr>
              <w:jc w:val="right"/>
              <w:ind w:right="155"/>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Buildings</w:t>
            </w: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$ 168,711</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$ 181,679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5-20</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156,250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157,335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Furniture and equipment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600" w:type="dxa"/>
            <w:vAlign w:val="bottom"/>
            <w:gridSpan w:val="2"/>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76,461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420"/>
              <w:spacing w:after="0"/>
              <w:rPr>
                <w:sz w:val="20"/>
                <w:szCs w:val="20"/>
                <w:color w:val="auto"/>
              </w:rPr>
            </w:pPr>
            <w:r>
              <w:rPr>
                <w:rFonts w:ascii="Arial" w:cs="Arial" w:eastAsia="Arial" w:hAnsi="Arial"/>
                <w:sz w:val="17"/>
                <w:szCs w:val="17"/>
                <w:color w:val="auto"/>
              </w:rPr>
              <w:t>Total</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401,422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406,516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Less - Accumulated depreciation and amortization</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8"/>
              </w:rPr>
              <w:t>(250,898)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(239,603)</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7"/>
                <w:szCs w:val="17"/>
                <w:color w:val="auto"/>
              </w:rPr>
              <w:t>Property-net</w:t>
            </w: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$ 150,524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$ 166,913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i w:val="1"/>
          <w:iCs w:val="1"/>
          <w:color w:val="auto"/>
        </w:rPr>
        <w:t>11.</w:t>
      </w:r>
      <w:r>
        <w:rPr>
          <w:sz w:val="20"/>
          <w:szCs w:val="20"/>
          <w:color w:val="auto"/>
        </w:rPr>
        <w:tab/>
      </w:r>
      <w:r>
        <w:rPr>
          <w:rFonts w:ascii="Arial" w:cs="Arial" w:eastAsia="Arial" w:hAnsi="Arial"/>
          <w:sz w:val="16"/>
          <w:szCs w:val="16"/>
          <w:b w:val="1"/>
          <w:bCs w:val="1"/>
          <w:i w:val="1"/>
          <w:iCs w:val="1"/>
          <w:color w:val="auto"/>
        </w:rPr>
        <w:t>GOODWILL AND OTHER INTANGIBLE ASSETS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goodwill and other intangible assets at December 31, 2010 and 2009 are presented below:</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760" w:type="dxa"/>
            <w:vAlign w:val="bottom"/>
            <w:gridSpan w:val="4"/>
          </w:tcPr>
          <w:p>
            <w:pPr>
              <w:ind w:left="4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28"/>
              <w:spacing w:after="0" w:line="137" w:lineRule="exact"/>
              <w:rPr>
                <w:sz w:val="20"/>
                <w:szCs w:val="20"/>
                <w:color w:val="auto"/>
              </w:rPr>
            </w:pPr>
            <w:r>
              <w:rPr>
                <w:rFonts w:ascii="Arial" w:cs="Arial" w:eastAsia="Arial" w:hAnsi="Arial"/>
                <w:sz w:val="13"/>
                <w:szCs w:val="13"/>
                <w:b w:val="1"/>
                <w:bCs w:val="1"/>
                <w:color w:val="auto"/>
              </w:rPr>
              <w:t>2010</w:t>
            </w: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25"/>
              <w:spacing w:after="0" w:line="137" w:lineRule="exact"/>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$313,229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$261,703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color w:val="auto"/>
                <w:w w:val="96"/>
              </w:rPr>
              <w:t>Other intangible assets (net of accumulated amortization)</w:t>
            </w:r>
          </w:p>
        </w:tc>
        <w:tc>
          <w:tcPr>
            <w:tcW w:w="31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48,210</w:t>
            </w:r>
          </w:p>
        </w:tc>
        <w:tc>
          <w:tcPr>
            <w:tcW w:w="3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361,439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317,780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180" w:type="dxa"/>
            <w:vAlign w:val="bottom"/>
            <w:vMerge w:val="restart"/>
          </w:tcPr>
          <w:p>
            <w:pPr>
              <w:jc w:val="right"/>
              <w:ind w:right="2635"/>
              <w:spacing w:after="0"/>
              <w:rPr>
                <w:sz w:val="20"/>
                <w:szCs w:val="20"/>
                <w:color w:val="auto"/>
              </w:rPr>
            </w:pPr>
            <w:r>
              <w:rPr>
                <w:rFonts w:ascii="Arial" w:cs="Arial" w:eastAsia="Arial" w:hAnsi="Arial"/>
                <w:sz w:val="17"/>
                <w:szCs w:val="17"/>
                <w:color w:val="auto"/>
              </w:rPr>
              <w:t>99</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8" w:right="2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120" w:firstLine="457"/>
        <w:spacing w:after="0" w:line="280" w:lineRule="auto"/>
        <w:rPr>
          <w:sz w:val="20"/>
          <w:szCs w:val="20"/>
          <w:color w:val="auto"/>
        </w:rPr>
      </w:pPr>
      <w:r>
        <w:rPr>
          <w:rFonts w:ascii="Arial" w:cs="Arial" w:eastAsia="Arial" w:hAnsi="Arial"/>
          <w:sz w:val="17"/>
          <w:szCs w:val="17"/>
          <w:color w:val="auto"/>
        </w:rPr>
        <w:t>At December 31, 2010 and 2009, goodwill of $251,599 and $200,073, respectively, was attributable to the Company’s Financial Advisory segment and, at each such date, $61,630 of goodwill was attributable to the Company’s Asset Management segment.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Changes in the carrying amount of goodwill for the years ended December 31, 2010, 2009 and 2008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gridSpan w:val="6"/>
          </w:tcPr>
          <w:p>
            <w:pPr>
              <w:jc w:val="right"/>
              <w:ind w:right="72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128"/>
              <w:spacing w:after="0" w:line="137" w:lineRule="exact"/>
              <w:rPr>
                <w:sz w:val="20"/>
                <w:szCs w:val="20"/>
                <w:color w:val="auto"/>
              </w:rPr>
            </w:pPr>
            <w:r>
              <w:rPr>
                <w:rFonts w:ascii="Arial" w:cs="Arial" w:eastAsia="Arial" w:hAnsi="Arial"/>
                <w:sz w:val="13"/>
                <w:szCs w:val="13"/>
                <w:b w:val="1"/>
                <w:bCs w:val="1"/>
                <w:color w:val="auto"/>
              </w:rPr>
              <w:t>2010</w:t>
            </w: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25"/>
              <w:spacing w:after="0" w:line="137" w:lineRule="exact"/>
              <w:rPr>
                <w:sz w:val="20"/>
                <w:szCs w:val="20"/>
                <w:color w:val="auto"/>
              </w:rPr>
            </w:pPr>
            <w:r>
              <w:rPr>
                <w:rFonts w:ascii="Arial" w:cs="Arial" w:eastAsia="Arial" w:hAnsi="Arial"/>
                <w:sz w:val="13"/>
                <w:szCs w:val="13"/>
                <w:b w:val="1"/>
                <w:bCs w:val="1"/>
                <w:color w:val="auto"/>
              </w:rPr>
              <w:t>2009</w:t>
            </w: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25"/>
              <w:spacing w:after="0" w:line="137"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Balance, January 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$261,703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$170,277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$178,446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Business acquisitions, including additional contingent consideration earned</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41,174</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70,965</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9,282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10,352</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20,461</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(17,451)</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7"/>
                <w:szCs w:val="17"/>
                <w:color w:val="auto"/>
              </w:rPr>
              <w:t>Balance, December 31</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340" w:type="dxa"/>
            <w:vAlign w:val="bottom"/>
            <w:gridSpan w:val="2"/>
            <w:vMerge w:val="continue"/>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313,229</w:t>
            </w:r>
          </w:p>
        </w:tc>
        <w:tc>
          <w:tcPr>
            <w:tcW w:w="10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261,703</w:t>
            </w:r>
          </w:p>
        </w:tc>
        <w:tc>
          <w:tcPr>
            <w:tcW w:w="10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170,277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The Company performs a goodwill impairment test annually or more frequently if circumstances indicate that impairment may have occurred. The Company has selected December 31 as the date to perform its annual impairment test. Pursuant to the Company’s goodwill impairment review for the years ended December 31, 2010, 2009 and 2008, the Company compared the fair value of each of its applicable reporting units to their corresponding carrying amounts, including goodwill, and determined that no impairment existed.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gross cost and accumulated amortization of other intangible assets as of December 31, 2010 and 2009, by major intangible asset category,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December 31, 2010</w:t>
            </w:r>
          </w:p>
        </w:tc>
        <w:tc>
          <w:tcPr>
            <w:tcW w:w="5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w w:val="93"/>
              </w:rPr>
              <w:t>December 31, 2009</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4"/>
        </w:trPr>
        <w:tc>
          <w:tcPr>
            <w:tcW w:w="5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Net</w:t>
            </w: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5"/>
              </w:rPr>
              <w:t>Net</w:t>
            </w:r>
          </w:p>
        </w:tc>
        <w:tc>
          <w:tcPr>
            <w:tcW w:w="80" w:type="dxa"/>
            <w:vAlign w:val="bottom"/>
          </w:tcPr>
          <w:p>
            <w:pPr>
              <w:spacing w:after="0"/>
              <w:rPr>
                <w:sz w:val="10"/>
                <w:szCs w:val="10"/>
                <w:color w:val="auto"/>
              </w:rPr>
            </w:pPr>
          </w:p>
        </w:tc>
      </w:tr>
      <w:tr>
        <w:trPr>
          <w:trHeight w:val="144"/>
        </w:trPr>
        <w:tc>
          <w:tcPr>
            <w:tcW w:w="5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right"/>
              <w:ind w:right="25"/>
              <w:spacing w:after="0" w:line="144" w:lineRule="exact"/>
              <w:rPr>
                <w:sz w:val="20"/>
                <w:szCs w:val="20"/>
                <w:color w:val="auto"/>
              </w:rPr>
            </w:pPr>
            <w:r>
              <w:rPr>
                <w:rFonts w:ascii="Arial" w:cs="Arial" w:eastAsia="Arial" w:hAnsi="Arial"/>
                <w:sz w:val="13"/>
                <w:szCs w:val="13"/>
                <w:b w:val="1"/>
                <w:bCs w:val="1"/>
                <w:color w:val="auto"/>
              </w:rPr>
              <w:t>Gross</w:t>
            </w:r>
          </w:p>
        </w:tc>
        <w:tc>
          <w:tcPr>
            <w:tcW w:w="320" w:type="dxa"/>
            <w:vAlign w:val="bottom"/>
          </w:tcPr>
          <w:p>
            <w:pPr>
              <w:spacing w:after="0"/>
              <w:rPr>
                <w:sz w:val="12"/>
                <w:szCs w:val="12"/>
                <w:color w:val="auto"/>
              </w:rPr>
            </w:pPr>
          </w:p>
        </w:tc>
        <w:tc>
          <w:tcPr>
            <w:tcW w:w="108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Accumulated</w:t>
            </w:r>
          </w:p>
        </w:tc>
        <w:tc>
          <w:tcPr>
            <w:tcW w:w="86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7"/>
              </w:rPr>
              <w:t>Carrying</w:t>
            </w:r>
          </w:p>
        </w:tc>
        <w:tc>
          <w:tcPr>
            <w:tcW w:w="6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85"/>
              </w:rPr>
              <w:t>Gross</w:t>
            </w:r>
          </w:p>
        </w:tc>
        <w:tc>
          <w:tcPr>
            <w:tcW w:w="240" w:type="dxa"/>
            <w:vAlign w:val="bottom"/>
          </w:tcPr>
          <w:p>
            <w:pPr>
              <w:spacing w:after="0"/>
              <w:rPr>
                <w:sz w:val="12"/>
                <w:szCs w:val="12"/>
                <w:color w:val="auto"/>
              </w:rPr>
            </w:pPr>
          </w:p>
        </w:tc>
        <w:tc>
          <w:tcPr>
            <w:tcW w:w="9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2"/>
                <w:szCs w:val="12"/>
                <w:color w:val="auto"/>
              </w:rPr>
            </w:pPr>
          </w:p>
        </w:tc>
        <w:tc>
          <w:tcPr>
            <w:tcW w:w="6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3"/>
              </w:rPr>
              <w:t>Carrying</w:t>
            </w:r>
          </w:p>
        </w:tc>
      </w:tr>
      <w:tr>
        <w:trPr>
          <w:trHeight w:val="156"/>
        </w:trPr>
        <w:tc>
          <w:tcPr>
            <w:tcW w:w="5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Cost</w:t>
            </w:r>
          </w:p>
        </w:tc>
        <w:tc>
          <w:tcPr>
            <w:tcW w:w="320" w:type="dxa"/>
            <w:vAlign w:val="bottom"/>
          </w:tcPr>
          <w:p>
            <w:pPr>
              <w:spacing w:after="0"/>
              <w:rPr>
                <w:sz w:val="13"/>
                <w:szCs w:val="13"/>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Amortization</w:t>
            </w:r>
          </w:p>
        </w:tc>
        <w:tc>
          <w:tcPr>
            <w:tcW w:w="32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30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Cost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Amortization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3"/>
                <w:szCs w:val="13"/>
                <w:color w:val="auto"/>
              </w:rPr>
            </w:pPr>
          </w:p>
        </w:tc>
      </w:tr>
      <w:tr>
        <w:trPr>
          <w:trHeight w:val="202"/>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Success/performance fees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$30,740</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890</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$29,850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$30,740</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$30,740</w:t>
            </w:r>
          </w:p>
        </w:tc>
        <w:tc>
          <w:tcPr>
            <w:tcW w:w="80" w:type="dxa"/>
            <w:vAlign w:val="bottom"/>
            <w:shd w:val="clear" w:color="auto" w:fill="CCEEFF"/>
          </w:tcPr>
          <w:p>
            <w:pPr>
              <w:spacing w:after="0"/>
              <w:rPr>
                <w:sz w:val="17"/>
                <w:szCs w:val="17"/>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7"/>
                <w:szCs w:val="17"/>
                <w:color w:val="auto"/>
                <w:w w:val="99"/>
              </w:rPr>
              <w:t>Management fees, customer relationships and non-compete agreements</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32,477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14,117</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18,360</w:t>
            </w:r>
          </w:p>
        </w:tc>
        <w:tc>
          <w:tcPr>
            <w:tcW w:w="3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32,477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7,140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25,337</w:t>
            </w:r>
          </w:p>
        </w:tc>
        <w:tc>
          <w:tcPr>
            <w:tcW w:w="80" w:type="dxa"/>
            <w:vAlign w:val="bottom"/>
          </w:tcPr>
          <w:p>
            <w:pPr>
              <w:spacing w:after="0"/>
              <w:rPr>
                <w:sz w:val="18"/>
                <w:szCs w:val="18"/>
                <w:color w:val="auto"/>
              </w:rPr>
            </w:pPr>
          </w:p>
        </w:tc>
      </w:tr>
      <w:tr>
        <w:trPr>
          <w:trHeight w:val="26"/>
        </w:trPr>
        <w:tc>
          <w:tcPr>
            <w:tcW w:w="5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5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63,217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15,007</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48,210</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63,217</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56,077</w:t>
            </w:r>
          </w:p>
        </w:tc>
        <w:tc>
          <w:tcPr>
            <w:tcW w:w="80" w:type="dxa"/>
            <w:vAlign w:val="bottom"/>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57"/>
        <w:spacing w:after="0" w:line="280" w:lineRule="auto"/>
        <w:rPr>
          <w:sz w:val="20"/>
          <w:szCs w:val="20"/>
          <w:color w:val="auto"/>
        </w:rPr>
      </w:pPr>
      <w:r>
        <w:rPr>
          <w:rFonts w:ascii="Arial" w:cs="Arial" w:eastAsia="Arial" w:hAnsi="Arial"/>
          <w:sz w:val="17"/>
          <w:szCs w:val="17"/>
          <w:color w:val="auto"/>
        </w:rPr>
        <w:t>Amortization expense of intangible assets for the years ended December 31, 2010, 2009 and 2008 was $7,867, $4,990 and $4,596, respectively. Estimated future amortization expense is as follows:</w:t>
      </w:r>
    </w:p>
    <w:p>
      <w:pPr>
        <w:spacing w:after="0" w:line="95"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80" w:type="dxa"/>
            <w:vAlign w:val="bottom"/>
            <w:gridSpan w:val="4"/>
          </w:tcPr>
          <w:p>
            <w:pPr>
              <w:ind w:left="3240"/>
              <w:spacing w:after="0"/>
              <w:rPr>
                <w:sz w:val="20"/>
                <w:szCs w:val="20"/>
                <w:color w:val="auto"/>
              </w:rPr>
            </w:pPr>
            <w:r>
              <w:rPr>
                <w:rFonts w:ascii="Arial" w:cs="Arial" w:eastAsia="Arial" w:hAnsi="Arial"/>
                <w:sz w:val="13"/>
                <w:szCs w:val="13"/>
                <w:b w:val="1"/>
                <w:bCs w:val="1"/>
                <w:color w:val="auto"/>
              </w:rPr>
              <w:t>Amortization</w:t>
            </w:r>
          </w:p>
        </w:tc>
        <w:tc>
          <w:tcPr>
            <w:tcW w:w="0" w:type="dxa"/>
            <w:vAlign w:val="bottom"/>
          </w:tcPr>
          <w:p>
            <w:pPr>
              <w:spacing w:after="0"/>
              <w:rPr>
                <w:sz w:val="1"/>
                <w:szCs w:val="1"/>
                <w:color w:val="auto"/>
              </w:rPr>
            </w:pPr>
          </w:p>
        </w:tc>
      </w:tr>
      <w:tr>
        <w:trPr>
          <w:trHeight w:val="156"/>
        </w:trPr>
        <w:tc>
          <w:tcPr>
            <w:tcW w:w="528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 Ending December 31,</w:t>
            </w:r>
          </w:p>
        </w:tc>
        <w:tc>
          <w:tcPr>
            <w:tcW w:w="3240" w:type="dxa"/>
            <w:vAlign w:val="bottom"/>
          </w:tcPr>
          <w:p>
            <w:pPr>
              <w:spacing w:after="0"/>
              <w:rPr>
                <w:sz w:val="13"/>
                <w:szCs w:val="13"/>
                <w:color w:val="auto"/>
              </w:rPr>
            </w:pP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40" w:type="dxa"/>
            <w:vAlign w:val="bottom"/>
            <w:vMerge w:val="continue"/>
          </w:tcPr>
          <w:p>
            <w:pPr>
              <w:spacing w:after="0"/>
              <w:rPr>
                <w:sz w:val="17"/>
                <w:szCs w:val="17"/>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6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ind w:left="32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7"/>
                <w:szCs w:val="17"/>
                <w:color w:val="auto"/>
              </w:rPr>
              <w:t>2012</w:t>
            </w:r>
          </w:p>
        </w:tc>
        <w:tc>
          <w:tcPr>
            <w:tcW w:w="6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6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7"/>
                <w:szCs w:val="17"/>
                <w:color w:val="auto"/>
              </w:rPr>
              <w:t>2014</w:t>
            </w:r>
          </w:p>
        </w:tc>
        <w:tc>
          <w:tcPr>
            <w:tcW w:w="6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6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7"/>
                <w:szCs w:val="17"/>
                <w:color w:val="auto"/>
              </w:rPr>
              <w:t>Thereafter</w:t>
            </w:r>
          </w:p>
        </w:tc>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amortization expense</w:t>
            </w:r>
          </w:p>
        </w:tc>
        <w:tc>
          <w:tcPr>
            <w:tcW w:w="3420" w:type="dxa"/>
            <w:vAlign w:val="bottom"/>
            <w:gridSpan w:val="2"/>
            <w:shd w:val="clear" w:color="auto" w:fill="CCEEFF"/>
          </w:tcPr>
          <w:p>
            <w:pPr>
              <w:ind w:left="32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5580" w:right="3500" w:hanging="4662"/>
        <w:spacing w:after="0" w:line="456" w:lineRule="auto"/>
        <w:tabs>
          <w:tab w:leader="none" w:pos="1472" w:val="left"/>
        </w:tabs>
        <w:numPr>
          <w:ilvl w:val="0"/>
          <w:numId w:val="55"/>
        </w:numPr>
        <w:rPr>
          <w:rFonts w:ascii="Arial" w:cs="Arial" w:eastAsia="Arial" w:hAnsi="Arial"/>
          <w:sz w:val="17"/>
          <w:szCs w:val="17"/>
          <w:color w:val="auto"/>
        </w:rPr>
      </w:pPr>
      <w:r>
        <w:rPr>
          <w:rFonts w:ascii="Arial" w:cs="Arial" w:eastAsia="Arial" w:hAnsi="Arial"/>
          <w:sz w:val="17"/>
          <w:szCs w:val="17"/>
          <w:color w:val="auto"/>
        </w:rPr>
        <w:t>Approximately 48% of intangible asset amortization is attributable to a noncontrolling interest. 100</w:t>
      </w:r>
    </w:p>
    <w:p>
      <w:pPr>
        <w:sectPr>
          <w:pgSz w:w="11900" w:h="16838" w:orient="portrait"/>
          <w:cols w:equalWidth="0" w:num="1">
            <w:col w:w="11420"/>
          </w:cols>
          <w:pgMar w:left="240" w:top="448" w:right="2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380" w:hanging="376"/>
        <w:spacing w:after="0"/>
        <w:tabs>
          <w:tab w:leader="none" w:pos="380" w:val="left"/>
        </w:tabs>
        <w:numPr>
          <w:ilvl w:val="0"/>
          <w:numId w:val="5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OTHER ASSETS AND OTHER LIABILITIES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Company’s other assets, by type, as of December 31, 2010 and 2009: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w w:val="89"/>
              </w:rPr>
              <w:t>December 31,</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gridSpan w:val="3"/>
          </w:tcPr>
          <w:p>
            <w:pPr>
              <w:jc w:val="right"/>
              <w:ind w:right="135"/>
              <w:spacing w:after="0" w:line="137" w:lineRule="exact"/>
              <w:rPr>
                <w:sz w:val="20"/>
                <w:szCs w:val="20"/>
                <w:color w:val="auto"/>
              </w:rPr>
            </w:pPr>
            <w:r>
              <w:rPr>
                <w:rFonts w:ascii="Arial" w:cs="Arial" w:eastAsia="Arial" w:hAnsi="Arial"/>
                <w:sz w:val="13"/>
                <w:szCs w:val="13"/>
                <w:b w:val="1"/>
                <w:bCs w:val="1"/>
                <w:color w:val="auto"/>
              </w:rPr>
              <w:t>2010</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2"/>
              </w:rPr>
              <w:t>2009</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91"/>
              </w:rPr>
              <w:t>Current and deferred income taxes receivable (net of valuation allowance) and other taxes</w:t>
            </w: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$123,813</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$134,910</w:t>
            </w:r>
          </w:p>
        </w:tc>
        <w:tc>
          <w:tcPr>
            <w:tcW w:w="8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Advances and prepayments</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7"/>
                <w:szCs w:val="17"/>
                <w:color w:val="auto"/>
              </w:rPr>
              <w:t>94,973</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w w:val="84"/>
              </w:rPr>
              <w:t>65,320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debt issuance costs</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7,594</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7,550</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Other</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38,930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4"/>
              </w:rPr>
              <w:t>40,575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265,310</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248,355</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gridSpan w:val="8"/>
            <w:vMerge w:val="restart"/>
          </w:tcPr>
          <w:p>
            <w:pPr>
              <w:ind w:left="460"/>
              <w:spacing w:after="0"/>
              <w:rPr>
                <w:sz w:val="20"/>
                <w:szCs w:val="20"/>
                <w:color w:val="auto"/>
              </w:rPr>
            </w:pPr>
            <w:r>
              <w:rPr>
                <w:rFonts w:ascii="Arial" w:cs="Arial" w:eastAsia="Arial" w:hAnsi="Arial"/>
                <w:sz w:val="17"/>
                <w:szCs w:val="17"/>
                <w:color w:val="auto"/>
                <w:w w:val="98"/>
              </w:rPr>
              <w:t>The following table sets forth the Company’s other liabilities, by type, as of December 31, 2010 and 2009:</w:t>
            </w: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8260" w:type="dxa"/>
            <w:vAlign w:val="bottom"/>
            <w:gridSpan w:val="8"/>
            <w:vMerge w:val="continue"/>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w w:val="89"/>
              </w:rPr>
              <w:t>December 31,</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gridSpan w:val="3"/>
          </w:tcPr>
          <w:p>
            <w:pPr>
              <w:jc w:val="right"/>
              <w:ind w:right="135"/>
              <w:spacing w:after="0" w:line="137" w:lineRule="exact"/>
              <w:rPr>
                <w:sz w:val="20"/>
                <w:szCs w:val="20"/>
                <w:color w:val="auto"/>
              </w:rPr>
            </w:pPr>
            <w:r>
              <w:rPr>
                <w:rFonts w:ascii="Arial" w:cs="Arial" w:eastAsia="Arial" w:hAnsi="Arial"/>
                <w:sz w:val="13"/>
                <w:szCs w:val="13"/>
                <w:b w:val="1"/>
                <w:bCs w:val="1"/>
                <w:color w:val="auto"/>
              </w:rPr>
              <w:t>2010</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2"/>
              </w:rPr>
              <w:t>2009</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expenses</w:t>
            </w: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$136,666</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$132,249</w:t>
            </w:r>
          </w:p>
        </w:tc>
        <w:tc>
          <w:tcPr>
            <w:tcW w:w="8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Current and deferred income taxes and other taxes</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7"/>
                <w:szCs w:val="17"/>
                <w:color w:val="auto"/>
              </w:rPr>
              <w:t>113,159</w:t>
            </w:r>
          </w:p>
        </w:tc>
        <w:tc>
          <w:tcPr>
            <w:tcW w:w="1000" w:type="dxa"/>
            <w:vAlign w:val="bottom"/>
            <w:gridSpan w:val="6"/>
          </w:tcPr>
          <w:p>
            <w:pPr>
              <w:jc w:val="right"/>
              <w:spacing w:after="0"/>
              <w:rPr>
                <w:sz w:val="20"/>
                <w:szCs w:val="20"/>
                <w:color w:val="auto"/>
              </w:rPr>
            </w:pPr>
            <w:r>
              <w:rPr>
                <w:rFonts w:ascii="Arial" w:cs="Arial" w:eastAsia="Arial" w:hAnsi="Arial"/>
                <w:sz w:val="17"/>
                <w:szCs w:val="17"/>
                <w:color w:val="auto"/>
              </w:rPr>
              <w:t>121,899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 benefit-related liabilities</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67,779</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4"/>
              </w:rPr>
              <w:t>80,349</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LAM Merger (present value of unpaid cash consideration)</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7"/>
                <w:szCs w:val="17"/>
                <w:color w:val="auto"/>
              </w:rPr>
              <w:t>71,394</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w w:val="84"/>
              </w:rPr>
              <w:t>65,308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Unclaimed funds at LFB</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28,026</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4"/>
              </w:rPr>
              <w:t>26,329</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Abandoned leased space (principally in the U.K.)</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7"/>
                <w:szCs w:val="17"/>
                <w:color w:val="auto"/>
              </w:rPr>
              <w:t>8,203</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w w:val="84"/>
              </w:rPr>
              <w:t>10,850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Securities sold, not yet purchased</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2,897</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5,179</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Other</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85,286</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4"/>
              </w:rPr>
              <w:t>66,440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513,410</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508,603</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7"/>
                <w:szCs w:val="17"/>
                <w:b w:val="1"/>
                <w:bCs w:val="1"/>
                <w:i w:val="1"/>
                <w:iCs w:val="1"/>
                <w:color w:val="auto"/>
              </w:rPr>
              <w:t>13.   SENIOR AND SUBORDINATED DEBT</w:t>
            </w: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536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820" w:type="dxa"/>
            <w:vAlign w:val="bottom"/>
            <w:gridSpan w:val="5"/>
          </w:tcPr>
          <w:p>
            <w:pPr>
              <w:ind w:left="460"/>
              <w:spacing w:after="0"/>
              <w:rPr>
                <w:sz w:val="20"/>
                <w:szCs w:val="20"/>
                <w:color w:val="auto"/>
              </w:rPr>
            </w:pPr>
            <w:r>
              <w:rPr>
                <w:rFonts w:ascii="Arial" w:cs="Arial" w:eastAsia="Arial" w:hAnsi="Arial"/>
                <w:sz w:val="17"/>
                <w:szCs w:val="17"/>
                <w:b w:val="1"/>
                <w:bCs w:val="1"/>
                <w:i w:val="1"/>
                <w:iCs w:val="1"/>
                <w:color w:val="auto"/>
                <w:w w:val="91"/>
              </w:rPr>
              <w:t>Senior Debt</w:t>
            </w:r>
            <w:r>
              <w:rPr>
                <w:rFonts w:ascii="Arial" w:cs="Arial" w:eastAsia="Arial" w:hAnsi="Arial"/>
                <w:sz w:val="17"/>
                <w:szCs w:val="17"/>
                <w:color w:val="auto"/>
                <w:w w:val="91"/>
              </w:rPr>
              <w:t>—Senior debt is comprised of the following as of December 31, 2010 and 2009:</w:t>
            </w: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Annual</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9"/>
          </w:tcPr>
          <w:p>
            <w:pPr>
              <w:jc w:val="center"/>
              <w:ind w:right="480"/>
              <w:spacing w:after="0"/>
              <w:rPr>
                <w:sz w:val="20"/>
                <w:szCs w:val="20"/>
                <w:color w:val="auto"/>
              </w:rPr>
            </w:pPr>
            <w:r>
              <w:rPr>
                <w:rFonts w:ascii="Arial" w:cs="Arial" w:eastAsia="Arial" w:hAnsi="Arial"/>
                <w:sz w:val="13"/>
                <w:szCs w:val="13"/>
                <w:b w:val="1"/>
                <w:bCs w:val="1"/>
                <w:color w:val="auto"/>
                <w:w w:val="92"/>
              </w:rPr>
              <w:t>Outstanding As Of</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44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gridSpan w:val="9"/>
          </w:tcPr>
          <w:p>
            <w:pPr>
              <w:jc w:val="center"/>
              <w:ind w:right="50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3"/>
              </w:rPr>
              <w:t>Amount</w:t>
            </w:r>
          </w:p>
        </w:tc>
        <w:tc>
          <w:tcPr>
            <w:tcW w:w="440" w:type="dxa"/>
            <w:vAlign w:val="bottom"/>
          </w:tcPr>
          <w:p>
            <w:pPr>
              <w:spacing w:after="0"/>
              <w:rPr>
                <w:sz w:val="11"/>
                <w:szCs w:val="11"/>
                <w:color w:val="auto"/>
              </w:rPr>
            </w:pPr>
          </w:p>
        </w:tc>
        <w:tc>
          <w:tcPr>
            <w:tcW w:w="580" w:type="dxa"/>
            <w:vAlign w:val="bottom"/>
            <w:tcBorders>
              <w:bottom w:val="single" w:sz="8" w:color="auto"/>
            </w:tcBorders>
          </w:tcPr>
          <w:p>
            <w:pPr>
              <w:jc w:val="right"/>
              <w:ind w:right="95"/>
              <w:spacing w:after="0" w:line="137" w:lineRule="exact"/>
              <w:rPr>
                <w:sz w:val="20"/>
                <w:szCs w:val="20"/>
                <w:color w:val="auto"/>
              </w:rPr>
            </w:pPr>
            <w:r>
              <w:rPr>
                <w:rFonts w:ascii="Arial" w:cs="Arial" w:eastAsia="Arial" w:hAnsi="Arial"/>
                <w:sz w:val="13"/>
                <w:szCs w:val="13"/>
                <w:b w:val="1"/>
                <w:bCs w:val="1"/>
                <w:color w:val="auto"/>
              </w:rPr>
              <w:t>Date</w:t>
            </w:r>
          </w:p>
        </w:tc>
        <w:tc>
          <w:tcPr>
            <w:tcW w:w="420" w:type="dxa"/>
            <w:vAlign w:val="bottom"/>
          </w:tcPr>
          <w:p>
            <w:pPr>
              <w:spacing w:after="0"/>
              <w:rPr>
                <w:sz w:val="11"/>
                <w:szCs w:val="11"/>
                <w:color w:val="auto"/>
              </w:rPr>
            </w:pPr>
          </w:p>
        </w:tc>
        <w:tc>
          <w:tcPr>
            <w:tcW w:w="4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2"/>
              </w:rPr>
              <w:t>Rate</w:t>
            </w:r>
          </w:p>
        </w:tc>
        <w:tc>
          <w:tcPr>
            <w:tcW w:w="26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top w:val="single" w:sz="8" w:color="auto"/>
              <w:bottom w:val="single" w:sz="8" w:color="auto"/>
            </w:tcBorders>
            <w:gridSpan w:val="3"/>
          </w:tcPr>
          <w:p>
            <w:pPr>
              <w:jc w:val="right"/>
              <w:ind w:right="140"/>
              <w:spacing w:after="0" w:line="137" w:lineRule="exact"/>
              <w:rPr>
                <w:sz w:val="20"/>
                <w:szCs w:val="20"/>
                <w:color w:val="auto"/>
              </w:rPr>
            </w:pPr>
            <w:r>
              <w:rPr>
                <w:rFonts w:ascii="Arial" w:cs="Arial" w:eastAsia="Arial" w:hAnsi="Arial"/>
                <w:sz w:val="13"/>
                <w:szCs w:val="13"/>
                <w:b w:val="1"/>
                <w:bCs w:val="1"/>
                <w:color w:val="auto"/>
              </w:rPr>
              <w:t>2010</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3"/>
          </w:tcPr>
          <w:p>
            <w:pPr>
              <w:jc w:val="right"/>
              <w:ind w:right="175"/>
              <w:spacing w:after="0" w:line="137" w:lineRule="exact"/>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Lazard Group 7.125% Senior Notes (a)</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$550,000</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5/15/15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7.125%</w:t>
            </w:r>
          </w:p>
        </w:tc>
        <w:tc>
          <w:tcPr>
            <w:tcW w:w="118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  528,500</w:t>
            </w:r>
          </w:p>
        </w:tc>
        <w:tc>
          <w:tcPr>
            <w:tcW w:w="1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538,500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60" w:type="dxa"/>
            <w:vAlign w:val="bottom"/>
            <w:gridSpan w:val="3"/>
          </w:tcPr>
          <w:p>
            <w:pPr>
              <w:spacing w:after="0"/>
              <w:rPr>
                <w:sz w:val="20"/>
                <w:szCs w:val="20"/>
                <w:color w:val="auto"/>
              </w:rPr>
            </w:pPr>
            <w:r>
              <w:rPr>
                <w:rFonts w:ascii="Arial" w:cs="Arial" w:eastAsia="Arial" w:hAnsi="Arial"/>
                <w:sz w:val="17"/>
                <w:szCs w:val="17"/>
                <w:color w:val="auto"/>
              </w:rPr>
              <w:t>Lazard Group 6.85% Senior Notes (b)</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600,000</w:t>
            </w:r>
          </w:p>
        </w:tc>
        <w:tc>
          <w:tcPr>
            <w:tcW w:w="1440" w:type="dxa"/>
            <w:vAlign w:val="bottom"/>
            <w:gridSpan w:val="3"/>
          </w:tcPr>
          <w:p>
            <w:pPr>
              <w:jc w:val="right"/>
              <w:ind w:right="420"/>
              <w:spacing w:after="0"/>
              <w:rPr>
                <w:sz w:val="20"/>
                <w:szCs w:val="20"/>
                <w:color w:val="auto"/>
              </w:rPr>
            </w:pPr>
            <w:r>
              <w:rPr>
                <w:rFonts w:ascii="Arial" w:cs="Arial" w:eastAsia="Arial" w:hAnsi="Arial"/>
                <w:sz w:val="17"/>
                <w:szCs w:val="17"/>
                <w:color w:val="auto"/>
              </w:rPr>
              <w:t>6/15/17</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6.85%</w:t>
            </w:r>
          </w:p>
        </w:tc>
        <w:tc>
          <w:tcPr>
            <w:tcW w:w="1180" w:type="dxa"/>
            <w:vAlign w:val="bottom"/>
            <w:gridSpan w:val="7"/>
          </w:tcPr>
          <w:p>
            <w:pPr>
              <w:jc w:val="right"/>
              <w:spacing w:after="0"/>
              <w:rPr>
                <w:sz w:val="20"/>
                <w:szCs w:val="20"/>
                <w:color w:val="auto"/>
              </w:rPr>
            </w:pPr>
            <w:r>
              <w:rPr>
                <w:rFonts w:ascii="Arial" w:cs="Arial" w:eastAsia="Arial" w:hAnsi="Arial"/>
                <w:sz w:val="17"/>
                <w:szCs w:val="17"/>
                <w:color w:val="auto"/>
              </w:rPr>
              <w:t>548,350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548,350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Lazard Group Credit Facility (c)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4/29/13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tcPr>
          <w:p>
            <w:pPr>
              <w:ind w:left="420"/>
              <w:spacing w:after="0"/>
              <w:rPr>
                <w:sz w:val="20"/>
                <w:szCs w:val="20"/>
                <w:color w:val="auto"/>
              </w:rPr>
            </w:pPr>
            <w:r>
              <w:rPr>
                <w:rFonts w:ascii="Arial" w:cs="Arial" w:eastAsia="Arial" w:hAnsi="Arial"/>
                <w:sz w:val="17"/>
                <w:szCs w:val="17"/>
                <w:color w:val="auto"/>
              </w:rPr>
              <w:t>Total</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7"/>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1,076,850</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680" w:type="dxa"/>
            <w:vAlign w:val="bottom"/>
            <w:gridSpan w:val="3"/>
          </w:tcPr>
          <w:p>
            <w:pPr>
              <w:jc w:val="right"/>
              <w:spacing w:after="0"/>
              <w:rPr>
                <w:sz w:val="20"/>
                <w:szCs w:val="20"/>
                <w:color w:val="auto"/>
              </w:rPr>
            </w:pPr>
            <w:r>
              <w:rPr>
                <w:rFonts w:ascii="Arial" w:cs="Arial" w:eastAsia="Arial" w:hAnsi="Arial"/>
                <w:sz w:val="17"/>
                <w:szCs w:val="17"/>
                <w:color w:val="auto"/>
                <w:w w:val="87"/>
              </w:rPr>
              <w:t>1,086,850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right="180" w:hanging="456"/>
        <w:spacing w:after="0" w:line="293" w:lineRule="auto"/>
        <w:tabs>
          <w:tab w:leader="none" w:pos="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During the years ended December 31, 2010 and 2008, the Company repurchased $10,000 and $11,500 principal amount of the 7.125% Senior Notes, respectively, at a cost, excluding accrued interest, of $10,375 and $7,974, respectively, and, after the write-off of applicable unamortized debt issuance costs of $49 and $75 in the respective years, the Company recognized a pre-tax gain (loss) of $(424) and $3,451, respectively. In connection with the issuance of the</w:t>
      </w:r>
    </w:p>
    <w:p>
      <w:pPr>
        <w:spacing w:after="0" w:line="1" w:lineRule="exact"/>
        <w:rPr>
          <w:rFonts w:ascii="Arial" w:cs="Arial" w:eastAsia="Arial" w:hAnsi="Arial"/>
          <w:sz w:val="15"/>
          <w:szCs w:val="15"/>
          <w:color w:val="auto"/>
        </w:rPr>
      </w:pPr>
    </w:p>
    <w:p>
      <w:pPr>
        <w:ind w:left="460" w:right="260"/>
        <w:spacing w:after="0" w:line="264" w:lineRule="auto"/>
        <w:rPr>
          <w:rFonts w:ascii="Arial" w:cs="Arial" w:eastAsia="Arial" w:hAnsi="Arial"/>
          <w:sz w:val="15"/>
          <w:szCs w:val="15"/>
          <w:color w:val="auto"/>
        </w:rPr>
      </w:pPr>
      <w:r>
        <w:rPr>
          <w:rFonts w:ascii="Arial" w:cs="Arial" w:eastAsia="Arial" w:hAnsi="Arial"/>
          <w:sz w:val="17"/>
          <w:szCs w:val="17"/>
          <w:color w:val="auto"/>
        </w:rPr>
        <w:t>7.125% Senior Notes, on April 1, 2005, Lazard Group entered into an interest rate forward agreement. On May 9, 2005, Lazard Group settled the interest rate forward agreement, of which $11,003 was deemed to be the effective portion of the hedge and recorded within AOCI, and is being amortized as a charge to interest expense over the ten-year term of the 7.125% Senior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448"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jc w:val="both"/>
        <w:ind w:left="460" w:right="40" w:hanging="456"/>
        <w:spacing w:after="0" w:line="268"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During the years ended December 31, 2009 and 2008, the Company repurchased $900 and $50,750 principal amount of the 6.85% Senior Notes, respectively, at a cost, excluding accrued interest, of $635 and $33,463, respectively, and, after the write-off of unamortized debt issuance costs of $7 and $485 in the respective years, the Company recognized pre-tax gains of $258 and $16,802, respectively.</w:t>
      </w:r>
    </w:p>
    <w:p>
      <w:pPr>
        <w:spacing w:after="0" w:line="36" w:lineRule="exact"/>
        <w:rPr>
          <w:rFonts w:ascii="Arial" w:cs="Arial" w:eastAsia="Arial" w:hAnsi="Arial"/>
          <w:sz w:val="17"/>
          <w:szCs w:val="17"/>
          <w:color w:val="auto"/>
        </w:rPr>
      </w:pPr>
    </w:p>
    <w:p>
      <w:pPr>
        <w:ind w:left="460" w:right="80" w:hanging="456"/>
        <w:spacing w:after="0" w:line="282"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 April 29, 2010, Lazard Group entered into a $150,000, three-year senior revolving credit facility with a group of lenders (the “Credit Facility”). The Credit Facility, as amended, replaced the prior revolving credit facility, which was terminated as a condition to effectiveness of the Credit Facility. Interest rates under the Credit Facility vary and are based on either a Federal Funds rate or a Eurodollar rate, in each case plus an applicable margin. As of December 31, 2010, the annual interest rate for a loan accruing interest (based on the Federal Funds overnight rate), including the applicable margin, was 2.25%. At December 31, 2010 and 2009, no amounts were outstanding under the Credit Facility or the prior revolving Credit Facility.</w:t>
      </w:r>
    </w:p>
    <w:p>
      <w:pPr>
        <w:spacing w:after="0" w:line="107"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December 31, 2010 and 2009 amounted to $150,000 at each date and represents a note which is convertible into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maximum of 2,631,570 shares of Class A common stock at an effective conversion price of $57 per share. The note matures on September 30, 2016, and has a fixed interest rate of 3.25% per annum. One-third in principal amount became convertible on and after each of July 1, 2008, July 1, 2009 and July 1, 2010, and no principal amount is convertible after June 30, 2011. As of December 31, 2010, there have been no conversions of the note.</w:t>
      </w:r>
    </w:p>
    <w:p>
      <w:pPr>
        <w:spacing w:after="0" w:line="105" w:lineRule="exact"/>
        <w:rPr>
          <w:sz w:val="20"/>
          <w:szCs w:val="20"/>
          <w:color w:val="auto"/>
        </w:rPr>
      </w:pPr>
    </w:p>
    <w:p>
      <w:pPr>
        <w:jc w:val="both"/>
        <w:ind w:right="80" w:firstLine="457"/>
        <w:spacing w:after="0" w:line="268" w:lineRule="auto"/>
        <w:rPr>
          <w:sz w:val="20"/>
          <w:szCs w:val="20"/>
          <w:color w:val="auto"/>
        </w:rPr>
      </w:pPr>
      <w:r>
        <w:rPr>
          <w:rFonts w:ascii="Arial" w:cs="Arial" w:eastAsia="Arial" w:hAnsi="Arial"/>
          <w:sz w:val="17"/>
          <w:szCs w:val="17"/>
          <w:color w:val="auto"/>
        </w:rPr>
        <w:t>Debt maturities relating to senior and subordinated borrowings outstanding at December 31, 2010 for each of the five years in the period ending December 31, 2015, and thereafter, are set forth in the table below. For purposes of this table, it was assumed that the $150,000 subordinated convertible note remains outstanding in accordance with its stated terms.</w:t>
      </w:r>
    </w:p>
    <w:p>
      <w:pPr>
        <w:spacing w:after="0" w:line="105"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Subordinated</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gridSpan w:val="2"/>
          </w:tcPr>
          <w:p>
            <w:pPr>
              <w:spacing w:after="0"/>
              <w:rPr>
                <w:sz w:val="20"/>
                <w:szCs w:val="20"/>
                <w:color w:val="auto"/>
              </w:rPr>
            </w:pPr>
            <w:r>
              <w:rPr>
                <w:rFonts w:ascii="Arial" w:cs="Arial" w:eastAsia="Arial" w:hAnsi="Arial"/>
                <w:sz w:val="13"/>
                <w:szCs w:val="13"/>
                <w:b w:val="1"/>
                <w:bCs w:val="1"/>
                <w:color w:val="auto"/>
                <w:w w:val="96"/>
              </w:rPr>
              <w:t>Year Ending December 31,</w:t>
            </w:r>
          </w:p>
        </w:tc>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90"/>
              </w:rPr>
              <w:t>Senior Debt</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ind w:left="100"/>
              <w:spacing w:after="0"/>
              <w:rPr>
                <w:sz w:val="20"/>
                <w:szCs w:val="20"/>
                <w:color w:val="auto"/>
              </w:rPr>
            </w:pPr>
            <w:r>
              <w:rPr>
                <w:rFonts w:ascii="Arial" w:cs="Arial" w:eastAsia="Arial" w:hAnsi="Arial"/>
                <w:sz w:val="13"/>
                <w:szCs w:val="13"/>
                <w:b w:val="1"/>
                <w:bCs w:val="1"/>
                <w:color w:val="auto"/>
              </w:rPr>
              <w:t>Debt</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2011-2014</w:t>
            </w:r>
          </w:p>
        </w:tc>
        <w:tc>
          <w:tcPr>
            <w:tcW w:w="3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2015</w:t>
            </w: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528,500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528,500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3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548,350</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w w:val="87"/>
              </w:rPr>
              <w:t>150,000</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80" w:type="dxa"/>
            <w:vAlign w:val="bottom"/>
          </w:tcPr>
          <w:p>
            <w:pPr>
              <w:ind w:left="400"/>
              <w:spacing w:after="0"/>
              <w:rPr>
                <w:sz w:val="20"/>
                <w:szCs w:val="20"/>
                <w:color w:val="auto"/>
              </w:rPr>
            </w:pPr>
            <w:r>
              <w:rPr>
                <w:rFonts w:ascii="Arial" w:cs="Arial" w:eastAsia="Arial" w:hAnsi="Arial"/>
                <w:sz w:val="17"/>
                <w:szCs w:val="17"/>
                <w:color w:val="auto"/>
              </w:rPr>
              <w:t>Total</w:t>
            </w:r>
          </w:p>
        </w:tc>
        <w:tc>
          <w:tcPr>
            <w:tcW w:w="3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1,076,850</w:t>
            </w:r>
          </w:p>
        </w:tc>
        <w:tc>
          <w:tcPr>
            <w:tcW w:w="70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660" w:type="dxa"/>
            <w:vAlign w:val="bottom"/>
          </w:tcPr>
          <w:p>
            <w:pPr>
              <w:ind w:left="100"/>
              <w:spacing w:after="0"/>
              <w:rPr>
                <w:sz w:val="20"/>
                <w:szCs w:val="20"/>
                <w:color w:val="auto"/>
              </w:rPr>
            </w:pPr>
            <w:r>
              <w:rPr>
                <w:rFonts w:ascii="Arial" w:cs="Arial" w:eastAsia="Arial" w:hAnsi="Arial"/>
                <w:sz w:val="17"/>
                <w:szCs w:val="17"/>
                <w:color w:val="auto"/>
                <w:w w:val="87"/>
              </w:rPr>
              <w:t>150,000</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1,226,850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The Credit Facility contains customary terms and conditions, including certain financial covenants. In addition, the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December 31, 2010, the Company was in compliance with all of these provisions. All of the Company’s senior and subordinated debt obligations are unsecured.</w:t>
      </w:r>
    </w:p>
    <w:p>
      <w:pPr>
        <w:spacing w:after="0" w:line="88" w:lineRule="exact"/>
        <w:rPr>
          <w:sz w:val="20"/>
          <w:szCs w:val="20"/>
          <w:color w:val="auto"/>
        </w:rPr>
      </w:pPr>
    </w:p>
    <w:p>
      <w:pPr>
        <w:jc w:val="both"/>
        <w:ind w:right="140" w:firstLine="457"/>
        <w:spacing w:after="0" w:line="268" w:lineRule="auto"/>
        <w:rPr>
          <w:sz w:val="20"/>
          <w:szCs w:val="20"/>
          <w:color w:val="auto"/>
        </w:rPr>
      </w:pPr>
      <w:r>
        <w:rPr>
          <w:rFonts w:ascii="Arial" w:cs="Arial" w:eastAsia="Arial" w:hAnsi="Arial"/>
          <w:sz w:val="17"/>
          <w:szCs w:val="17"/>
          <w:color w:val="auto"/>
        </w:rPr>
        <w:t>As of December 31, 2010, the Company had approximately $300,000 in unused lines of credit available to it, including the Credit Facility, and approximately $102,000 and $27,000 of unused lines of credit available to LFB and Edgewater, respectively. In addition, LFB has access to the Eurosystem Covered Bond Purchase Program of the Banque de France.</w:t>
      </w:r>
    </w:p>
    <w:p>
      <w:pPr>
        <w:spacing w:after="0" w:line="115" w:lineRule="exact"/>
        <w:rPr>
          <w:sz w:val="20"/>
          <w:szCs w:val="20"/>
          <w:color w:val="auto"/>
        </w:rPr>
      </w:pPr>
    </w:p>
    <w:p>
      <w:pPr>
        <w:ind w:right="220" w:firstLine="457"/>
        <w:spacing w:after="0" w:line="349" w:lineRule="auto"/>
        <w:rPr>
          <w:sz w:val="20"/>
          <w:szCs w:val="20"/>
          <w:color w:val="auto"/>
        </w:rPr>
      </w:pPr>
      <w:r>
        <w:rPr>
          <w:rFonts w:ascii="Arial" w:cs="Arial" w:eastAsia="Arial" w:hAnsi="Arial"/>
          <w:sz w:val="15"/>
          <w:szCs w:val="15"/>
          <w:color w:val="auto"/>
        </w:rPr>
        <w:t>The Company’s senior and subordinated debt are recorded at historical amounts. At December 31, 2010 and 2009, the fair value of the Company’s senior and subordinated debt was $1,271,360 and $1,255,254, respectively, and exceeded the aggregate carrying value by $44,510 and $18,404, respectively. The fair value of</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380"/>
          </w:cols>
          <w:pgMar w:left="240" w:top="448" w:right="27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Company’s senior and subordinated debt was estimated using a discounted cash flow analysis based on the Company’s current borrowing rates for similar types of borrowing arrangements or based on market quotations, where available.</w:t>
      </w:r>
    </w:p>
    <w:p>
      <w:pPr>
        <w:spacing w:after="0" w:line="105" w:lineRule="exact"/>
        <w:rPr>
          <w:sz w:val="20"/>
          <w:szCs w:val="20"/>
          <w:color w:val="auto"/>
        </w:rPr>
      </w:pPr>
    </w:p>
    <w:p>
      <w:pPr>
        <w:ind w:left="380" w:hanging="376"/>
        <w:spacing w:after="0"/>
        <w:tabs>
          <w:tab w:leader="none" w:pos="380" w:val="left"/>
        </w:tabs>
        <w:numPr>
          <w:ilvl w:val="0"/>
          <w:numId w:val="5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COMMITMENTS AND CONTINGENCIES</w:t>
      </w:r>
    </w:p>
    <w:p>
      <w:pPr>
        <w:spacing w:after="0" w:line="79" w:lineRule="exact"/>
        <w:rPr>
          <w:sz w:val="20"/>
          <w:szCs w:val="20"/>
          <w:color w:val="auto"/>
        </w:rPr>
      </w:pPr>
    </w:p>
    <w:p>
      <w:pPr>
        <w:ind w:right="280" w:firstLine="457"/>
        <w:spacing w:after="0" w:line="280" w:lineRule="auto"/>
        <w:rPr>
          <w:sz w:val="20"/>
          <w:szCs w:val="20"/>
          <w:color w:val="auto"/>
        </w:rPr>
      </w:pPr>
      <w:r>
        <w:rPr>
          <w:rFonts w:ascii="Arial" w:cs="Arial" w:eastAsia="Arial" w:hAnsi="Arial"/>
          <w:sz w:val="17"/>
          <w:szCs w:val="17"/>
          <w:b w:val="1"/>
          <w:bCs w:val="1"/>
          <w:i w:val="1"/>
          <w:iCs w:val="1"/>
          <w:color w:val="auto"/>
        </w:rPr>
        <w:t>Leases—</w:t>
      </w:r>
      <w:r>
        <w:rPr>
          <w:rFonts w:ascii="Arial" w:cs="Arial" w:eastAsia="Arial" w:hAnsi="Arial"/>
          <w:sz w:val="17"/>
          <w:szCs w:val="17"/>
          <w:color w:val="auto"/>
        </w:rPr>
        <w:t>The Company leases office space and equipment under non-cancelable lease agreements, which expire on various dates through 2022 or,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effectiveness of the Lease Amendment (as defined below), 2033.</w:t>
      </w:r>
    </w:p>
    <w:p>
      <w:pPr>
        <w:spacing w:after="0" w:line="105"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2010, 2009 and 2008, aggregate rental expense relating to operating leases amounted to $66,350, $69,412 and $74,558, respectively, and is included in “occupancy and equipment” or “technology and information services” on the consolidated statements of operations, depending on the nature of the underlying asset. The Company subleases office space under agreements, which expire on various dates through 2022. Sublease income from such agreements was $10,478, $11,327 and $11,531 for the years ended December 31, 2010, 2009 and 2008, respectively.</w:t>
      </w:r>
    </w:p>
    <w:p>
      <w:pPr>
        <w:spacing w:after="0" w:line="107" w:lineRule="exact"/>
        <w:rPr>
          <w:sz w:val="20"/>
          <w:szCs w:val="20"/>
          <w:color w:val="auto"/>
        </w:rPr>
      </w:pPr>
    </w:p>
    <w:p>
      <w:pPr>
        <w:jc w:val="both"/>
        <w:ind w:firstLine="457"/>
        <w:spacing w:after="0" w:line="292" w:lineRule="auto"/>
        <w:rPr>
          <w:sz w:val="20"/>
          <w:szCs w:val="20"/>
          <w:color w:val="auto"/>
        </w:rPr>
      </w:pPr>
      <w:r>
        <w:rPr>
          <w:rFonts w:ascii="Arial" w:cs="Arial" w:eastAsia="Arial" w:hAnsi="Arial"/>
          <w:sz w:val="16"/>
          <w:szCs w:val="16"/>
          <w:color w:val="auto"/>
        </w:rPr>
        <w:t>Capital lease obligations recorded under sale/leaseback transactions are payable through 2017 at a weighted average interest rate of approximately 6.63%. Such obligations are collateralized by certain buildings with a net book value of approximately $25,004 and $27,364 at December 31, 2010 and 2009, respectively. The net book value of all assets recorded under capital leases aggregated $27,767 and $28,728 at December 31, 2010 and 2009, respectively.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2010, minimum rental commitments under non-cancelable leases, net of sublease income, are approximately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46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Year Ending December 31,</w:t>
            </w: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5"/>
          </w:tcPr>
          <w:p>
            <w:pPr>
              <w:ind w:left="320"/>
              <w:spacing w:after="0"/>
              <w:rPr>
                <w:sz w:val="20"/>
                <w:szCs w:val="20"/>
                <w:color w:val="auto"/>
              </w:rPr>
            </w:pPr>
            <w:r>
              <w:rPr>
                <w:rFonts w:ascii="Arial" w:cs="Arial" w:eastAsia="Arial" w:hAnsi="Arial"/>
                <w:sz w:val="13"/>
                <w:szCs w:val="13"/>
                <w:b w:val="1"/>
                <w:bCs w:val="1"/>
                <w:color w:val="auto"/>
              </w:rPr>
              <w:t>Minimum Rental Commitments</w:t>
            </w:r>
          </w:p>
        </w:tc>
        <w:tc>
          <w:tcPr>
            <w:tcW w:w="0" w:type="dxa"/>
            <w:vAlign w:val="bottom"/>
          </w:tcPr>
          <w:p>
            <w:pPr>
              <w:spacing w:after="0"/>
              <w:rPr>
                <w:sz w:val="1"/>
                <w:szCs w:val="1"/>
                <w:color w:val="auto"/>
              </w:rPr>
            </w:pPr>
          </w:p>
        </w:tc>
      </w:tr>
      <w:tr>
        <w:trPr>
          <w:trHeight w:val="137"/>
        </w:trPr>
        <w:tc>
          <w:tcPr>
            <w:tcW w:w="466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9"/>
              <w:spacing w:after="0" w:line="137" w:lineRule="exact"/>
              <w:rPr>
                <w:sz w:val="20"/>
                <w:szCs w:val="20"/>
                <w:color w:val="auto"/>
              </w:rPr>
            </w:pPr>
            <w:r>
              <w:rPr>
                <w:rFonts w:ascii="Arial" w:cs="Arial" w:eastAsia="Arial" w:hAnsi="Arial"/>
                <w:sz w:val="13"/>
                <w:szCs w:val="13"/>
                <w:b w:val="1"/>
                <w:bCs w:val="1"/>
                <w:color w:val="auto"/>
              </w:rPr>
              <w:t>Capital</w:t>
            </w: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7"/>
              <w:spacing w:after="0" w:line="137" w:lineRule="exact"/>
              <w:rPr>
                <w:sz w:val="20"/>
                <w:szCs w:val="20"/>
                <w:color w:val="auto"/>
              </w:rPr>
            </w:pPr>
            <w:r>
              <w:rPr>
                <w:rFonts w:ascii="Arial" w:cs="Arial" w:eastAsia="Arial" w:hAnsi="Arial"/>
                <w:sz w:val="13"/>
                <w:szCs w:val="13"/>
                <w:b w:val="1"/>
                <w:bCs w:val="1"/>
                <w:color w:val="auto"/>
              </w:rPr>
              <w:t>Operating</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30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2012</w:t>
            </w:r>
          </w:p>
        </w:tc>
        <w:tc>
          <w:tcPr>
            <w:tcW w:w="3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3,660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3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3,548</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2014</w:t>
            </w:r>
          </w:p>
        </w:tc>
        <w:tc>
          <w:tcPr>
            <w:tcW w:w="3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3,020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3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11,625</w:t>
            </w:r>
          </w:p>
        </w:tc>
        <w:tc>
          <w:tcPr>
            <w:tcW w:w="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28,680</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Less amount representing interest</w:t>
            </w:r>
          </w:p>
        </w:tc>
        <w:tc>
          <w:tcPr>
            <w:tcW w:w="1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5,777</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Present value of capital lease commitments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22,903</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7"/>
                <w:szCs w:val="17"/>
                <w:color w:val="auto"/>
              </w:rPr>
              <w:t>Sublease proceeds</w:t>
            </w: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94,405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gridSpan w:val="3"/>
            <w:vMerge w:val="continue"/>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lease payments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The Company has agreed to enter into an amendment (the “Lease Amendment”) of the leases relating to its offices in Rockefeller Center, New York, New York (the “Leased Premises”). The effectiveness of the Lease Amendment is conditioned upon receipt of customary documentation evidencing, among other things, the consent of the lender holding a mortgage covering the Leased Premises. The Lease Amendment provides that the term of the lease will be extended until 2033, and would commit the Company for approximately $600,000 of aggregate incremental rentals over the amounts included in the table above.</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300"/>
          </w:cols>
          <w:pgMar w:left="240" w:top="448" w:right="35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580" w:firstLine="457"/>
        <w:spacing w:after="0" w:line="292" w:lineRule="auto"/>
        <w:rPr>
          <w:sz w:val="20"/>
          <w:szCs w:val="20"/>
          <w:color w:val="auto"/>
        </w:rPr>
      </w:pPr>
      <w:r>
        <w:rPr>
          <w:rFonts w:ascii="Arial" w:cs="Arial" w:eastAsia="Arial" w:hAnsi="Arial"/>
          <w:sz w:val="16"/>
          <w:szCs w:val="16"/>
          <w:color w:val="auto"/>
        </w:rPr>
        <w:t>With respect to abandoned leased facilities in the U.K., at December 31, 2010 and 2009, the Company has recognized liabilities of $7,194 and $9,991, respectively, which are included in “other liabilities” on the consolidated statements of financial condition. Payments toward the liabilities continue through the remaining term of the leases. Such liabilities are based on the discounted future commitment, net of expected sublease income.</w:t>
      </w:r>
    </w:p>
    <w:p>
      <w:pPr>
        <w:spacing w:after="0" w:line="98" w:lineRule="exact"/>
        <w:rPr>
          <w:sz w:val="20"/>
          <w:szCs w:val="20"/>
          <w:color w:val="auto"/>
        </w:rPr>
      </w:pPr>
    </w:p>
    <w:p>
      <w:pPr>
        <w:ind w:right="80" w:firstLine="457"/>
        <w:spacing w:after="0" w:line="320" w:lineRule="auto"/>
        <w:rPr>
          <w:sz w:val="20"/>
          <w:szCs w:val="20"/>
          <w:color w:val="auto"/>
        </w:rPr>
      </w:pPr>
      <w:r>
        <w:rPr>
          <w:rFonts w:ascii="Arial" w:cs="Arial" w:eastAsia="Arial" w:hAnsi="Arial"/>
          <w:sz w:val="15"/>
          <w:szCs w:val="15"/>
          <w:b w:val="1"/>
          <w:bCs w:val="1"/>
          <w:i w:val="1"/>
          <w:iCs w:val="1"/>
          <w:color w:val="auto"/>
        </w:rPr>
        <w:t>Guarantees—</w:t>
      </w:r>
      <w:r>
        <w:rPr>
          <w:rFonts w:ascii="Arial" w:cs="Arial" w:eastAsia="Arial" w:hAnsi="Arial"/>
          <w:sz w:val="15"/>
          <w:szCs w:val="15"/>
          <w:color w:val="auto"/>
        </w:rPr>
        <w:t>In the normal course of business, LFB provides indemnifications to third parties to protect them in the event of non-performance by its clients.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2010, LFB had $5,125 of such indemnifications and held $3,694 of collateral/counter-guarantees to secure these commitments. The Company believes the likelihood of loss with respect to these indemnities is remote. Accordingly, no liability is recorded in the consolidated statement of financial condition.</w:t>
      </w:r>
    </w:p>
    <w:p>
      <w:pPr>
        <w:spacing w:after="0" w:line="80" w:lineRule="exact"/>
        <w:rPr>
          <w:sz w:val="20"/>
          <w:szCs w:val="20"/>
          <w:color w:val="auto"/>
        </w:rPr>
      </w:pPr>
    </w:p>
    <w:p>
      <w:pPr>
        <w:jc w:val="both"/>
        <w:ind w:right="440" w:firstLine="457"/>
        <w:spacing w:after="0" w:line="268" w:lineRule="auto"/>
        <w:rPr>
          <w:sz w:val="20"/>
          <w:szCs w:val="20"/>
          <w:color w:val="auto"/>
        </w:rPr>
      </w:pPr>
      <w:r>
        <w:rPr>
          <w:rFonts w:ascii="Arial" w:cs="Arial" w:eastAsia="Arial" w:hAnsi="Arial"/>
          <w:sz w:val="17"/>
          <w:szCs w:val="17"/>
          <w:b w:val="1"/>
          <w:bCs w:val="1"/>
          <w:i w:val="1"/>
          <w:iCs w:val="1"/>
          <w:color w:val="auto"/>
        </w:rPr>
        <w:t>Private Equity Funding Commitments</w:t>
      </w:r>
      <w:r>
        <w:rPr>
          <w:rFonts w:ascii="Arial" w:cs="Arial" w:eastAsia="Arial" w:hAnsi="Arial"/>
          <w:sz w:val="17"/>
          <w:szCs w:val="17"/>
          <w:color w:val="auto"/>
        </w:rPr>
        <w:t>—At December 31, 2010, the principal unfunded commitments by the Company for capital contributions to private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investment funds related to CP II, is an amount not to exceed $5,290 for potential “follow-on investments” and/or for CP II expenses through the earlier of (i) February 25, 2017 or (ii) the liquidation of the fund.</w:t>
      </w:r>
    </w:p>
    <w:p>
      <w:pPr>
        <w:spacing w:after="0" w:line="115" w:lineRule="exact"/>
        <w:rPr>
          <w:sz w:val="20"/>
          <w:szCs w:val="20"/>
          <w:color w:val="auto"/>
        </w:rPr>
      </w:pPr>
    </w:p>
    <w:p>
      <w:pPr>
        <w:ind w:firstLine="457"/>
        <w:spacing w:after="0" w:line="320" w:lineRule="auto"/>
        <w:rPr>
          <w:sz w:val="20"/>
          <w:szCs w:val="20"/>
          <w:color w:val="auto"/>
        </w:rPr>
      </w:pPr>
      <w:r>
        <w:rPr>
          <w:rFonts w:ascii="Arial" w:cs="Arial" w:eastAsia="Arial" w:hAnsi="Arial"/>
          <w:sz w:val="15"/>
          <w:szCs w:val="15"/>
          <w:b w:val="1"/>
          <w:bCs w:val="1"/>
          <w:i w:val="1"/>
          <w:iCs w:val="1"/>
          <w:color w:val="auto"/>
        </w:rPr>
        <w:t>Other Commitments</w:t>
      </w:r>
      <w:r>
        <w:rPr>
          <w:rFonts w:ascii="Arial" w:cs="Arial" w:eastAsia="Arial" w:hAnsi="Arial"/>
          <w:sz w:val="15"/>
          <w:szCs w:val="15"/>
          <w:color w:val="auto"/>
        </w:rPr>
        <w:t>—In the normal course of business, LFB enters into commitments to extend credit, predominately at variable interest rates. Outstanding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commitments at December 31, 2010 were $15,493. Such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80" w:lineRule="exact"/>
        <w:rPr>
          <w:sz w:val="20"/>
          <w:szCs w:val="20"/>
          <w:color w:val="auto"/>
        </w:rPr>
      </w:pPr>
    </w:p>
    <w:p>
      <w:pPr>
        <w:ind w:right="100" w:firstLine="457"/>
        <w:spacing w:after="0" w:line="280" w:lineRule="auto"/>
        <w:rPr>
          <w:sz w:val="20"/>
          <w:szCs w:val="20"/>
          <w:color w:val="auto"/>
        </w:rPr>
      </w:pPr>
      <w:r>
        <w:rPr>
          <w:rFonts w:ascii="Arial" w:cs="Arial" w:eastAsia="Arial" w:hAnsi="Arial"/>
          <w:sz w:val="17"/>
          <w:szCs w:val="17"/>
          <w:color w:val="auto"/>
        </w:rPr>
        <w:t>See Notes 8, 9 and 17 of Notes to Consolidated Financial Statements for information regarding commitments relating to the LAM Merger, business acquisitions and obligations to fund our pension plans, respectively.</w:t>
      </w:r>
    </w:p>
    <w:p>
      <w:pPr>
        <w:spacing w:after="0" w:line="105" w:lineRule="exact"/>
        <w:rPr>
          <w:sz w:val="20"/>
          <w:szCs w:val="20"/>
          <w:color w:val="auto"/>
        </w:rPr>
      </w:pPr>
    </w:p>
    <w:p>
      <w:pPr>
        <w:ind w:right="200" w:firstLine="457"/>
        <w:spacing w:after="0" w:line="264" w:lineRule="auto"/>
        <w:rPr>
          <w:sz w:val="20"/>
          <w:szCs w:val="20"/>
          <w:color w:val="auto"/>
        </w:rPr>
      </w:pPr>
      <w:r>
        <w:rPr>
          <w:rFonts w:ascii="Arial" w:cs="Arial" w:eastAsia="Arial" w:hAnsi="Arial"/>
          <w:sz w:val="17"/>
          <w:szCs w:val="17"/>
          <w:color w:val="auto"/>
        </w:rPr>
        <w:t>The Company has various other contractual commitments arising in the ordinary course of business. In the opinion of management, the consummation of such commitments will not have a material adverse effect on the Company’s consolidated financial position or results of operations.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119"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9" w:lineRule="exact"/>
        <w:rPr>
          <w:sz w:val="20"/>
          <w:szCs w:val="20"/>
          <w:color w:val="auto"/>
        </w:rPr>
      </w:pPr>
    </w:p>
    <w:p>
      <w:pPr>
        <w:ind w:left="460" w:hanging="456"/>
        <w:spacing w:after="0"/>
        <w:tabs>
          <w:tab w:leader="none" w:pos="460" w:val="left"/>
        </w:tabs>
        <w:numPr>
          <w:ilvl w:val="0"/>
          <w:numId w:val="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STOCKHOLDERS’ EQUITY</w:t>
      </w:r>
    </w:p>
    <w:p>
      <w:pPr>
        <w:spacing w:after="0" w:line="79" w:lineRule="exact"/>
        <w:rPr>
          <w:sz w:val="20"/>
          <w:szCs w:val="20"/>
          <w:color w:val="auto"/>
        </w:rPr>
      </w:pPr>
    </w:p>
    <w:p>
      <w:pPr>
        <w:jc w:val="both"/>
        <w:ind w:right="260" w:firstLine="457"/>
        <w:spacing w:after="0" w:line="268" w:lineRule="auto"/>
        <w:rPr>
          <w:sz w:val="20"/>
          <w:szCs w:val="20"/>
          <w:color w:val="auto"/>
        </w:rPr>
      </w:pPr>
      <w:r>
        <w:rPr>
          <w:rFonts w:ascii="Arial" w:cs="Arial" w:eastAsia="Arial" w:hAnsi="Arial"/>
          <w:sz w:val="17"/>
          <w:szCs w:val="17"/>
          <w:b w:val="1"/>
          <w:bCs w:val="1"/>
          <w:i w:val="1"/>
          <w:iCs w:val="1"/>
          <w:color w:val="auto"/>
        </w:rPr>
        <w:t>Issuance of Class A Common Shares</w:t>
      </w:r>
      <w:r>
        <w:rPr>
          <w:rFonts w:ascii="Arial" w:cs="Arial" w:eastAsia="Arial" w:hAnsi="Arial"/>
          <w:sz w:val="17"/>
          <w:szCs w:val="17"/>
          <w:color w:val="auto"/>
        </w:rPr>
        <w:t>—During the year ended December 31, 2010, 3,000,000 shares of Class A common stock were newly issued by Lazard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Ltd to Lazard Group in connection with the settlement of vested restricted stock unit grants denominated in shares of Class A common stock (“RSUs”). Such shares were authorized as part of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448"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220"/>
        <w:spacing w:after="0" w:line="320" w:lineRule="auto"/>
        <w:rPr>
          <w:sz w:val="20"/>
          <w:szCs w:val="20"/>
          <w:color w:val="auto"/>
        </w:rPr>
      </w:pPr>
      <w:r>
        <w:rPr>
          <w:rFonts w:ascii="Arial" w:cs="Arial" w:eastAsia="Arial" w:hAnsi="Arial"/>
          <w:sz w:val="15"/>
          <w:szCs w:val="15"/>
          <w:color w:val="auto"/>
        </w:rPr>
        <w:t>the 25,000,000 shares of Class A common stock that may be issued under the Lazard Ltd 2005 Equity Incentive Plan (the “2005 Plan”). In addition, during 2010, Lazard Ltd issued an aggregate of 888,605 shares of Class A common stock in connection with the GAHL and CWC acquisitions, which includes 572,988 shares of Class A common stock issued upon conversion of 4,862 shares of Lazard Ltd Series A preferred stock (see Note 9 of Notes to Consolidated Financial Statements).</w:t>
      </w:r>
    </w:p>
    <w:p>
      <w:pPr>
        <w:spacing w:after="0" w:line="80" w:lineRule="exact"/>
        <w:rPr>
          <w:sz w:val="20"/>
          <w:szCs w:val="20"/>
          <w:color w:val="auto"/>
        </w:rPr>
      </w:pPr>
    </w:p>
    <w:p>
      <w:pPr>
        <w:ind w:right="220" w:firstLine="457"/>
        <w:spacing w:after="0" w:line="262" w:lineRule="auto"/>
        <w:rPr>
          <w:sz w:val="20"/>
          <w:szCs w:val="20"/>
          <w:color w:val="auto"/>
        </w:rPr>
      </w:pPr>
      <w:r>
        <w:rPr>
          <w:rFonts w:ascii="Arial" w:cs="Arial" w:eastAsia="Arial" w:hAnsi="Arial"/>
          <w:sz w:val="17"/>
          <w:szCs w:val="17"/>
          <w:b w:val="1"/>
          <w:bCs w:val="1"/>
          <w:i w:val="1"/>
          <w:iCs w:val="1"/>
          <w:color w:val="auto"/>
        </w:rPr>
        <w:t>Secondary Offerings</w:t>
      </w:r>
      <w:r>
        <w:rPr>
          <w:rFonts w:ascii="Arial" w:cs="Arial" w:eastAsia="Arial" w:hAnsi="Arial"/>
          <w:sz w:val="17"/>
          <w:szCs w:val="17"/>
          <w:color w:val="auto"/>
        </w:rPr>
        <w:t>—Pursuant to the applicable Prospectus Supplements during 2008, 2009 and 2010, certain selling shareholders of Lazard Ltd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current and former managing directors of Lazard (and, from time to time, certain of our directors, executive officers or former executive officers) and their permitted transferees (collectively, the “Selling Shareholders”), who hold LAZ-MD Holdings exchangeable interests and/or Class A common stock) offered to sell shares of Class A common stock pursuant to applicable underwriting agreements and pricing agreements. Secondary offerings during the years ended December 31, 2008, 2009 and 2010 are described below.</w:t>
      </w:r>
    </w:p>
    <w:p>
      <w:pPr>
        <w:spacing w:after="0" w:line="117" w:lineRule="exact"/>
        <w:rPr>
          <w:sz w:val="20"/>
          <w:szCs w:val="20"/>
          <w:color w:val="auto"/>
        </w:rPr>
      </w:pPr>
    </w:p>
    <w:p>
      <w:pPr>
        <w:ind w:right="20" w:firstLine="457"/>
        <w:spacing w:after="0" w:line="297" w:lineRule="auto"/>
        <w:rPr>
          <w:sz w:val="20"/>
          <w:szCs w:val="20"/>
          <w:color w:val="auto"/>
        </w:rPr>
      </w:pPr>
      <w:r>
        <w:rPr>
          <w:rFonts w:ascii="Arial" w:cs="Arial" w:eastAsia="Arial" w:hAnsi="Arial"/>
          <w:sz w:val="15"/>
          <w:szCs w:val="15"/>
          <w:b w:val="1"/>
          <w:bCs w:val="1"/>
          <w:u w:val="single" w:color="auto"/>
          <w:color w:val="auto"/>
        </w:rPr>
        <w:t>2008</w:t>
      </w:r>
      <w:r>
        <w:rPr>
          <w:rFonts w:ascii="Arial" w:cs="Arial" w:eastAsia="Arial" w:hAnsi="Arial"/>
          <w:sz w:val="15"/>
          <w:szCs w:val="15"/>
          <w:b w:val="1"/>
          <w:bCs w:val="1"/>
          <w:color w:val="auto"/>
        </w:rPr>
        <w:t xml:space="preserve"> </w:t>
      </w:r>
      <w:r>
        <w:rPr>
          <w:rFonts w:ascii="Arial" w:cs="Arial" w:eastAsia="Arial" w:hAnsi="Arial"/>
          <w:sz w:val="15"/>
          <w:szCs w:val="15"/>
          <w:color w:val="auto"/>
        </w:rPr>
        <w:t>– In September 2008, certain Selling Shareholders offered to sell 6,442,721 shares of Class A common stock. The underwriters had the option to 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up to an additional 715,858 shares of Class A common stock (together with the offering of 6,442,721 shares of Class A common stock (the “2008 Secondary Offering”)) from the Selling Shareholders (the “2008 Selling Shareholders”). To the extent that this option was not exercised in full, Lazard Group agreed to separately purchase from the 2008 Selling Shareholders, at the public offering price less the underwriting discount, all of those shares covered by the option and not purchased pursuant to the option. Pursuant to that separate purchase agreement, Lazard Group purchased 68,238 shares of Class A common stock for an aggregate cost of $2,430 ($35.61 per share). In addition, pursuant to the underwriting agreement, Lazard Group also separately purchased 715,858 shares of Class A common stock from the 2008 Selling Shareholders for an aggregate cost of $25,493 ($35.61 per share). The shares of Class A common stock described in this paragraph purchased by Lazard Group were purchased as part of the share repurchase program described below. In the aggregate, the 2008 Selling Shareholders sold a total of 7,874,437 shares of Class A common stock (including 1,472,906 shares of Class A common stock previously exchanged for LAZ-MD Holdings exchangeable interests and 6,401,531 shares of Class A common stock exchanged for LAZ-MD Holdings interests simultaneously with the 2008 Secondary Offering).</w:t>
      </w:r>
    </w:p>
    <w:p>
      <w:pPr>
        <w:spacing w:after="0" w:line="101"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Lazard Capital Markets LLC (“LCM”), a wholly-owned subsidiary of LFCM Holdings LLC (“LFCM Holdings”), was a member of the underwriting group for the 2008 Secondary Offering, and, in such capacity, earned revenue, net of estimated underwriting expenses, of approximately $1,852. The business alliance agreement entered into on May 10, 2005 by and among LAZ-MD Holdings, LFCM Holdings and Lazard Group (the “business alliance agreement”) provides for Lazard Group to receive a referral fee equal to approximately one-half of the net revenue obtained by LCM in respect of any underwriting or distribution opportunity referred to it by Lazard Group. In that connection, Lazard Group recognized $926 of income in “revenue-other.” See Note 21 of Notes to Consolidated Financial Statements for additional information regarding the business alliance agreement.</w:t>
      </w:r>
    </w:p>
    <w:p>
      <w:pPr>
        <w:spacing w:after="0" w:line="117"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b w:val="1"/>
          <w:bCs w:val="1"/>
          <w:u w:val="single" w:color="auto"/>
          <w:color w:val="auto"/>
        </w:rPr>
        <w:t>2009</w:t>
      </w:r>
      <w:r>
        <w:rPr>
          <w:rFonts w:ascii="Arial" w:cs="Arial" w:eastAsia="Arial" w:hAnsi="Arial"/>
          <w:sz w:val="15"/>
          <w:szCs w:val="15"/>
          <w:b w:val="1"/>
          <w:bCs w:val="1"/>
          <w:color w:val="auto"/>
        </w:rPr>
        <w:t xml:space="preserve"> </w:t>
      </w:r>
      <w:r>
        <w:rPr>
          <w:rFonts w:ascii="Arial" w:cs="Arial" w:eastAsia="Arial" w:hAnsi="Arial"/>
          <w:sz w:val="15"/>
          <w:szCs w:val="15"/>
          <w:color w:val="auto"/>
        </w:rPr>
        <w:t>– In June 2009, certain Selling Shareholders (the “June 2009 Selling Shareholders”) sold 4,000,000 shares of Class A common stock at a price of $26.00</w:t>
      </w:r>
      <w:r>
        <w:rPr>
          <w:rFonts w:ascii="Arial" w:cs="Arial" w:eastAsia="Arial" w:hAnsi="Arial"/>
          <w:sz w:val="15"/>
          <w:szCs w:val="15"/>
          <w:b w:val="1"/>
          <w:bCs w:val="1"/>
          <w:color w:val="auto"/>
        </w:rPr>
        <w:t xml:space="preserve"> </w:t>
      </w:r>
      <w:r>
        <w:rPr>
          <w:rFonts w:ascii="Arial" w:cs="Arial" w:eastAsia="Arial" w:hAnsi="Arial"/>
          <w:sz w:val="15"/>
          <w:szCs w:val="15"/>
          <w:color w:val="auto"/>
        </w:rPr>
        <w:t>per share (the “June 2009 Secondary Offering”). Separately, in connection with the June 2009 Secondary Offering, Lazard Group agreed to purchase from the June 2009 Selling Shareholders 1,700,000 shares of Class A common stock for an aggregate cost of $44,200 ($26.00 per share), with such purchase being part of the share repurchase program in effect during 2009. In the aggregate, the June 2009 Selling Shareholders sold a total of 5,700,000 shares of Class A common stock (including 2,110,754 shares of Class A common stock previously received upon the exchange of a like number of LAZ-MD Holdings exchangeable interests and 3,589,246 shares of Class A common stock received upon a simultaneous exchange of a like number of LAZ-MD Holdings exchangeable interests).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380"/>
          </w:cols>
          <w:pgMar w:left="240" w:top="448" w:right="27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In September 2009, certain Selling Shareholders (the “September 2009 Selling Shareholders”) sold 5,215,921 shares of Class A common stock (including 2,411,001 shares of Class A common stock previously received upon the exchange of a like number of LAZ-MD Holdings exchangeable interests and 2,804,920 shares of Class A common stock received upon a simultaneous exchange of a like number of LAZ-MD Holdings exchangeable interests) at a price of $37.00 per share (the “September 2009 Secondary Offering”, and together with the June 2009 Secondary Offering, the “2009 Secondary Offerings”).</w:t>
      </w:r>
    </w:p>
    <w:p>
      <w:pPr>
        <w:spacing w:after="0" w:line="101"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b w:val="1"/>
          <w:bCs w:val="1"/>
          <w:u w:val="single" w:color="auto"/>
          <w:color w:val="auto"/>
        </w:rPr>
        <w:t>2010</w:t>
      </w:r>
      <w:r>
        <w:rPr>
          <w:rFonts w:ascii="Arial" w:cs="Arial" w:eastAsia="Arial" w:hAnsi="Arial"/>
          <w:sz w:val="17"/>
          <w:szCs w:val="17"/>
          <w:b w:val="1"/>
          <w:bCs w:val="1"/>
          <w:color w:val="auto"/>
        </w:rPr>
        <w:t xml:space="preserve"> – </w:t>
      </w:r>
      <w:r>
        <w:rPr>
          <w:rFonts w:ascii="Arial" w:cs="Arial" w:eastAsia="Arial" w:hAnsi="Arial"/>
          <w:sz w:val="17"/>
          <w:szCs w:val="17"/>
          <w:color w:val="auto"/>
        </w:rPr>
        <w:t>In March 2010, certain Selling Shareholders sold 7,869,311 shares of Class A common stock (including (i) 7,262 shares of Class A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21"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In August 2010, certain Selling Shareholders (the “August 2010 Selling Shareholders”) sold 7,397,837 shares of Class A common stock at a price of $30.32 per share (the “August 2010 Secondary Offering”). Separately, in connection with the August 2010 Secondary Offering, Lazard Group agreed to purchase from the August 2010 Selling Shareholders 2,500,000 shares of Class A common stock for an aggregate cost of $75,800 ($30.32 per share), with such purchase being part of the share repurchase program in effect during 2010. In the aggregate, the August 2010 Selling Shareholders sold a total of 9,897,837 shares of Class A common stock (including 7,194,144 shares of Class A common stock previously received upon the exchange of a like number of LAZ-MD Holdings exchangeable interests and 2,703,693 shares of Class A common stock received upon a simultaneous exchange of a like number of LAZ-MD Holdings exchangeable interests).</w:t>
      </w:r>
    </w:p>
    <w:p>
      <w:pPr>
        <w:spacing w:after="0" w:line="94" w:lineRule="exact"/>
        <w:rPr>
          <w:sz w:val="20"/>
          <w:szCs w:val="20"/>
          <w:color w:val="auto"/>
        </w:rPr>
      </w:pPr>
    </w:p>
    <w:p>
      <w:pPr>
        <w:ind w:right="360" w:firstLine="457"/>
        <w:spacing w:after="0" w:line="300" w:lineRule="auto"/>
        <w:rPr>
          <w:sz w:val="20"/>
          <w:szCs w:val="20"/>
          <w:color w:val="auto"/>
        </w:rPr>
      </w:pPr>
      <w:r>
        <w:rPr>
          <w:rFonts w:ascii="Arial" w:cs="Arial" w:eastAsia="Arial" w:hAnsi="Arial"/>
          <w:sz w:val="15"/>
          <w:szCs w:val="15"/>
          <w:color w:val="auto"/>
        </w:rPr>
        <w:t>In November 2010, certain Selling Shareholders (the “November 2010 Selling Shareholders”) sold 3,000,000 shares of Class A common stock at a price of $35.77 per share (the “November 2010 Secondary Offering”, and together with the March 2010 Secondary Offering and the August 2010 Secondary Offering, the “2010 Secondary Offerings”). Separately, in connection with the November 2010 Secondary Offering, Lazard Group agreed to purchase from the November 2010 Selling Shareholders 1,220,714 shares of Class A common stock for an aggregate cost of $43,665 ($35.77 per share), with such purchase being part of the share repurchase program in effect during 2010. In the aggregate, the November 2010 Selling Shareholders sold a total of 4,220,714 shares of Class A common stock (including 1,543,245 shares of Class A common stock previously received upon the exchange of a like number of LAZ-MD Holdings exchangeable interests and 2,677,469 shares of Class A common stock received upon a simultaneous exchange of a like number of LAZ-MD Holdings exchangeable interests).</w:t>
      </w:r>
    </w:p>
    <w:p>
      <w:pPr>
        <w:spacing w:after="0" w:line="96" w:lineRule="exact"/>
        <w:rPr>
          <w:sz w:val="20"/>
          <w:szCs w:val="20"/>
          <w:color w:val="auto"/>
        </w:rPr>
      </w:pPr>
    </w:p>
    <w:p>
      <w:pPr>
        <w:ind w:right="100" w:firstLine="457"/>
        <w:spacing w:after="0" w:line="280" w:lineRule="auto"/>
        <w:rPr>
          <w:sz w:val="20"/>
          <w:szCs w:val="20"/>
          <w:color w:val="auto"/>
        </w:rPr>
      </w:pPr>
      <w:r>
        <w:rPr>
          <w:rFonts w:ascii="Arial" w:cs="Arial" w:eastAsia="Arial" w:hAnsi="Arial"/>
          <w:sz w:val="17"/>
          <w:szCs w:val="17"/>
          <w:color w:val="auto"/>
        </w:rPr>
        <w:t>Lazard Ltd did not receive any net proceeds from the sales of Class A common stock from the 2008 Secondary Offering, the 2009 Secondary Offerings and the 2010 Secondary Offerings (collectively, the “2008, 2009 and 2010 Secondary Offerings”).</w:t>
      </w:r>
    </w:p>
    <w:p>
      <w:pPr>
        <w:spacing w:after="0" w:line="105" w:lineRule="exact"/>
        <w:rPr>
          <w:sz w:val="20"/>
          <w:szCs w:val="20"/>
          <w:color w:val="auto"/>
        </w:rPr>
      </w:pPr>
    </w:p>
    <w:p>
      <w:pPr>
        <w:jc w:val="both"/>
        <w:ind w:right="20" w:firstLine="457"/>
        <w:spacing w:after="0" w:line="293" w:lineRule="auto"/>
        <w:rPr>
          <w:sz w:val="20"/>
          <w:szCs w:val="20"/>
          <w:color w:val="auto"/>
        </w:rPr>
      </w:pPr>
      <w:r>
        <w:rPr>
          <w:rFonts w:ascii="Arial" w:cs="Arial" w:eastAsia="Arial" w:hAnsi="Arial"/>
          <w:sz w:val="15"/>
          <w:szCs w:val="15"/>
          <w:b w:val="1"/>
          <w:bCs w:val="1"/>
          <w:i w:val="1"/>
          <w:iCs w:val="1"/>
          <w:color w:val="auto"/>
        </w:rPr>
        <w:t>Lazard Group Distributions—</w:t>
      </w:r>
      <w:r>
        <w:rPr>
          <w:rFonts w:ascii="Arial" w:cs="Arial" w:eastAsia="Arial" w:hAnsi="Arial"/>
          <w:sz w:val="15"/>
          <w:szCs w:val="15"/>
          <w:color w:val="auto"/>
        </w:rPr>
        <w:t>As previously described, Lazard Group’s common membership interests are held by subsidiaries of Lazard Ltd and by LAZ-MD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w:t>
      </w:r>
    </w:p>
    <w:p>
      <w:pPr>
        <w:spacing w:after="0" w:line="1" w:lineRule="exact"/>
        <w:rPr>
          <w:sz w:val="20"/>
          <w:szCs w:val="20"/>
          <w:color w:val="auto"/>
        </w:rPr>
      </w:pPr>
    </w:p>
    <w:p>
      <w:pPr>
        <w:ind w:right="580" w:firstLine="4"/>
        <w:spacing w:after="0" w:line="272" w:lineRule="auto"/>
        <w:tabs>
          <w:tab w:leader="none" w:pos="25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tax distributions in respect of income taxes that Lazard Ltd’s subsidiaries and the members of LAZ-MD Holdings incur as a result of holding Lazard Group common membership interests.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380"/>
          </w:cols>
          <w:pgMar w:left="240" w:top="448" w:right="27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2010, 2009 and 2008, Lazard Group distributed the following amounts to LAZ-MD Holdings and the subsidiaries of</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Lazard Ltd: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6"/>
          </w:tcPr>
          <w:p>
            <w:pPr>
              <w:ind w:left="46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8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60"/>
              <w:spacing w:after="0" w:line="137" w:lineRule="exact"/>
              <w:rPr>
                <w:sz w:val="20"/>
                <w:szCs w:val="20"/>
                <w:color w:val="auto"/>
              </w:rPr>
            </w:pPr>
            <w:r>
              <w:rPr>
                <w:rFonts w:ascii="Arial" w:cs="Arial" w:eastAsia="Arial" w:hAnsi="Arial"/>
                <w:sz w:val="13"/>
                <w:szCs w:val="13"/>
                <w:b w:val="1"/>
                <w:bCs w:val="1"/>
                <w:color w:val="auto"/>
              </w:rPr>
              <w:t>2010</w:t>
            </w:r>
          </w:p>
        </w:tc>
        <w:tc>
          <w:tcPr>
            <w:tcW w:w="1000" w:type="dxa"/>
            <w:vAlign w:val="bottom"/>
            <w:tcBorders>
              <w:top w:val="single" w:sz="8" w:color="auto"/>
            </w:tcBorders>
            <w:gridSpan w:val="2"/>
          </w:tcPr>
          <w:p>
            <w:pPr>
              <w:jc w:val="right"/>
              <w:ind w:right="55"/>
              <w:spacing w:after="0" w:line="137" w:lineRule="exact"/>
              <w:rPr>
                <w:sz w:val="20"/>
                <w:szCs w:val="20"/>
                <w:color w:val="auto"/>
              </w:rPr>
            </w:pPr>
            <w:r>
              <w:rPr>
                <w:rFonts w:ascii="Arial" w:cs="Arial" w:eastAsia="Arial" w:hAnsi="Arial"/>
                <w:sz w:val="13"/>
                <w:szCs w:val="13"/>
                <w:b w:val="1"/>
                <w:bCs w:val="1"/>
                <w:color w:val="auto"/>
              </w:rPr>
              <w:t>2009</w:t>
            </w:r>
          </w:p>
        </w:tc>
        <w:tc>
          <w:tcPr>
            <w:tcW w:w="1000" w:type="dxa"/>
            <w:vAlign w:val="bottom"/>
            <w:tcBorders>
              <w:top w:val="single" w:sz="8" w:color="auto"/>
            </w:tcBorders>
            <w:gridSpan w:val="2"/>
          </w:tcPr>
          <w:p>
            <w:pPr>
              <w:jc w:val="right"/>
              <w:ind w:right="75"/>
              <w:spacing w:after="0" w:line="137" w:lineRule="exact"/>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1"/>
                <w:szCs w:val="11"/>
                <w:color w:val="auto"/>
              </w:rPr>
            </w:pPr>
          </w:p>
        </w:tc>
      </w:tr>
      <w:tr>
        <w:trPr>
          <w:trHeight w:val="202"/>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Tax distributions:</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8780" w:type="dxa"/>
            <w:vAlign w:val="bottom"/>
          </w:tcPr>
          <w:p>
            <w:pPr>
              <w:ind w:left="420"/>
              <w:spacing w:after="0"/>
              <w:rPr>
                <w:sz w:val="20"/>
                <w:szCs w:val="20"/>
                <w:color w:val="auto"/>
              </w:rPr>
            </w:pPr>
            <w:r>
              <w:rPr>
                <w:rFonts w:ascii="Arial" w:cs="Arial" w:eastAsia="Arial" w:hAnsi="Arial"/>
                <w:sz w:val="17"/>
                <w:szCs w:val="17"/>
                <w:color w:val="auto"/>
              </w:rPr>
              <w:t>LAZ-MD Holdings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9,480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$25,316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$39,205</w:t>
            </w:r>
          </w:p>
        </w:tc>
        <w:tc>
          <w:tcPr>
            <w:tcW w:w="80" w:type="dxa"/>
            <w:vAlign w:val="bottom"/>
          </w:tcPr>
          <w:p>
            <w:pPr>
              <w:spacing w:after="0"/>
              <w:rPr>
                <w:sz w:val="18"/>
                <w:szCs w:val="18"/>
                <w:color w:val="auto"/>
              </w:rPr>
            </w:pPr>
          </w:p>
        </w:tc>
      </w:tr>
      <w:tr>
        <w:trPr>
          <w:trHeight w:val="209"/>
        </w:trPr>
        <w:tc>
          <w:tcPr>
            <w:tcW w:w="8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Subsidiaries of Lazard Ltd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52,135</w:t>
            </w:r>
          </w:p>
        </w:tc>
        <w:tc>
          <w:tcPr>
            <w:tcW w:w="4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42,044</w:t>
            </w:r>
          </w:p>
        </w:tc>
        <w:tc>
          <w:tcPr>
            <w:tcW w:w="4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44,153</w:t>
            </w:r>
          </w:p>
        </w:tc>
        <w:tc>
          <w:tcPr>
            <w:tcW w:w="80" w:type="dxa"/>
            <w:vAlign w:val="bottom"/>
            <w:shd w:val="clear" w:color="auto" w:fill="CCEEFF"/>
          </w:tcPr>
          <w:p>
            <w:pPr>
              <w:spacing w:after="0"/>
              <w:rPr>
                <w:sz w:val="18"/>
                <w:szCs w:val="18"/>
                <w:color w:val="auto"/>
              </w:rPr>
            </w:pPr>
          </w:p>
        </w:tc>
      </w:tr>
      <w:tr>
        <w:trPr>
          <w:trHeight w:val="214"/>
        </w:trPr>
        <w:tc>
          <w:tcPr>
            <w:tcW w:w="8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61,615</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67,360</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83,358</w:t>
            </w:r>
          </w:p>
        </w:tc>
        <w:tc>
          <w:tcPr>
            <w:tcW w:w="80" w:type="dxa"/>
            <w:vAlign w:val="bottom"/>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2"/>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Other distributions: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8780" w:type="dxa"/>
            <w:vAlign w:val="bottom"/>
          </w:tcPr>
          <w:p>
            <w:pPr>
              <w:ind w:left="420"/>
              <w:spacing w:after="0"/>
              <w:rPr>
                <w:sz w:val="20"/>
                <w:szCs w:val="20"/>
                <w:color w:val="auto"/>
              </w:rPr>
            </w:pPr>
            <w:r>
              <w:rPr>
                <w:rFonts w:ascii="Arial" w:cs="Arial" w:eastAsia="Arial" w:hAnsi="Arial"/>
                <w:sz w:val="17"/>
                <w:szCs w:val="17"/>
                <w:color w:val="auto"/>
              </w:rPr>
              <w:t>LAZ-MD Holdings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9,804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$17,403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$20,694</w:t>
            </w:r>
          </w:p>
        </w:tc>
        <w:tc>
          <w:tcPr>
            <w:tcW w:w="80" w:type="dxa"/>
            <w:vAlign w:val="bottom"/>
          </w:tcPr>
          <w:p>
            <w:pPr>
              <w:spacing w:after="0"/>
              <w:rPr>
                <w:sz w:val="18"/>
                <w:szCs w:val="18"/>
                <w:color w:val="auto"/>
              </w:rPr>
            </w:pPr>
          </w:p>
        </w:tc>
      </w:tr>
      <w:tr>
        <w:trPr>
          <w:trHeight w:val="209"/>
        </w:trPr>
        <w:tc>
          <w:tcPr>
            <w:tcW w:w="8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Subsidiaries of Lazard Ltd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50,581</w:t>
            </w:r>
          </w:p>
        </w:tc>
        <w:tc>
          <w:tcPr>
            <w:tcW w:w="4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33,451</w:t>
            </w:r>
          </w:p>
        </w:tc>
        <w:tc>
          <w:tcPr>
            <w:tcW w:w="4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23,056</w:t>
            </w:r>
          </w:p>
        </w:tc>
        <w:tc>
          <w:tcPr>
            <w:tcW w:w="80" w:type="dxa"/>
            <w:vAlign w:val="bottom"/>
            <w:shd w:val="clear" w:color="auto" w:fill="CCEEFF"/>
          </w:tcPr>
          <w:p>
            <w:pPr>
              <w:spacing w:after="0"/>
              <w:rPr>
                <w:sz w:val="18"/>
                <w:szCs w:val="18"/>
                <w:color w:val="auto"/>
              </w:rPr>
            </w:pPr>
          </w:p>
        </w:tc>
      </w:tr>
      <w:tr>
        <w:trPr>
          <w:trHeight w:val="214"/>
        </w:trPr>
        <w:tc>
          <w:tcPr>
            <w:tcW w:w="8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60,385</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50,854</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43,750</w:t>
            </w:r>
          </w:p>
        </w:tc>
        <w:tc>
          <w:tcPr>
            <w:tcW w:w="80" w:type="dxa"/>
            <w:vAlign w:val="bottom"/>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60" w:firstLine="457"/>
        <w:spacing w:after="0" w:line="313"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1" w:lineRule="exact"/>
        <w:rPr>
          <w:sz w:val="20"/>
          <w:szCs w:val="20"/>
          <w:color w:val="auto"/>
        </w:rPr>
      </w:pPr>
    </w:p>
    <w:p>
      <w:pPr>
        <w:ind w:right="200" w:firstLine="457"/>
        <w:spacing w:after="0" w:line="264" w:lineRule="auto"/>
        <w:rPr>
          <w:sz w:val="20"/>
          <w:szCs w:val="20"/>
          <w:color w:val="auto"/>
        </w:rPr>
      </w:pPr>
      <w:r>
        <w:rPr>
          <w:rFonts w:ascii="Arial" w:cs="Arial" w:eastAsia="Arial" w:hAnsi="Arial"/>
          <w:sz w:val="17"/>
          <w:szCs w:val="17"/>
          <w:b w:val="1"/>
          <w:bCs w:val="1"/>
          <w:i w:val="1"/>
          <w:iCs w:val="1"/>
          <w:color w:val="auto"/>
        </w:rPr>
        <w:t>Exchange of Lazard Group Common Membership Interests</w:t>
      </w:r>
      <w:r>
        <w:rPr>
          <w:rFonts w:ascii="Arial" w:cs="Arial" w:eastAsia="Arial" w:hAnsi="Arial"/>
          <w:sz w:val="17"/>
          <w:szCs w:val="17"/>
          <w:color w:val="auto"/>
        </w:rPr>
        <w:t>—In addition to the simultaneous exchanges that occurred in connection with the 2008, 2009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2010 Secondary Offerings, during the years ended 2008, 2009 and 2010, Lazard Ltd issued 2,910,657, 7,523,236 and 12,081,618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68"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b w:val="1"/>
          <w:bCs w:val="1"/>
          <w:i w:val="1"/>
          <w:iCs w:val="1"/>
          <w:color w:val="auto"/>
        </w:rPr>
        <w:t>Share Repurchase Program—</w:t>
      </w:r>
      <w:r>
        <w:rPr>
          <w:rFonts w:ascii="Arial" w:cs="Arial" w:eastAsia="Arial" w:hAnsi="Arial"/>
          <w:sz w:val="17"/>
          <w:szCs w:val="17"/>
          <w:color w:val="auto"/>
        </w:rPr>
        <w:t>On January 27, 2010, the Board of Directors of Lazard Ltd authorized, on a cumulative basis, the repurchase of up to $200,000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 cost of its Class A common stock and Lazard Group common membership interests through December 31, 2011. The Company expects that the share repurchase program, with respect to the Class A common stock, will continue to be used primarily to offset a portion of the shares that have been or will be issued under the 2005 Plan and the Lazard Ltd 2008 Incentive Compensation Plan (the “2008 Plan”). The Company’s prior share repurchase program expired on December 31, 2009, with $62,542 of the initial $500,000 repurchase authorization unused. Pursuant to such authorizations, purchases have been made in the open market or through privately negotiated transactions, and since inception of the program in February 2006 through December 31, 2010, purchases by Lazard Group with respect to such program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Average</w:t>
            </w:r>
          </w:p>
        </w:tc>
      </w:tr>
      <w:tr>
        <w:trPr>
          <w:trHeight w:val="144"/>
        </w:trPr>
        <w:tc>
          <w:tcPr>
            <w:tcW w:w="47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center"/>
              <w:ind w:right="840"/>
              <w:spacing w:after="0" w:line="144" w:lineRule="exact"/>
              <w:rPr>
                <w:sz w:val="20"/>
                <w:szCs w:val="20"/>
                <w:color w:val="auto"/>
              </w:rPr>
            </w:pPr>
            <w:r>
              <w:rPr>
                <w:rFonts w:ascii="Arial" w:cs="Arial" w:eastAsia="Arial" w:hAnsi="Arial"/>
                <w:sz w:val="13"/>
                <w:szCs w:val="13"/>
                <w:b w:val="1"/>
                <w:bCs w:val="1"/>
                <w:color w:val="auto"/>
                <w:w w:val="98"/>
              </w:rPr>
              <w:t>Number of</w:t>
            </w:r>
          </w:p>
        </w:tc>
        <w:tc>
          <w:tcPr>
            <w:tcW w:w="9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5"/>
              </w:rPr>
              <w:t>Price Per</w:t>
            </w:r>
          </w:p>
        </w:tc>
      </w:tr>
      <w:tr>
        <w:trPr>
          <w:trHeight w:val="144"/>
        </w:trPr>
        <w:tc>
          <w:tcPr>
            <w:tcW w:w="47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center"/>
              <w:ind w:right="840"/>
              <w:spacing w:after="0" w:line="144" w:lineRule="exact"/>
              <w:rPr>
                <w:sz w:val="20"/>
                <w:szCs w:val="20"/>
                <w:color w:val="auto"/>
              </w:rPr>
            </w:pPr>
            <w:r>
              <w:rPr>
                <w:rFonts w:ascii="Arial" w:cs="Arial" w:eastAsia="Arial" w:hAnsi="Arial"/>
                <w:sz w:val="13"/>
                <w:szCs w:val="13"/>
                <w:b w:val="1"/>
                <w:bCs w:val="1"/>
                <w:color w:val="auto"/>
                <w:w w:val="89"/>
              </w:rPr>
              <w:t>Shares/Common</w:t>
            </w:r>
          </w:p>
        </w:tc>
        <w:tc>
          <w:tcPr>
            <w:tcW w:w="9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89"/>
              </w:rPr>
              <w:t>Share/Common</w:t>
            </w:r>
          </w:p>
        </w:tc>
      </w:tr>
      <w:tr>
        <w:trPr>
          <w:trHeight w:val="144"/>
        </w:trPr>
        <w:tc>
          <w:tcPr>
            <w:tcW w:w="47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center"/>
              <w:ind w:right="840"/>
              <w:spacing w:after="0" w:line="144" w:lineRule="exact"/>
              <w:rPr>
                <w:sz w:val="20"/>
                <w:szCs w:val="20"/>
                <w:color w:val="auto"/>
              </w:rPr>
            </w:pPr>
            <w:r>
              <w:rPr>
                <w:rFonts w:ascii="Arial" w:cs="Arial" w:eastAsia="Arial" w:hAnsi="Arial"/>
                <w:sz w:val="13"/>
                <w:szCs w:val="13"/>
                <w:b w:val="1"/>
                <w:bCs w:val="1"/>
                <w:color w:val="auto"/>
                <w:w w:val="93"/>
              </w:rPr>
              <w:t>Membership</w:t>
            </w:r>
          </w:p>
        </w:tc>
        <w:tc>
          <w:tcPr>
            <w:tcW w:w="9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1"/>
              </w:rPr>
              <w:t>Membership</w:t>
            </w:r>
          </w:p>
        </w:tc>
      </w:tr>
      <w:tr>
        <w:trPr>
          <w:trHeight w:val="156"/>
        </w:trPr>
        <w:tc>
          <w:tcPr>
            <w:tcW w:w="47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Interests Purchased</w:t>
            </w:r>
          </w:p>
        </w:tc>
        <w:tc>
          <w:tcPr>
            <w:tcW w:w="8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Interest</w:t>
            </w:r>
          </w:p>
        </w:tc>
        <w:tc>
          <w:tcPr>
            <w:tcW w:w="80" w:type="dxa"/>
            <w:vAlign w:val="bottom"/>
          </w:tcPr>
          <w:p>
            <w:pPr>
              <w:spacing w:after="0"/>
              <w:rPr>
                <w:sz w:val="13"/>
                <w:szCs w:val="13"/>
                <w:color w:val="auto"/>
              </w:rPr>
            </w:pPr>
          </w:p>
        </w:tc>
      </w:tr>
      <w:tr>
        <w:trPr>
          <w:trHeight w:val="202"/>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Purchases of Class A common stock</w:t>
            </w:r>
          </w:p>
        </w:tc>
        <w:tc>
          <w:tcPr>
            <w:tcW w:w="5660" w:type="dxa"/>
            <w:vAlign w:val="bottom"/>
            <w:gridSpan w:val="3"/>
            <w:shd w:val="clear" w:color="auto" w:fill="CCEEFF"/>
          </w:tcPr>
          <w:p>
            <w:pPr>
              <w:jc w:val="right"/>
              <w:ind w:right="840"/>
              <w:spacing w:after="0"/>
              <w:rPr>
                <w:sz w:val="20"/>
                <w:szCs w:val="20"/>
                <w:color w:val="auto"/>
              </w:rPr>
            </w:pPr>
            <w:r>
              <w:rPr>
                <w:rFonts w:ascii="Arial" w:cs="Arial" w:eastAsia="Arial" w:hAnsi="Arial"/>
                <w:sz w:val="17"/>
                <w:szCs w:val="17"/>
                <w:color w:val="auto"/>
              </w:rPr>
              <w:t>16,773,659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$32.77</w:t>
            </w:r>
          </w:p>
        </w:tc>
        <w:tc>
          <w:tcPr>
            <w:tcW w:w="80" w:type="dxa"/>
            <w:vAlign w:val="bottom"/>
            <w:shd w:val="clear" w:color="auto" w:fill="CCEEFF"/>
          </w:tcPr>
          <w:p>
            <w:pPr>
              <w:spacing w:after="0"/>
              <w:rPr>
                <w:sz w:val="17"/>
                <w:szCs w:val="17"/>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7"/>
                <w:szCs w:val="17"/>
                <w:color w:val="auto"/>
              </w:rPr>
              <w:t>Purchases of Lazard Group common membership interests</w:t>
            </w:r>
          </w:p>
        </w:tc>
        <w:tc>
          <w:tcPr>
            <w:tcW w:w="5660" w:type="dxa"/>
            <w:vAlign w:val="bottom"/>
            <w:gridSpan w:val="3"/>
          </w:tcPr>
          <w:p>
            <w:pPr>
              <w:jc w:val="right"/>
              <w:ind w:right="840"/>
              <w:spacing w:after="0"/>
              <w:rPr>
                <w:sz w:val="20"/>
                <w:szCs w:val="20"/>
                <w:color w:val="auto"/>
              </w:rPr>
            </w:pPr>
            <w:r>
              <w:rPr>
                <w:rFonts w:ascii="Arial" w:cs="Arial" w:eastAsia="Arial" w:hAnsi="Arial"/>
                <w:sz w:val="17"/>
                <w:szCs w:val="17"/>
                <w:color w:val="auto"/>
              </w:rPr>
              <w:t>1,381,057</w:t>
            </w:r>
          </w:p>
        </w:tc>
        <w:tc>
          <w:tcPr>
            <w:tcW w:w="900" w:type="dxa"/>
            <w:vAlign w:val="bottom"/>
          </w:tcPr>
          <w:p>
            <w:pPr>
              <w:jc w:val="right"/>
              <w:spacing w:after="0"/>
              <w:rPr>
                <w:sz w:val="20"/>
                <w:szCs w:val="20"/>
                <w:color w:val="auto"/>
              </w:rPr>
            </w:pPr>
            <w:r>
              <w:rPr>
                <w:rFonts w:ascii="Arial" w:cs="Arial" w:eastAsia="Arial" w:hAnsi="Arial"/>
                <w:sz w:val="17"/>
                <w:szCs w:val="17"/>
                <w:color w:val="auto"/>
              </w:rPr>
              <w:t>$32.53</w:t>
            </w:r>
          </w:p>
        </w:tc>
        <w:tc>
          <w:tcPr>
            <w:tcW w:w="80" w:type="dxa"/>
            <w:vAlign w:val="bottom"/>
          </w:tcPr>
          <w:p>
            <w:pPr>
              <w:spacing w:after="0"/>
              <w:rPr>
                <w:sz w:val="18"/>
                <w:szCs w:val="18"/>
                <w:color w:val="auto"/>
              </w:rPr>
            </w:pPr>
          </w:p>
        </w:tc>
      </w:tr>
      <w:tr>
        <w:trPr>
          <w:trHeight w:val="344"/>
        </w:trPr>
        <w:tc>
          <w:tcPr>
            <w:tcW w:w="4780" w:type="dxa"/>
            <w:vAlign w:val="bottom"/>
          </w:tcPr>
          <w:p>
            <w:pPr>
              <w:spacing w:after="0"/>
              <w:rPr>
                <w:sz w:val="24"/>
                <w:szCs w:val="24"/>
                <w:color w:val="auto"/>
              </w:rPr>
            </w:pPr>
          </w:p>
        </w:tc>
        <w:tc>
          <w:tcPr>
            <w:tcW w:w="3700" w:type="dxa"/>
            <w:vAlign w:val="bottom"/>
          </w:tcPr>
          <w:p>
            <w:pPr>
              <w:jc w:val="right"/>
              <w:ind w:right="2555"/>
              <w:spacing w:after="0"/>
              <w:rPr>
                <w:sz w:val="20"/>
                <w:szCs w:val="20"/>
                <w:color w:val="auto"/>
              </w:rPr>
            </w:pPr>
            <w:r>
              <w:rPr>
                <w:rFonts w:ascii="Arial" w:cs="Arial" w:eastAsia="Arial" w:hAnsi="Arial"/>
                <w:sz w:val="17"/>
                <w:szCs w:val="17"/>
                <w:color w:val="auto"/>
              </w:rPr>
              <w:t>107</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48"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120" w:firstLine="457"/>
        <w:spacing w:after="0" w:line="282" w:lineRule="auto"/>
        <w:rPr>
          <w:sz w:val="20"/>
          <w:szCs w:val="20"/>
          <w:color w:val="auto"/>
        </w:rPr>
      </w:pPr>
      <w:r>
        <w:rPr>
          <w:rFonts w:ascii="Arial" w:cs="Arial" w:eastAsia="Arial" w:hAnsi="Arial"/>
          <w:sz w:val="16"/>
          <w:szCs w:val="16"/>
          <w:color w:val="auto"/>
        </w:rPr>
        <w:t>As a result of (i) Lazard Group’s delivery of shares of Class A common stock for the settlement of vested RSUs and deferred stock unit grants (“DSUs”) during the four year period ended December 31, 2010, (ii) the incentive plan share award of shares of restricted Class A common stock granted during the year ended December 31, 2010, and (iii) the issuance of shares of restricted Class A common stock in exchange for RSUs during the year ended December 31, 2010, there were 6,847,508 and 5,850,775 shares of Class A common stock held by Lazard Group at December 31, 2010 and 2009, respectively. Such Class A common shares are reported, at cost, as “Class A common stock held by a subsidiary” on the consolidated statements of financial condition.</w:t>
      </w:r>
    </w:p>
    <w:p>
      <w:pPr>
        <w:spacing w:after="0" w:line="10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As of December 31, 2010, $42,771 of the $200,000 share repurchase authorization remained available under the share repurchase program. In addition, under the terms of the 2005 Plan and the 2008 Plan, upon the vesting of RSUs, shares of Class A common stock may be withheld by the Company to cover estimated income taxes. During the year ended December 31, 2010, the Company satisfied certain employees’ tax obligations in lieu of issuing 1,674,261 shares of Class A common stock upon the vesting of 8,248,654 RSUs (see Note 16 of Notes to Consolidated Financial Statements). In February 2011, the Board of Directors of Lazard Ltd authorized the repurchase of up to an additional $250,000 in aggregate cost of Lazard Ltd Class A common stock and Lazard Group common membership interests through December 31, 2012.</w:t>
      </w:r>
    </w:p>
    <w:p>
      <w:pPr>
        <w:spacing w:after="0" w:line="121"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b w:val="1"/>
          <w:bCs w:val="1"/>
          <w:i w:val="1"/>
          <w:iCs w:val="1"/>
          <w:color w:val="auto"/>
        </w:rPr>
        <w:t>ESU Settlement</w:t>
      </w:r>
      <w:r>
        <w:rPr>
          <w:rFonts w:ascii="Arial" w:cs="Arial" w:eastAsia="Arial" w:hAnsi="Arial"/>
          <w:sz w:val="17"/>
          <w:szCs w:val="17"/>
          <w:color w:val="auto"/>
        </w:rPr>
        <w:t>—Concurrent with Lazard Ltd’s equity public offering on May 10, 2005, Lazard Ltd consummated an initial offering of equity security units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“ESUs”) in an aggregate offering amount of $287,500, and issued an additional $150,000 aggregate principal amount of ESUs in a private placement. Each ESU was issued for $25 and consisted of (i) a purchase contract (the “purchase contract”) which obligated holders to purchase, and Lazard Ltd to sell, on May 15, 2008, a number of newly issued shares of Class A common stock equal to a defined settlement rate and (ii) a 1/40, or 2.5%, ownership interest in a 6.12% senior note due 2035 of Lazard Group (the “6.12% Senior Notes”).</w:t>
      </w:r>
    </w:p>
    <w:p>
      <w:pPr>
        <w:spacing w:after="0" w:line="121"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The terms of the ESUs provided for a remarketing of the 6.12% Senior Notes, which commenced on May 2, 2008 (the “remarketing”). In connection with the remarketing, on May 15, 2008 (i) the stated maturity of the 6.12% Senior Notes was reset to May 15, 2010, (ii) the interest rate on the 6.12% Senior Notes was reset to 4.00% per annum and (iii) $437,488 aggregate principal amount of the 6.12% Senior Notes was purchased by Lazard Group. The $12 aggregate principal amount of the</w:t>
      </w:r>
    </w:p>
    <w:p>
      <w:pPr>
        <w:spacing w:after="0" w:line="1"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6.12% Senior Notes remaining outstanding at December 31, 2009 was included in “other liabilities” on the consolidated statements of financial condition. Such amount was settled during the year ended December 31, 2010.</w:t>
      </w:r>
    </w:p>
    <w:p>
      <w:pPr>
        <w:spacing w:after="0" w:line="112" w:lineRule="exact"/>
        <w:rPr>
          <w:sz w:val="20"/>
          <w:szCs w:val="20"/>
          <w:color w:val="auto"/>
        </w:rPr>
      </w:pPr>
    </w:p>
    <w:p>
      <w:pPr>
        <w:jc w:val="both"/>
        <w:ind w:right="20" w:firstLine="457"/>
        <w:spacing w:after="0" w:line="268" w:lineRule="auto"/>
        <w:rPr>
          <w:sz w:val="20"/>
          <w:szCs w:val="20"/>
          <w:color w:val="auto"/>
        </w:rPr>
      </w:pPr>
      <w:r>
        <w:rPr>
          <w:rFonts w:ascii="Arial" w:cs="Arial" w:eastAsia="Arial" w:hAnsi="Arial"/>
          <w:sz w:val="17"/>
          <w:szCs w:val="17"/>
          <w:color w:val="auto"/>
        </w:rPr>
        <w:t>On May 15, 2008, Lazard Ltd settled the purchase contracts with respect to its then outstanding aggregate principal amount of ESUs at the settlement rate and, in connection therewith, Lazard Ltd issued 14,582,750 shares of its Class A common stock. This resulted in an increase in Class A common stock and “additional paid-in-capital” of $146 and $437,354, respectively.</w:t>
      </w:r>
    </w:p>
    <w:p>
      <w:pPr>
        <w:spacing w:after="0" w:line="115"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preferred stock and Series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 preferred stock. The Series A and Series B preferred shares are each non-participating securities that are or were each convertible into Class A common stock, and have no voting or dividend rights. During each of the years ended December 31, 2010, 2009 and 2008, 4,862 shares of Series A preferred stock were converted into shares of Class A common stock. In addition, during the year ended December 31, 2008, 277 shares of Series B preferred stock were converted into shares of Class A common stock. Such conversions resulted in the issuance of 572,988, 479,732 and 450,259 shares of Class A common stock in the years ended December 31, 2010, 2009 and 2008, respectively. As of December 31, 2010 and 2009, 22,021 and 26,883 shares of Series A preferred stock were outstanding, respectively, and no shares of Series B preferred stock were outstanding at such respective dates.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448"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At December 31, 2010 and 2009, 4,862 and 7,293 shares of the Series A preferred shares outstanding, respectively, were convertible into shares of Class A common stock. The remaining 17,159 and 19,590 shares of Series A preferred stock outstanding at December 31, 2010 and 2009, respectively, may become convertible into shares of Class A common stock upon completion or satisfaction of specified obligations in the CWC acquisition agreement (see Note 9 of Notes to Consolidated Financial Statements). The initial conversion rate, at the time of the acquisition of CWC, was 100 shares of Class A common stock to one share of Series A preferred stock, with the ultimate conversion rate dependent on certain variables, including the value of the Class A common stock, as defined, and the currency exchange rate on the date of conversion.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Accumulated Other Comprehensive Income (Loss), Net of Tax—</w:t>
      </w:r>
      <w:r>
        <w:rPr>
          <w:rFonts w:ascii="Arial" w:cs="Arial" w:eastAsia="Arial" w:hAnsi="Arial"/>
          <w:sz w:val="17"/>
          <w:szCs w:val="17"/>
          <w:color w:val="auto"/>
        </w:rPr>
        <w:t>The components of AOCI at December 31, 2010 and 2009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0"/>
              <w:spacing w:after="0" w:line="137" w:lineRule="exact"/>
              <w:rPr>
                <w:sz w:val="20"/>
                <w:szCs w:val="20"/>
                <w:color w:val="auto"/>
              </w:rPr>
            </w:pPr>
            <w:r>
              <w:rPr>
                <w:rFonts w:ascii="Arial" w:cs="Arial" w:eastAsia="Arial" w:hAnsi="Arial"/>
                <w:sz w:val="13"/>
                <w:szCs w:val="13"/>
                <w:b w:val="1"/>
                <w:bCs w:val="1"/>
                <w:color w:val="auto"/>
              </w:rPr>
              <w:t>2010</w:t>
            </w: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8"/>
              <w:spacing w:after="0" w:line="137"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13,193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22,650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7"/>
                <w:szCs w:val="17"/>
                <w:color w:val="auto"/>
              </w:rPr>
              <w:t>Interest rate hedge</w:t>
            </w: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(4,611)</w:t>
            </w: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(5,774)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securities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(12,630)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7"/>
                <w:szCs w:val="17"/>
                <w:color w:val="auto"/>
              </w:rPr>
              <w:t>Employee benefit plans</w:t>
            </w: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(56,595)</w:t>
            </w: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(76,079)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Total AOCI</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(48,013)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(71,833)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7"/>
                <w:szCs w:val="17"/>
                <w:color w:val="auto"/>
              </w:rPr>
              <w:t>Less amount attributable to noncontrolling interests</w:t>
            </w: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(1,855)</w:t>
            </w: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(14,785)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Total Lazard Ltd AOCI</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(46,158)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(57,048)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57"/>
        <w:spacing w:after="0" w:line="280" w:lineRule="auto"/>
        <w:rPr>
          <w:sz w:val="20"/>
          <w:szCs w:val="20"/>
          <w:color w:val="auto"/>
        </w:rPr>
      </w:pPr>
      <w:r>
        <w:rPr>
          <w:rFonts w:ascii="Arial" w:cs="Arial" w:eastAsia="Arial" w:hAnsi="Arial"/>
          <w:sz w:val="17"/>
          <w:szCs w:val="17"/>
          <w:b w:val="1"/>
          <w:bCs w:val="1"/>
          <w:i w:val="1"/>
          <w:iCs w:val="1"/>
          <w:color w:val="auto"/>
        </w:rPr>
        <w:t>Noncontrolling Interests—</w:t>
      </w:r>
      <w:r>
        <w:rPr>
          <w:rFonts w:ascii="Arial" w:cs="Arial" w:eastAsia="Arial" w:hAnsi="Arial"/>
          <w:sz w:val="17"/>
          <w:szCs w:val="17"/>
          <w:color w:val="auto"/>
        </w:rPr>
        <w:t>Noncontrolling interests principally represent interests held in (i) Lazard Group by LAZ-MD Holdings, (ii) Edgewater’s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vehicles that the Company is deemed to control, but does not own, and (iii) various LAM-related GP interests.</w:t>
      </w:r>
    </w:p>
    <w:p>
      <w:pPr>
        <w:spacing w:after="0" w:line="105" w:lineRule="exact"/>
        <w:rPr>
          <w:sz w:val="20"/>
          <w:szCs w:val="20"/>
          <w:color w:val="auto"/>
        </w:rPr>
      </w:pPr>
    </w:p>
    <w:p>
      <w:pPr>
        <w:ind w:right="780" w:firstLine="457"/>
        <w:spacing w:after="0" w:line="349" w:lineRule="auto"/>
        <w:rPr>
          <w:sz w:val="20"/>
          <w:szCs w:val="20"/>
          <w:color w:val="auto"/>
        </w:rPr>
      </w:pPr>
      <w:r>
        <w:rPr>
          <w:rFonts w:ascii="Arial" w:cs="Arial" w:eastAsia="Arial" w:hAnsi="Arial"/>
          <w:sz w:val="15"/>
          <w:szCs w:val="15"/>
          <w:color w:val="auto"/>
        </w:rPr>
        <w:t>As of December 31, 2010 and 2009, LAZ-MD Holdings held approximately 6.0% and 25.5%, respectively, of the outstanding Lazard Group common membership interests. Subject to certain limitations, LAZ-MD Holdings’ interests in Lazard Group are exchangeable for Class A common stock.</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448" w:right="23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ownership interests in Lazard Group held by Lazard Ltd and LAZ-MD Holdings during the years ended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2010, 2009 and 2008: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240" w:type="dxa"/>
            <w:vAlign w:val="bottom"/>
            <w:gridSpan w:val="4"/>
          </w:tcPr>
          <w:p>
            <w:pPr>
              <w:jc w:val="right"/>
              <w:ind w:right="1000"/>
              <w:spacing w:after="0"/>
              <w:rPr>
                <w:sz w:val="20"/>
                <w:szCs w:val="20"/>
                <w:color w:val="auto"/>
              </w:rPr>
            </w:pPr>
            <w:r>
              <w:rPr>
                <w:rFonts w:ascii="Arial" w:cs="Arial" w:eastAsia="Arial" w:hAnsi="Arial"/>
                <w:sz w:val="13"/>
                <w:szCs w:val="13"/>
                <w:b w:val="1"/>
                <w:bCs w:val="1"/>
                <w:color w:val="auto"/>
              </w:rPr>
              <w:t>Lazard Ltd</w:t>
            </w:r>
          </w:p>
        </w:tc>
        <w:tc>
          <w:tcPr>
            <w:tcW w:w="2220" w:type="dxa"/>
            <w:vAlign w:val="bottom"/>
            <w:gridSpan w:val="4"/>
          </w:tcPr>
          <w:p>
            <w:pPr>
              <w:jc w:val="right"/>
              <w:ind w:right="780"/>
              <w:spacing w:after="0"/>
              <w:rPr>
                <w:sz w:val="20"/>
                <w:szCs w:val="20"/>
                <w:color w:val="auto"/>
              </w:rPr>
            </w:pPr>
            <w:r>
              <w:rPr>
                <w:rFonts w:ascii="Arial" w:cs="Arial" w:eastAsia="Arial" w:hAnsi="Arial"/>
                <w:sz w:val="13"/>
                <w:szCs w:val="13"/>
                <w:b w:val="1"/>
                <w:bCs w:val="1"/>
                <w:color w:val="auto"/>
              </w:rPr>
              <w:t>LAZ-MD Holdings</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2"/>
            <w:vMerge w:val="restart"/>
          </w:tcPr>
          <w:p>
            <w:pPr>
              <w:jc w:val="center"/>
              <w:ind w:right="100"/>
              <w:spacing w:after="0" w:line="131" w:lineRule="exact"/>
              <w:rPr>
                <w:sz w:val="20"/>
                <w:szCs w:val="20"/>
                <w:color w:val="auto"/>
              </w:rPr>
            </w:pPr>
            <w:r>
              <w:rPr>
                <w:rFonts w:ascii="Arial" w:cs="Arial" w:eastAsia="Arial" w:hAnsi="Arial"/>
                <w:sz w:val="13"/>
                <w:szCs w:val="13"/>
                <w:b w:val="1"/>
                <w:bCs w:val="1"/>
                <w:color w:val="auto"/>
                <w:w w:val="96"/>
              </w:rPr>
              <w:t>Lazard Group</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Common</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right"/>
              <w:ind w:right="480"/>
              <w:spacing w:after="0" w:line="144" w:lineRule="exact"/>
              <w:rPr>
                <w:sz w:val="20"/>
                <w:szCs w:val="20"/>
                <w:color w:val="auto"/>
              </w:rPr>
            </w:pPr>
            <w:r>
              <w:rPr>
                <w:rFonts w:ascii="Arial" w:cs="Arial" w:eastAsia="Arial" w:hAnsi="Arial"/>
                <w:sz w:val="13"/>
                <w:szCs w:val="13"/>
                <w:b w:val="1"/>
                <w:bCs w:val="1"/>
                <w:color w:val="auto"/>
              </w:rPr>
              <w:t>Common</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Common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3"/>
              </w:rPr>
              <w:t>Membership</w:t>
            </w:r>
          </w:p>
        </w:tc>
        <w:tc>
          <w:tcPr>
            <w:tcW w:w="640" w:type="dxa"/>
            <w:vAlign w:val="bottom"/>
          </w:tcPr>
          <w:p>
            <w:pPr>
              <w:jc w:val="right"/>
              <w:ind w:right="182"/>
              <w:spacing w:after="0" w:line="144"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2"/>
                <w:szCs w:val="12"/>
                <w:color w:val="auto"/>
              </w:rPr>
            </w:pPr>
          </w:p>
        </w:tc>
        <w:tc>
          <w:tcPr>
            <w:tcW w:w="118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Membership</w:t>
            </w:r>
          </w:p>
        </w:tc>
        <w:tc>
          <w:tcPr>
            <w:tcW w:w="640" w:type="dxa"/>
            <w:vAlign w:val="bottom"/>
          </w:tcPr>
          <w:p>
            <w:pPr>
              <w:jc w:val="right"/>
              <w:ind w:right="182"/>
              <w:spacing w:after="0" w:line="144"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2"/>
                <w:szCs w:val="12"/>
                <w:color w:val="auto"/>
              </w:rPr>
            </w:pP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1"/>
              </w:rPr>
              <w:t>Membership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Interests</w:t>
            </w:r>
          </w:p>
        </w:tc>
        <w:tc>
          <w:tcPr>
            <w:tcW w:w="30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Ownership</w:t>
            </w:r>
          </w:p>
        </w:tc>
        <w:tc>
          <w:tcPr>
            <w:tcW w:w="400" w:type="dxa"/>
            <w:vAlign w:val="bottom"/>
          </w:tcPr>
          <w:p>
            <w:pPr>
              <w:spacing w:after="0"/>
              <w:rPr>
                <w:sz w:val="13"/>
                <w:szCs w:val="13"/>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Interests</w:t>
            </w:r>
          </w:p>
        </w:tc>
        <w:tc>
          <w:tcPr>
            <w:tcW w:w="30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Ownership</w:t>
            </w:r>
          </w:p>
        </w:tc>
        <w:tc>
          <w:tcPr>
            <w:tcW w:w="4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Interests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Balance, January 1, 2008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51,745,825</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48.3%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55,322,792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51.7%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107,068,617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Activity January 1, 2008 to December 31, 2008:</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Common membership interest activity in connection with:</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820"/>
              <w:spacing w:after="0"/>
              <w:rPr>
                <w:sz w:val="20"/>
                <w:szCs w:val="20"/>
                <w:color w:val="auto"/>
              </w:rPr>
            </w:pPr>
            <w:r>
              <w:rPr>
                <w:rFonts w:ascii="Arial" w:cs="Arial" w:eastAsia="Arial" w:hAnsi="Arial"/>
                <w:sz w:val="17"/>
                <w:szCs w:val="17"/>
                <w:color w:val="auto"/>
              </w:rPr>
              <w:t>Settlement of the purchase contracts related to the ESUs</w:t>
            </w:r>
          </w:p>
        </w:tc>
        <w:tc>
          <w:tcPr>
            <w:tcW w:w="900" w:type="dxa"/>
            <w:vAlign w:val="bottom"/>
          </w:tcPr>
          <w:p>
            <w:pPr>
              <w:jc w:val="right"/>
              <w:spacing w:after="0"/>
              <w:rPr>
                <w:sz w:val="20"/>
                <w:szCs w:val="20"/>
                <w:color w:val="auto"/>
              </w:rPr>
            </w:pPr>
            <w:r>
              <w:rPr>
                <w:rFonts w:ascii="Arial" w:cs="Arial" w:eastAsia="Arial" w:hAnsi="Arial"/>
                <w:sz w:val="17"/>
                <w:szCs w:val="17"/>
                <w:color w:val="auto"/>
              </w:rPr>
              <w:t>14,582,750</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14,582,750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2008 Secondary Offering</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6,401,531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(6,401,531)</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820"/>
              <w:spacing w:after="0"/>
              <w:rPr>
                <w:sz w:val="20"/>
                <w:szCs w:val="20"/>
                <w:color w:val="auto"/>
              </w:rPr>
            </w:pPr>
            <w:r>
              <w:rPr>
                <w:rFonts w:ascii="Arial" w:cs="Arial" w:eastAsia="Arial" w:hAnsi="Arial"/>
                <w:sz w:val="17"/>
                <w:szCs w:val="17"/>
                <w:color w:val="auto"/>
              </w:rPr>
              <w:t>Exchanges for Class A common stock</w:t>
            </w:r>
          </w:p>
        </w:tc>
        <w:tc>
          <w:tcPr>
            <w:tcW w:w="900" w:type="dxa"/>
            <w:vAlign w:val="bottom"/>
          </w:tcPr>
          <w:p>
            <w:pPr>
              <w:jc w:val="right"/>
              <w:spacing w:after="0"/>
              <w:rPr>
                <w:sz w:val="20"/>
                <w:szCs w:val="20"/>
                <w:color w:val="auto"/>
              </w:rPr>
            </w:pPr>
            <w:r>
              <w:rPr>
                <w:rFonts w:ascii="Arial" w:cs="Arial" w:eastAsia="Arial" w:hAnsi="Arial"/>
                <w:sz w:val="17"/>
                <w:szCs w:val="17"/>
                <w:color w:val="auto"/>
              </w:rPr>
              <w:t>2,910,657</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(2,910,657)</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Business acquisitions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654,149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654,149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7"/>
                <w:szCs w:val="17"/>
                <w:color w:val="auto"/>
              </w:rPr>
              <w:t>Repurchase of common membership interests from LAZ-MD Holdings</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(71,852)</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(71,852)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76,294,912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62.4%</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45,938,752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122,233,664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Activity January 1, 2009 to December 31, 2009:</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Common membership interest activity in connection with:</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820"/>
              <w:spacing w:after="0"/>
              <w:rPr>
                <w:sz w:val="20"/>
                <w:szCs w:val="20"/>
                <w:color w:val="auto"/>
              </w:rPr>
            </w:pPr>
            <w:r>
              <w:rPr>
                <w:rFonts w:ascii="Arial" w:cs="Arial" w:eastAsia="Arial" w:hAnsi="Arial"/>
                <w:sz w:val="17"/>
                <w:szCs w:val="17"/>
                <w:color w:val="auto"/>
              </w:rPr>
              <w:t>2009 Secondary Offerings</w:t>
            </w:r>
          </w:p>
        </w:tc>
        <w:tc>
          <w:tcPr>
            <w:tcW w:w="900" w:type="dxa"/>
            <w:vAlign w:val="bottom"/>
          </w:tcPr>
          <w:p>
            <w:pPr>
              <w:jc w:val="right"/>
              <w:spacing w:after="0"/>
              <w:rPr>
                <w:sz w:val="20"/>
                <w:szCs w:val="20"/>
                <w:color w:val="auto"/>
              </w:rPr>
            </w:pPr>
            <w:r>
              <w:rPr>
                <w:rFonts w:ascii="Arial" w:cs="Arial" w:eastAsia="Arial" w:hAnsi="Arial"/>
                <w:sz w:val="17"/>
                <w:szCs w:val="17"/>
                <w:color w:val="auto"/>
              </w:rPr>
              <w:t>6,394,166</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(6,394,166)</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Exchanges for Class A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7,523,236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(7,523,236)</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820"/>
              <w:spacing w:after="0"/>
              <w:rPr>
                <w:sz w:val="20"/>
                <w:szCs w:val="20"/>
                <w:color w:val="auto"/>
              </w:rPr>
            </w:pPr>
            <w:r>
              <w:rPr>
                <w:rFonts w:ascii="Arial" w:cs="Arial" w:eastAsia="Arial" w:hAnsi="Arial"/>
                <w:sz w:val="17"/>
                <w:szCs w:val="17"/>
                <w:color w:val="auto"/>
              </w:rPr>
              <w:t>Business acquisitions</w:t>
            </w:r>
          </w:p>
        </w:tc>
        <w:tc>
          <w:tcPr>
            <w:tcW w:w="900" w:type="dxa"/>
            <w:vAlign w:val="bottom"/>
          </w:tcPr>
          <w:p>
            <w:pPr>
              <w:jc w:val="right"/>
              <w:spacing w:after="0"/>
              <w:rPr>
                <w:sz w:val="20"/>
                <w:szCs w:val="20"/>
                <w:color w:val="auto"/>
              </w:rPr>
            </w:pPr>
            <w:r>
              <w:rPr>
                <w:rFonts w:ascii="Arial" w:cs="Arial" w:eastAsia="Arial" w:hAnsi="Arial"/>
                <w:sz w:val="17"/>
                <w:szCs w:val="17"/>
                <w:color w:val="auto"/>
              </w:rPr>
              <w:t>1,953,598</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1,953,598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Repurchase of common membership interests from LAZ-MD Holdings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(500,924)</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(500,924)</w:t>
            </w:r>
          </w:p>
        </w:tc>
        <w:tc>
          <w:tcPr>
            <w:tcW w:w="0" w:type="dxa"/>
            <w:vAlign w:val="bottom"/>
          </w:tcPr>
          <w:p>
            <w:pPr>
              <w:spacing w:after="0"/>
              <w:rPr>
                <w:sz w:val="1"/>
                <w:szCs w:val="1"/>
                <w:color w:val="auto"/>
              </w:rPr>
            </w:pPr>
          </w:p>
        </w:tc>
      </w:tr>
      <w:tr>
        <w:trPr>
          <w:trHeight w:val="213"/>
        </w:trPr>
        <w:tc>
          <w:tcPr>
            <w:tcW w:w="5960" w:type="dxa"/>
            <w:vAlign w:val="bottom"/>
            <w:gridSpan w:val="2"/>
          </w:tcPr>
          <w:p>
            <w:pPr>
              <w:spacing w:after="0"/>
              <w:rPr>
                <w:sz w:val="20"/>
                <w:szCs w:val="20"/>
                <w:color w:val="auto"/>
              </w:rPr>
            </w:pPr>
            <w:r>
              <w:rPr>
                <w:rFonts w:ascii="Arial" w:cs="Arial" w:eastAsia="Arial" w:hAnsi="Arial"/>
                <w:sz w:val="17"/>
                <w:szCs w:val="17"/>
                <w:color w:val="auto"/>
              </w:rPr>
              <w:t>Balance, December 31, 2009</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92,165,912</w:t>
            </w:r>
          </w:p>
        </w:tc>
        <w:tc>
          <w:tcPr>
            <w:tcW w:w="3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74.5%</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31,520,426</w:t>
            </w:r>
          </w:p>
        </w:tc>
        <w:tc>
          <w:tcPr>
            <w:tcW w:w="3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25.5%</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123,686,338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Activity January 1, 2010 to December 31, 2010:</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7"/>
                <w:szCs w:val="17"/>
                <w:color w:val="auto"/>
              </w:rPr>
              <w:t>Common membership interest activity in connection with:</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Equity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820"/>
              <w:spacing w:after="0"/>
              <w:rPr>
                <w:sz w:val="20"/>
                <w:szCs w:val="20"/>
                <w:color w:val="auto"/>
              </w:rPr>
            </w:pPr>
            <w:r>
              <w:rPr>
                <w:rFonts w:ascii="Arial" w:cs="Arial" w:eastAsia="Arial" w:hAnsi="Arial"/>
                <w:sz w:val="17"/>
                <w:szCs w:val="17"/>
                <w:color w:val="auto"/>
              </w:rPr>
              <w:t>2010 Secondary Offerings</w:t>
            </w:r>
          </w:p>
        </w:tc>
        <w:tc>
          <w:tcPr>
            <w:tcW w:w="900" w:type="dxa"/>
            <w:vAlign w:val="bottom"/>
          </w:tcPr>
          <w:p>
            <w:pPr>
              <w:jc w:val="right"/>
              <w:spacing w:after="0"/>
              <w:rPr>
                <w:sz w:val="20"/>
                <w:szCs w:val="20"/>
                <w:color w:val="auto"/>
              </w:rPr>
            </w:pPr>
            <w:r>
              <w:rPr>
                <w:rFonts w:ascii="Arial" w:cs="Arial" w:eastAsia="Arial" w:hAnsi="Arial"/>
                <w:sz w:val="17"/>
                <w:szCs w:val="17"/>
                <w:color w:val="auto"/>
              </w:rPr>
              <w:t>11,561,801</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w w:val="95"/>
              </w:rPr>
              <w:t>(11,561,801)</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Exchanges for Class A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12,081,618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5"/>
              </w:rPr>
              <w:t>(12,081,618)</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820"/>
              <w:spacing w:after="0"/>
              <w:rPr>
                <w:sz w:val="20"/>
                <w:szCs w:val="20"/>
                <w:color w:val="auto"/>
              </w:rPr>
            </w:pPr>
            <w:r>
              <w:rPr>
                <w:rFonts w:ascii="Arial" w:cs="Arial" w:eastAsia="Arial" w:hAnsi="Arial"/>
                <w:sz w:val="17"/>
                <w:szCs w:val="17"/>
                <w:color w:val="auto"/>
              </w:rPr>
              <w:t>Business acquisitions</w:t>
            </w:r>
          </w:p>
        </w:tc>
        <w:tc>
          <w:tcPr>
            <w:tcW w:w="900" w:type="dxa"/>
            <w:vAlign w:val="bottom"/>
          </w:tcPr>
          <w:p>
            <w:pPr>
              <w:jc w:val="right"/>
              <w:spacing w:after="0"/>
              <w:rPr>
                <w:sz w:val="20"/>
                <w:szCs w:val="20"/>
                <w:color w:val="auto"/>
              </w:rPr>
            </w:pPr>
            <w:r>
              <w:rPr>
                <w:rFonts w:ascii="Arial" w:cs="Arial" w:eastAsia="Arial" w:hAnsi="Arial"/>
                <w:sz w:val="17"/>
                <w:szCs w:val="17"/>
                <w:color w:val="auto"/>
              </w:rPr>
              <w:t>888,605</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888,605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Repurchase of common membership interests from LAZ-MD Holdings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(224,382)</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(224,382)</w:t>
            </w:r>
          </w:p>
        </w:tc>
        <w:tc>
          <w:tcPr>
            <w:tcW w:w="0" w:type="dxa"/>
            <w:vAlign w:val="bottom"/>
          </w:tcPr>
          <w:p>
            <w:pPr>
              <w:spacing w:after="0"/>
              <w:rPr>
                <w:sz w:val="1"/>
                <w:szCs w:val="1"/>
                <w:color w:val="auto"/>
              </w:rPr>
            </w:pPr>
          </w:p>
        </w:tc>
      </w:tr>
      <w:tr>
        <w:trPr>
          <w:trHeight w:val="214"/>
        </w:trPr>
        <w:tc>
          <w:tcPr>
            <w:tcW w:w="5960" w:type="dxa"/>
            <w:vAlign w:val="bottom"/>
            <w:gridSpan w:val="2"/>
          </w:tcPr>
          <w:p>
            <w:pPr>
              <w:spacing w:after="0"/>
              <w:rPr>
                <w:sz w:val="20"/>
                <w:szCs w:val="20"/>
                <w:color w:val="auto"/>
              </w:rPr>
            </w:pPr>
            <w:r>
              <w:rPr>
                <w:rFonts w:ascii="Arial" w:cs="Arial" w:eastAsia="Arial" w:hAnsi="Arial"/>
                <w:sz w:val="17"/>
                <w:szCs w:val="17"/>
                <w:color w:val="auto"/>
              </w:rPr>
              <w:t>Balance, December 31, 2010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119,697,936</w:t>
            </w:r>
          </w:p>
        </w:tc>
        <w:tc>
          <w:tcPr>
            <w:tcW w:w="3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94.0%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7,652,625</w:t>
            </w:r>
          </w:p>
        </w:tc>
        <w:tc>
          <w:tcPr>
            <w:tcW w:w="3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6.0%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127,350,561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80" w:firstLine="457"/>
        <w:spacing w:after="0" w:line="280" w:lineRule="auto"/>
        <w:rPr>
          <w:sz w:val="20"/>
          <w:szCs w:val="20"/>
          <w:color w:val="auto"/>
        </w:rPr>
      </w:pPr>
      <w:r>
        <w:rPr>
          <w:rFonts w:ascii="Arial" w:cs="Arial" w:eastAsia="Arial" w:hAnsi="Arial"/>
          <w:sz w:val="17"/>
          <w:szCs w:val="17"/>
          <w:color w:val="auto"/>
        </w:rPr>
        <w:t>The change in Lazard Ltd’s ownership in Lazard Group in the years ended December 31, 2010, 2009 and 2008 did not materially impact Lazard Ltd’s stockholders’ equity.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448" w:right="23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20" w:firstLine="457"/>
        <w:spacing w:after="0" w:line="280" w:lineRule="auto"/>
        <w:rPr>
          <w:sz w:val="20"/>
          <w:szCs w:val="20"/>
          <w:color w:val="auto"/>
        </w:rPr>
      </w:pPr>
      <w:r>
        <w:rPr>
          <w:rFonts w:ascii="Arial" w:cs="Arial" w:eastAsia="Arial" w:hAnsi="Arial"/>
          <w:sz w:val="17"/>
          <w:szCs w:val="17"/>
          <w:color w:val="auto"/>
        </w:rPr>
        <w:t>The tables below summarize net income (loss) attributable to noncontrolling interests for the years ended December 31, 2010, 2009 and 2008 and noncontrolling interests as of December 31, 2010 and 2009 in the Company’s consolidated financial statements: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5"/>
          </w:tcPr>
          <w:p>
            <w:pPr>
              <w:jc w:val="center"/>
              <w:ind w:left="61"/>
              <w:spacing w:after="0"/>
              <w:rPr>
                <w:sz w:val="20"/>
                <w:szCs w:val="20"/>
                <w:color w:val="auto"/>
              </w:rPr>
            </w:pPr>
            <w:r>
              <w:rPr>
                <w:rFonts w:ascii="Arial" w:cs="Arial" w:eastAsia="Arial" w:hAnsi="Arial"/>
                <w:sz w:val="13"/>
                <w:szCs w:val="13"/>
                <w:b w:val="1"/>
                <w:bCs w:val="1"/>
                <w:color w:val="auto"/>
                <w:w w:val="90"/>
              </w:rPr>
              <w:t>Net Income (Loss)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gridSpan w:val="8"/>
          </w:tcPr>
          <w:p>
            <w:pPr>
              <w:jc w:val="center"/>
              <w:ind w:right="60"/>
              <w:spacing w:after="0" w:line="144" w:lineRule="exact"/>
              <w:rPr>
                <w:sz w:val="20"/>
                <w:szCs w:val="20"/>
                <w:color w:val="auto"/>
              </w:rPr>
            </w:pPr>
            <w:r>
              <w:rPr>
                <w:rFonts w:ascii="Arial" w:cs="Arial" w:eastAsia="Arial" w:hAnsi="Arial"/>
                <w:sz w:val="13"/>
                <w:szCs w:val="13"/>
                <w:b w:val="1"/>
                <w:bCs w:val="1"/>
                <w:color w:val="auto"/>
                <w:w w:val="91"/>
              </w:rPr>
              <w:t>Attributable to Noncontrolling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380"/>
              <w:spacing w:after="0" w:line="144" w:lineRule="exact"/>
              <w:rPr>
                <w:sz w:val="20"/>
                <w:szCs w:val="20"/>
                <w:color w:val="auto"/>
              </w:rPr>
            </w:pPr>
            <w:r>
              <w:rPr>
                <w:rFonts w:ascii="Arial" w:cs="Arial" w:eastAsia="Arial" w:hAnsi="Arial"/>
                <w:sz w:val="13"/>
                <w:szCs w:val="13"/>
                <w:b w:val="1"/>
                <w:bCs w:val="1"/>
                <w:color w:val="auto"/>
                <w:w w:val="88"/>
              </w:rPr>
              <w:t>Interests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jc w:val="center"/>
              <w:ind w:left="41"/>
              <w:spacing w:after="0"/>
              <w:rPr>
                <w:sz w:val="20"/>
                <w:szCs w:val="20"/>
                <w:color w:val="auto"/>
              </w:rPr>
            </w:pPr>
            <w:r>
              <w:rPr>
                <w:rFonts w:ascii="Arial" w:cs="Arial" w:eastAsia="Arial" w:hAnsi="Arial"/>
                <w:sz w:val="13"/>
                <w:szCs w:val="13"/>
                <w:b w:val="1"/>
                <w:bCs w:val="1"/>
                <w:color w:val="auto"/>
                <w:w w:val="90"/>
              </w:rPr>
              <w:t>Year Ended December 31,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580" w:type="dxa"/>
            <w:vAlign w:val="bottom"/>
            <w:tcBorders>
              <w:bottom w:val="single" w:sz="8" w:color="auto"/>
            </w:tcBorders>
          </w:tcPr>
          <w:p>
            <w:pPr>
              <w:jc w:val="right"/>
              <w:ind w:right="78"/>
              <w:spacing w:after="0" w:line="137" w:lineRule="exact"/>
              <w:rPr>
                <w:sz w:val="20"/>
                <w:szCs w:val="20"/>
                <w:color w:val="auto"/>
              </w:rPr>
            </w:pPr>
            <w:r>
              <w:rPr>
                <w:rFonts w:ascii="Arial" w:cs="Arial" w:eastAsia="Arial" w:hAnsi="Arial"/>
                <w:sz w:val="13"/>
                <w:szCs w:val="13"/>
                <w:b w:val="1"/>
                <w:bCs w:val="1"/>
                <w:color w:val="auto"/>
              </w:rPr>
              <w:t>2010</w:t>
            </w:r>
          </w:p>
        </w:tc>
        <w:tc>
          <w:tcPr>
            <w:tcW w:w="40" w:type="dxa"/>
            <w:vAlign w:val="bottom"/>
          </w:tcPr>
          <w:p>
            <w:pPr>
              <w:spacing w:after="0"/>
              <w:rPr>
                <w:sz w:val="11"/>
                <w:szCs w:val="11"/>
                <w:color w:val="auto"/>
              </w:rPr>
            </w:pPr>
          </w:p>
        </w:tc>
        <w:tc>
          <w:tcPr>
            <w:tcW w:w="500" w:type="dxa"/>
            <w:vAlign w:val="bottom"/>
            <w:gridSpan w:val="2"/>
          </w:tcPr>
          <w:p>
            <w:pPr>
              <w:spacing w:after="0"/>
              <w:rPr>
                <w:sz w:val="11"/>
                <w:szCs w:val="11"/>
                <w:color w:val="auto"/>
              </w:rPr>
            </w:pPr>
          </w:p>
        </w:tc>
        <w:tc>
          <w:tcPr>
            <w:tcW w:w="580" w:type="dxa"/>
            <w:vAlign w:val="bottom"/>
            <w:tcBorders>
              <w:bottom w:val="single" w:sz="8" w:color="auto"/>
            </w:tcBorders>
          </w:tcPr>
          <w:p>
            <w:pPr>
              <w:jc w:val="right"/>
              <w:ind w:right="51"/>
              <w:spacing w:after="0" w:line="137" w:lineRule="exact"/>
              <w:rPr>
                <w:sz w:val="20"/>
                <w:szCs w:val="20"/>
                <w:color w:val="auto"/>
              </w:rPr>
            </w:pPr>
            <w:r>
              <w:rPr>
                <w:rFonts w:ascii="Arial" w:cs="Arial" w:eastAsia="Arial" w:hAnsi="Arial"/>
                <w:sz w:val="13"/>
                <w:szCs w:val="13"/>
                <w:b w:val="1"/>
                <w:bCs w:val="1"/>
                <w:color w:val="auto"/>
              </w:rPr>
              <w:t>2009</w:t>
            </w: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9"/>
              <w:spacing w:after="0" w:line="137"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LAZ-MD Holdings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$12,564</w:t>
            </w:r>
          </w:p>
        </w:tc>
        <w:tc>
          <w:tcPr>
            <w:tcW w:w="1600" w:type="dxa"/>
            <w:vAlign w:val="bottom"/>
            <w:gridSpan w:val="5"/>
            <w:shd w:val="clear" w:color="auto" w:fill="CCEEFF"/>
          </w:tcPr>
          <w:p>
            <w:pPr>
              <w:jc w:val="right"/>
              <w:ind w:right="380"/>
              <w:spacing w:after="0"/>
              <w:rPr>
                <w:sz w:val="20"/>
                <w:szCs w:val="20"/>
                <w:color w:val="auto"/>
              </w:rPr>
            </w:pPr>
            <w:r>
              <w:rPr>
                <w:rFonts w:ascii="Arial" w:cs="Arial" w:eastAsia="Arial" w:hAnsi="Arial"/>
                <w:sz w:val="17"/>
                <w:szCs w:val="17"/>
                <w:color w:val="auto"/>
              </w:rPr>
              <w:t>$(60,836)</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Edgewater</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6,690</w:t>
            </w:r>
          </w:p>
        </w:tc>
        <w:tc>
          <w:tcPr>
            <w:tcW w:w="1160" w:type="dxa"/>
            <w:vAlign w:val="bottom"/>
            <w:gridSpan w:val="4"/>
          </w:tcPr>
          <w:p>
            <w:pPr>
              <w:jc w:val="right"/>
              <w:spacing w:after="0"/>
              <w:rPr>
                <w:sz w:val="20"/>
                <w:szCs w:val="20"/>
                <w:color w:val="auto"/>
              </w:rPr>
            </w:pPr>
            <w:r>
              <w:rPr>
                <w:rFonts w:ascii="Arial" w:cs="Arial" w:eastAsia="Arial" w:hAnsi="Arial"/>
                <w:sz w:val="17"/>
                <w:szCs w:val="17"/>
                <w:color w:val="auto"/>
              </w:rPr>
              <w:t>2,927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LAM GPs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856</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(13,348)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Other</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(666)</w:t>
            </w:r>
          </w:p>
        </w:tc>
        <w:tc>
          <w:tcPr>
            <w:tcW w:w="1600" w:type="dxa"/>
            <w:vAlign w:val="bottom"/>
            <w:gridSpan w:val="5"/>
          </w:tcPr>
          <w:p>
            <w:pPr>
              <w:jc w:val="right"/>
              <w:ind w:right="380"/>
              <w:spacing w:after="0"/>
              <w:rPr>
                <w:sz w:val="20"/>
                <w:szCs w:val="20"/>
                <w:color w:val="auto"/>
              </w:rPr>
            </w:pPr>
            <w:r>
              <w:rPr>
                <w:rFonts w:ascii="Arial" w:cs="Arial" w:eastAsia="Arial" w:hAnsi="Arial"/>
                <w:sz w:val="17"/>
                <w:szCs w:val="17"/>
                <w:color w:val="auto"/>
              </w:rPr>
              <w:t>(360)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19,444</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(58,003)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$(3,377)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8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gridSpan w:val="8"/>
          </w:tcPr>
          <w:p>
            <w:pPr>
              <w:jc w:val="right"/>
              <w:ind w:right="400"/>
              <w:spacing w:after="0"/>
              <w:rPr>
                <w:sz w:val="20"/>
                <w:szCs w:val="20"/>
                <w:color w:val="auto"/>
              </w:rPr>
            </w:pPr>
            <w:r>
              <w:rPr>
                <w:rFonts w:ascii="Arial" w:cs="Arial" w:eastAsia="Arial" w:hAnsi="Arial"/>
                <w:sz w:val="13"/>
                <w:szCs w:val="13"/>
                <w:b w:val="1"/>
                <w:bCs w:val="1"/>
                <w:color w:val="auto"/>
              </w:rPr>
              <w:t>Noncontrolling Interests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8"/>
          </w:tcPr>
          <w:p>
            <w:pPr>
              <w:jc w:val="right"/>
              <w:ind w:right="52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bottom w:val="single" w:sz="8" w:color="auto"/>
            </w:tcBorders>
            <w:gridSpan w:val="2"/>
          </w:tcPr>
          <w:p>
            <w:pPr>
              <w:jc w:val="right"/>
              <w:ind w:right="151"/>
              <w:spacing w:after="0" w:line="137" w:lineRule="exact"/>
              <w:rPr>
                <w:sz w:val="20"/>
                <w:szCs w:val="20"/>
                <w:color w:val="auto"/>
              </w:rPr>
            </w:pPr>
            <w:r>
              <w:rPr>
                <w:rFonts w:ascii="Arial" w:cs="Arial" w:eastAsia="Arial" w:hAnsi="Arial"/>
                <w:sz w:val="13"/>
                <w:szCs w:val="13"/>
                <w:b w:val="1"/>
                <w:bCs w:val="1"/>
                <w:color w:val="auto"/>
              </w:rPr>
              <w:t>2010</w:t>
            </w: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9"/>
              <w:spacing w:after="0" w:line="137"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LAZ-MD Holdings</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22,167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39,407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Edgewater</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7"/>
                <w:szCs w:val="17"/>
                <w:color w:val="auto"/>
              </w:rPr>
              <w:t>111,289</w:t>
            </w:r>
          </w:p>
        </w:tc>
        <w:tc>
          <w:tcPr>
            <w:tcW w:w="440" w:type="dxa"/>
            <w:vAlign w:val="bottom"/>
          </w:tcPr>
          <w:p>
            <w:pPr>
              <w:spacing w:after="0"/>
              <w:rPr>
                <w:sz w:val="18"/>
                <w:szCs w:val="18"/>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7"/>
                <w:szCs w:val="17"/>
                <w:color w:val="auto"/>
              </w:rPr>
              <w:t>112,158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LAM GPs</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8,219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13,409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Other</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2,044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$ 143,719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w w:val="95"/>
              </w:rPr>
              <w:t>$ 167,706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57"/>
        <w:spacing w:after="0" w:line="280" w:lineRule="auto"/>
        <w:rPr>
          <w:sz w:val="20"/>
          <w:szCs w:val="20"/>
          <w:color w:val="auto"/>
        </w:rPr>
      </w:pPr>
      <w:r>
        <w:rPr>
          <w:rFonts w:ascii="Arial" w:cs="Arial" w:eastAsia="Arial" w:hAnsi="Arial"/>
          <w:sz w:val="17"/>
          <w:szCs w:val="17"/>
          <w:b w:val="1"/>
          <w:bCs w:val="1"/>
          <w:i w:val="1"/>
          <w:iCs w:val="1"/>
          <w:color w:val="auto"/>
        </w:rPr>
        <w:t>Dividend Declared, January 2011</w:t>
      </w:r>
      <w:r>
        <w:rPr>
          <w:rFonts w:ascii="Arial" w:cs="Arial" w:eastAsia="Arial" w:hAnsi="Arial"/>
          <w:sz w:val="17"/>
          <w:szCs w:val="17"/>
          <w:color w:val="auto"/>
        </w:rPr>
        <w:t>—On January 26, 2011, the Board of Directors of Lazard Ltd declared a quarterly dividend of $0.125 per share on its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totaling $14,962, payable on February 25, 2011, to stockholders of record on February 7, 2011.</w:t>
      </w:r>
    </w:p>
    <w:p>
      <w:pPr>
        <w:spacing w:after="0" w:line="105" w:lineRule="exact"/>
        <w:rPr>
          <w:sz w:val="20"/>
          <w:szCs w:val="20"/>
          <w:color w:val="auto"/>
        </w:rPr>
      </w:pPr>
    </w:p>
    <w:p>
      <w:pPr>
        <w:ind w:left="460" w:hanging="456"/>
        <w:spacing w:after="0"/>
        <w:tabs>
          <w:tab w:leader="none" w:pos="460" w:val="left"/>
        </w:tabs>
        <w:numPr>
          <w:ilvl w:val="0"/>
          <w:numId w:val="6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INCENTIVE PLANS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Share-Based Incentive Plan Awards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description of Lazard Ltd’s 2005 Plan, and 2008 Plan and activity with respect thereto during the years ended December 31, 2010, 2009 and 2008, is presented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Shares Available Under the 2005 Plan and 2008 Plan</w:t>
      </w:r>
    </w:p>
    <w:p>
      <w:pPr>
        <w:spacing w:after="0" w:line="79"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19" w:lineRule="exact"/>
        <w:rPr>
          <w:sz w:val="20"/>
          <w:szCs w:val="20"/>
          <w:color w:val="auto"/>
        </w:rPr>
      </w:pPr>
    </w:p>
    <w:p>
      <w:pPr>
        <w:ind w:right="140" w:firstLine="457"/>
        <w:spacing w:after="0" w:line="310" w:lineRule="auto"/>
        <w:rPr>
          <w:sz w:val="20"/>
          <w:szCs w:val="20"/>
          <w:color w:val="auto"/>
        </w:rPr>
      </w:pPr>
      <w:r>
        <w:rPr>
          <w:rFonts w:ascii="Arial" w:cs="Arial" w:eastAsia="Arial" w:hAnsi="Arial"/>
          <w:sz w:val="15"/>
          <w:szCs w:val="15"/>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448"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Restricted and Deferred Stock Units</w:t>
      </w:r>
    </w:p>
    <w:p>
      <w:pPr>
        <w:spacing w:after="0" w:line="79"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RSUs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and, for purposes of calculating diluted net income per share, are included in the diluted weighted average shares of Class A common stock outstanding using the treasury stock method. Expense relating to RSUs was as follows within the Company’s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140" w:type="dxa"/>
            <w:vAlign w:val="bottom"/>
            <w:tcBorders>
              <w:bottom w:val="single" w:sz="8" w:color="auto"/>
            </w:tcBorders>
            <w:gridSpan w:val="5"/>
          </w:tcPr>
          <w:p>
            <w:pPr>
              <w:jc w:val="center"/>
              <w:ind w:left="528"/>
              <w:spacing w:after="0"/>
              <w:rPr>
                <w:sz w:val="20"/>
                <w:szCs w:val="20"/>
                <w:color w:val="auto"/>
              </w:rPr>
            </w:pPr>
            <w:r>
              <w:rPr>
                <w:rFonts w:ascii="Arial" w:cs="Arial" w:eastAsia="Arial" w:hAnsi="Arial"/>
                <w:sz w:val="13"/>
                <w:szCs w:val="13"/>
                <w:b w:val="1"/>
                <w:bCs w:val="1"/>
                <w:color w:val="auto"/>
                <w:w w:val="91"/>
              </w:rPr>
              <w:t>Year Ended December 31,</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5"/>
        </w:trPr>
        <w:tc>
          <w:tcPr>
            <w:tcW w:w="1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2010</w:t>
            </w:r>
          </w:p>
        </w:tc>
        <w:tc>
          <w:tcPr>
            <w:tcW w:w="320" w:type="dxa"/>
            <w:vAlign w:val="bottom"/>
          </w:tcPr>
          <w:p>
            <w:pPr>
              <w:spacing w:after="0"/>
              <w:rPr>
                <w:sz w:val="18"/>
                <w:szCs w:val="18"/>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8"/>
                <w:szCs w:val="18"/>
                <w:color w:val="auto"/>
              </w:rPr>
            </w:pPr>
          </w:p>
        </w:tc>
      </w:tr>
      <w:tr>
        <w:trPr>
          <w:trHeight w:val="202"/>
        </w:trPr>
        <w:tc>
          <w:tcPr>
            <w:tcW w:w="5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and benefits (*)</w:t>
            </w:r>
          </w:p>
        </w:tc>
        <w:tc>
          <w:tcPr>
            <w:tcW w:w="42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$ 256,214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$ 333,823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234,602</w:t>
            </w:r>
          </w:p>
        </w:tc>
      </w:tr>
      <w:tr>
        <w:trPr>
          <w:trHeight w:val="209"/>
        </w:trPr>
        <w:tc>
          <w:tcPr>
            <w:tcW w:w="5320" w:type="dxa"/>
            <w:vAlign w:val="bottom"/>
            <w:gridSpan w:val="2"/>
          </w:tcPr>
          <w:p>
            <w:pPr>
              <w:spacing w:after="0"/>
              <w:rPr>
                <w:sz w:val="20"/>
                <w:szCs w:val="20"/>
                <w:color w:val="auto"/>
              </w:rPr>
            </w:pPr>
            <w:r>
              <w:rPr>
                <w:rFonts w:ascii="Arial" w:cs="Arial" w:eastAsia="Arial" w:hAnsi="Arial"/>
                <w:sz w:val="17"/>
                <w:szCs w:val="17"/>
                <w:color w:val="auto"/>
              </w:rPr>
              <w:t>Restructuring</w:t>
            </w:r>
          </w:p>
        </w:tc>
        <w:tc>
          <w:tcPr>
            <w:tcW w:w="3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46,880</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24,239</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6"/>
        </w:trPr>
        <w:tc>
          <w:tcPr>
            <w:tcW w:w="11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53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42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$ 303,094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$ 358,062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234,602</w:t>
            </w: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8" w:lineRule="exact"/>
        <w:rPr>
          <w:sz w:val="20"/>
          <w:szCs w:val="20"/>
          <w:color w:val="auto"/>
        </w:rPr>
      </w:pPr>
    </w:p>
    <w:p>
      <w:pPr>
        <w:ind w:left="460" w:right="120" w:hanging="456"/>
        <w:spacing w:after="0" w:line="268"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during the year ended December 31, 2010, $24,860 relating to the amendment of the Company’s retirement policy (described below) and, during the year ended December 31, 2009, $86,514 of accelerated amortization expense relating to awards held by Lazard’s former Chairman and Chief Executive Officer as a result of his death.</w:t>
      </w:r>
    </w:p>
    <w:p>
      <w:pPr>
        <w:spacing w:after="0" w:line="115"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years ended December 31, 2010, 2009 and 2008, issuances of RSUs pertaining to such dividend participation rights and respective charges to “retained earnings”, net of estimated forfeitures, (with corresponding credits to “additional paid-in-capital”)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w w:val="97"/>
              </w:rPr>
              <w:t>Year Ended December 31,</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7"/>
        </w:trPr>
        <w:tc>
          <w:tcPr>
            <w:tcW w:w="8300" w:type="dxa"/>
            <w:vAlign w:val="bottom"/>
          </w:tcPr>
          <w:p>
            <w:pPr>
              <w:spacing w:after="0"/>
              <w:rPr>
                <w:sz w:val="11"/>
                <w:szCs w:val="11"/>
                <w:color w:val="auto"/>
              </w:rPr>
            </w:pPr>
          </w:p>
        </w:tc>
        <w:tc>
          <w:tcPr>
            <w:tcW w:w="660" w:type="dxa"/>
            <w:vAlign w:val="bottom"/>
            <w:tcBorders>
              <w:bottom w:val="single" w:sz="8" w:color="auto"/>
            </w:tcBorders>
          </w:tcPr>
          <w:p>
            <w:pPr>
              <w:jc w:val="right"/>
              <w:ind w:right="122"/>
              <w:spacing w:after="0" w:line="137" w:lineRule="exact"/>
              <w:rPr>
                <w:sz w:val="20"/>
                <w:szCs w:val="20"/>
                <w:color w:val="auto"/>
              </w:rPr>
            </w:pPr>
            <w:r>
              <w:rPr>
                <w:rFonts w:ascii="Arial" w:cs="Arial" w:eastAsia="Arial" w:hAnsi="Arial"/>
                <w:sz w:val="13"/>
                <w:szCs w:val="13"/>
                <w:b w:val="1"/>
                <w:bCs w:val="1"/>
                <w:color w:val="auto"/>
              </w:rPr>
              <w:t>2010</w:t>
            </w:r>
          </w:p>
        </w:tc>
        <w:tc>
          <w:tcPr>
            <w:tcW w:w="540" w:type="dxa"/>
            <w:vAlign w:val="bottom"/>
          </w:tcPr>
          <w:p>
            <w:pPr>
              <w:spacing w:after="0"/>
              <w:rPr>
                <w:sz w:val="11"/>
                <w:szCs w:val="11"/>
                <w:color w:val="auto"/>
              </w:rPr>
            </w:pPr>
          </w:p>
        </w:tc>
        <w:tc>
          <w:tcPr>
            <w:tcW w:w="640" w:type="dxa"/>
            <w:vAlign w:val="bottom"/>
            <w:tcBorders>
              <w:bottom w:val="single" w:sz="8" w:color="auto"/>
            </w:tcBorders>
          </w:tcPr>
          <w:p>
            <w:pPr>
              <w:jc w:val="right"/>
              <w:ind w:right="135"/>
              <w:spacing w:after="0" w:line="137" w:lineRule="exact"/>
              <w:rPr>
                <w:sz w:val="20"/>
                <w:szCs w:val="20"/>
                <w:color w:val="auto"/>
              </w:rPr>
            </w:pPr>
            <w:r>
              <w:rPr>
                <w:rFonts w:ascii="Arial" w:cs="Arial" w:eastAsia="Arial" w:hAnsi="Arial"/>
                <w:sz w:val="13"/>
                <w:szCs w:val="13"/>
                <w:b w:val="1"/>
                <w:bCs w:val="1"/>
                <w:color w:val="auto"/>
              </w:rPr>
              <w:t>2009</w:t>
            </w:r>
          </w:p>
        </w:tc>
        <w:tc>
          <w:tcPr>
            <w:tcW w:w="540" w:type="dxa"/>
            <w:vAlign w:val="bottom"/>
          </w:tcPr>
          <w:p>
            <w:pPr>
              <w:spacing w:after="0"/>
              <w:rPr>
                <w:sz w:val="11"/>
                <w:szCs w:val="11"/>
                <w:color w:val="auto"/>
              </w:rPr>
            </w:pPr>
          </w:p>
        </w:tc>
        <w:tc>
          <w:tcPr>
            <w:tcW w:w="660" w:type="dxa"/>
            <w:vAlign w:val="bottom"/>
            <w:tcBorders>
              <w:bottom w:val="single" w:sz="8" w:color="auto"/>
            </w:tcBorders>
          </w:tcPr>
          <w:p>
            <w:pPr>
              <w:jc w:val="right"/>
              <w:ind w:right="122"/>
              <w:spacing w:after="0" w:line="137" w:lineRule="exact"/>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1"/>
                <w:szCs w:val="11"/>
                <w:color w:val="auto"/>
              </w:rPr>
            </w:pPr>
          </w:p>
        </w:tc>
      </w:tr>
      <w:tr>
        <w:trPr>
          <w:trHeight w:val="202"/>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Issuance of RSUs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318,025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331,642</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208,596</w:t>
            </w:r>
          </w:p>
        </w:tc>
        <w:tc>
          <w:tcPr>
            <w:tcW w:w="80" w:type="dxa"/>
            <w:vAlign w:val="bottom"/>
            <w:shd w:val="clear" w:color="auto" w:fill="CCEEFF"/>
          </w:tcPr>
          <w:p>
            <w:pPr>
              <w:spacing w:after="0"/>
              <w:rPr>
                <w:sz w:val="17"/>
                <w:szCs w:val="17"/>
                <w:color w:val="auto"/>
              </w:rPr>
            </w:pPr>
          </w:p>
        </w:tc>
      </w:tr>
      <w:tr>
        <w:trPr>
          <w:trHeight w:val="215"/>
        </w:trPr>
        <w:tc>
          <w:tcPr>
            <w:tcW w:w="8300" w:type="dxa"/>
            <w:vAlign w:val="bottom"/>
          </w:tcPr>
          <w:p>
            <w:pPr>
              <w:spacing w:after="0"/>
              <w:rPr>
                <w:sz w:val="20"/>
                <w:szCs w:val="20"/>
                <w:color w:val="auto"/>
              </w:rPr>
            </w:pPr>
            <w:r>
              <w:rPr>
                <w:rFonts w:ascii="Arial" w:cs="Arial" w:eastAsia="Arial" w:hAnsi="Arial"/>
                <w:sz w:val="17"/>
                <w:szCs w:val="17"/>
                <w:color w:val="auto"/>
              </w:rPr>
              <w:t>Charges to retained earnings, net of estimated forfeitures</w:t>
            </w:r>
          </w:p>
        </w:tc>
        <w:tc>
          <w:tcPr>
            <w:tcW w:w="660" w:type="dxa"/>
            <w:vAlign w:val="bottom"/>
          </w:tcPr>
          <w:p>
            <w:pPr>
              <w:jc w:val="right"/>
              <w:spacing w:after="0"/>
              <w:rPr>
                <w:sz w:val="20"/>
                <w:szCs w:val="20"/>
                <w:color w:val="auto"/>
              </w:rPr>
            </w:pPr>
            <w:r>
              <w:rPr>
                <w:rFonts w:ascii="Arial" w:cs="Arial" w:eastAsia="Arial" w:hAnsi="Arial"/>
                <w:sz w:val="17"/>
                <w:szCs w:val="17"/>
                <w:color w:val="auto"/>
              </w:rPr>
              <w:t>$  9,522</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  4,042</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6"/>
              </w:rPr>
              <w:t>$   7,211</w:t>
            </w:r>
          </w:p>
        </w:tc>
        <w:tc>
          <w:tcPr>
            <w:tcW w:w="80" w:type="dxa"/>
            <w:vAlign w:val="bottom"/>
          </w:tcPr>
          <w:p>
            <w:pPr>
              <w:spacing w:after="0"/>
              <w:rPr>
                <w:sz w:val="18"/>
                <w:szCs w:val="18"/>
                <w:color w:val="auto"/>
              </w:rPr>
            </w:pPr>
          </w:p>
        </w:tc>
      </w:tr>
    </w:tbl>
    <w:p>
      <w:pPr>
        <w:spacing w:after="0" w:line="129" w:lineRule="exact"/>
        <w:rPr>
          <w:sz w:val="20"/>
          <w:szCs w:val="20"/>
          <w:color w:val="auto"/>
        </w:rPr>
      </w:pPr>
    </w:p>
    <w:p>
      <w:pPr>
        <w:ind w:right="180" w:firstLine="457"/>
        <w:spacing w:after="0" w:line="320" w:lineRule="auto"/>
        <w:rPr>
          <w:sz w:val="20"/>
          <w:szCs w:val="20"/>
          <w:color w:val="auto"/>
        </w:rPr>
      </w:pPr>
      <w:r>
        <w:rPr>
          <w:rFonts w:ascii="Arial" w:cs="Arial" w:eastAsia="Arial" w:hAnsi="Arial"/>
          <w:sz w:val="15"/>
          <w:szCs w:val="15"/>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first quarter of 2010 relating to prior years’ awards.</w:t>
      </w:r>
    </w:p>
    <w:p>
      <w:pPr>
        <w:spacing w:after="0" w:line="8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Non-executive members of the Board of Directors receive approximately 55% of their annual compensation for service on the Board of Directors and its committees in the form of DSUs which resulted in 31,588, 36,627 and 28,090 DSUs granted during the years ended December 31, 2010, 2009 and 2008,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years ended December 31, 2010, 2009 and 2008. DSU awards are expensed at their fair value on their date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448"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grant, which, inclusive of amounts related to the Directors’ Fee Deferral Unit Plan, totaled $1,230, $1,316 and $1,331 during the years ended December 31, 2010, 2009 and 2008, respectively.</w:t>
      </w:r>
    </w:p>
    <w:p>
      <w:pPr>
        <w:spacing w:after="0" w:line="105"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years ended December 31, 2010, 2009 and 2008, 7,438, 8,899 and 7,694 DSUs, respectively, had been granted pursuant to such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activity relating to RSUs and DSUs during the three-year period ended December 31, 2010:</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RSUs</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DSUs</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4"/>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88"/>
              </w:rPr>
              <w:t>Weighted</w:t>
            </w: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88"/>
              </w:rPr>
              <w:t>Weighted</w:t>
            </w:r>
          </w:p>
        </w:tc>
        <w:tc>
          <w:tcPr>
            <w:tcW w:w="8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60"/>
              <w:spacing w:after="0" w:line="144" w:lineRule="exact"/>
              <w:rPr>
                <w:sz w:val="20"/>
                <w:szCs w:val="20"/>
                <w:color w:val="auto"/>
              </w:rPr>
            </w:pPr>
            <w:r>
              <w:rPr>
                <w:rFonts w:ascii="Arial" w:cs="Arial" w:eastAsia="Arial" w:hAnsi="Arial"/>
                <w:sz w:val="13"/>
                <w:szCs w:val="13"/>
                <w:b w:val="1"/>
                <w:bCs w:val="1"/>
                <w:color w:val="auto"/>
                <w:w w:val="89"/>
              </w:rPr>
              <w:t>Average</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Average</w:t>
            </w:r>
          </w:p>
        </w:tc>
      </w:tr>
      <w:tr>
        <w:trPr>
          <w:trHeight w:val="144"/>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Grant Date</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Grant Date</w:t>
            </w:r>
          </w:p>
        </w:tc>
      </w:tr>
      <w:tr>
        <w:trPr>
          <w:trHeight w:val="156"/>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Units</w:t>
            </w:r>
          </w:p>
        </w:tc>
        <w:tc>
          <w:tcPr>
            <w:tcW w:w="380" w:type="dxa"/>
            <w:vAlign w:val="bottom"/>
          </w:tcPr>
          <w:p>
            <w:pPr>
              <w:spacing w:after="0"/>
              <w:rPr>
                <w:sz w:val="13"/>
                <w:szCs w:val="13"/>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Fair Value</w:t>
            </w:r>
          </w:p>
        </w:tc>
        <w:tc>
          <w:tcPr>
            <w:tcW w:w="360" w:type="dxa"/>
            <w:vAlign w:val="bottom"/>
          </w:tcPr>
          <w:p>
            <w:pPr>
              <w:spacing w:after="0"/>
              <w:rPr>
                <w:sz w:val="13"/>
                <w:szCs w:val="13"/>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Units</w:t>
            </w:r>
          </w:p>
        </w:tc>
        <w:tc>
          <w:tcPr>
            <w:tcW w:w="380" w:type="dxa"/>
            <w:vAlign w:val="bottom"/>
          </w:tcPr>
          <w:p>
            <w:pPr>
              <w:spacing w:after="0"/>
              <w:rPr>
                <w:sz w:val="13"/>
                <w:szCs w:val="13"/>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Fair Value</w:t>
            </w:r>
          </w:p>
        </w:tc>
        <w:tc>
          <w:tcPr>
            <w:tcW w:w="8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Balance, January 1, 2008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9,507,935</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42.35</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35,310</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43.16</w:t>
            </w:r>
          </w:p>
        </w:tc>
        <w:tc>
          <w:tcPr>
            <w:tcW w:w="8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Granted (including 208,596 RSUs relating to dividend participation)</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14,032,621</w:t>
            </w:r>
          </w:p>
        </w:tc>
        <w:tc>
          <w:tcPr>
            <w:tcW w:w="3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37.02</w:t>
            </w:r>
          </w:p>
        </w:tc>
        <w:tc>
          <w:tcPr>
            <w:tcW w:w="640" w:type="dxa"/>
            <w:vAlign w:val="bottom"/>
          </w:tcPr>
          <w:p>
            <w:pPr>
              <w:jc w:val="right"/>
              <w:spacing w:after="0"/>
              <w:rPr>
                <w:sz w:val="20"/>
                <w:szCs w:val="20"/>
                <w:color w:val="auto"/>
              </w:rPr>
            </w:pPr>
            <w:r>
              <w:rPr>
                <w:rFonts w:ascii="Arial" w:cs="Arial" w:eastAsia="Arial" w:hAnsi="Arial"/>
                <w:sz w:val="17"/>
                <w:szCs w:val="17"/>
                <w:color w:val="auto"/>
              </w:rPr>
              <w:t>35,784</w:t>
            </w:r>
          </w:p>
        </w:tc>
        <w:tc>
          <w:tcPr>
            <w:tcW w:w="3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37.19</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(635,753)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40.40</w:t>
            </w:r>
          </w:p>
        </w:tc>
        <w:tc>
          <w:tcPr>
            <w:tcW w:w="1020" w:type="dxa"/>
            <w:vAlign w:val="bottom"/>
            <w:gridSpan w:val="2"/>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r>
      <w:tr>
        <w:trPr>
          <w:trHeight w:val="215"/>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Vested/Converted</w:t>
            </w: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(763,335)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37.90</w:t>
            </w:r>
          </w:p>
        </w:tc>
        <w:tc>
          <w:tcPr>
            <w:tcW w:w="1020" w:type="dxa"/>
            <w:vAlign w:val="bottom"/>
            <w:gridSpan w:val="2"/>
          </w:tcPr>
          <w:p>
            <w:pPr>
              <w:jc w:val="right"/>
              <w:ind w:right="255"/>
              <w:spacing w:after="0"/>
              <w:rPr>
                <w:sz w:val="20"/>
                <w:szCs w:val="20"/>
                <w:color w:val="auto"/>
              </w:rPr>
            </w:pPr>
            <w:r>
              <w:rPr>
                <w:rFonts w:ascii="Arial" w:cs="Arial" w:eastAsia="Arial" w:hAnsi="Arial"/>
                <w:sz w:val="17"/>
                <w:szCs w:val="17"/>
                <w:color w:val="auto"/>
              </w:rPr>
              <w:t>(5,838)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38.28</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22,141,468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39.17</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65,256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40.32</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Granted (including 331,642 RSUs relating to dividend participation)</w:t>
            </w:r>
          </w:p>
        </w:tc>
        <w:tc>
          <w:tcPr>
            <w:tcW w:w="860" w:type="dxa"/>
            <w:vAlign w:val="bottom"/>
          </w:tcPr>
          <w:p>
            <w:pPr>
              <w:jc w:val="right"/>
              <w:spacing w:after="0"/>
              <w:rPr>
                <w:sz w:val="20"/>
                <w:szCs w:val="20"/>
                <w:color w:val="auto"/>
              </w:rPr>
            </w:pPr>
            <w:r>
              <w:rPr>
                <w:rFonts w:ascii="Arial" w:cs="Arial" w:eastAsia="Arial" w:hAnsi="Arial"/>
                <w:sz w:val="17"/>
                <w:szCs w:val="17"/>
                <w:color w:val="auto"/>
              </w:rPr>
              <w:t>8,006,287</w:t>
            </w:r>
          </w:p>
        </w:tc>
        <w:tc>
          <w:tcPr>
            <w:tcW w:w="3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31.50</w:t>
            </w:r>
          </w:p>
        </w:tc>
        <w:tc>
          <w:tcPr>
            <w:tcW w:w="640" w:type="dxa"/>
            <w:vAlign w:val="bottom"/>
          </w:tcPr>
          <w:p>
            <w:pPr>
              <w:jc w:val="right"/>
              <w:spacing w:after="0"/>
              <w:rPr>
                <w:sz w:val="20"/>
                <w:szCs w:val="20"/>
                <w:color w:val="auto"/>
              </w:rPr>
            </w:pPr>
            <w:r>
              <w:rPr>
                <w:rFonts w:ascii="Arial" w:cs="Arial" w:eastAsia="Arial" w:hAnsi="Arial"/>
                <w:sz w:val="17"/>
                <w:szCs w:val="17"/>
                <w:color w:val="auto"/>
              </w:rPr>
              <w:t>45,526</w:t>
            </w:r>
          </w:p>
        </w:tc>
        <w:tc>
          <w:tcPr>
            <w:tcW w:w="3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28.92</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(831,022)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36.91</w:t>
            </w:r>
          </w:p>
        </w:tc>
        <w:tc>
          <w:tcPr>
            <w:tcW w:w="1020" w:type="dxa"/>
            <w:vAlign w:val="bottom"/>
            <w:gridSpan w:val="2"/>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r>
      <w:tr>
        <w:trPr>
          <w:trHeight w:val="215"/>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Vested/Converted</w:t>
            </w: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(5,948,920)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37.64</w:t>
            </w:r>
          </w:p>
        </w:tc>
        <w:tc>
          <w:tcPr>
            <w:tcW w:w="1020" w:type="dxa"/>
            <w:vAlign w:val="bottom"/>
            <w:gridSpan w:val="2"/>
          </w:tcPr>
          <w:p>
            <w:pPr>
              <w:jc w:val="right"/>
              <w:ind w:right="255"/>
              <w:spacing w:after="0"/>
              <w:rPr>
                <w:sz w:val="20"/>
                <w:szCs w:val="20"/>
                <w:color w:val="auto"/>
              </w:rPr>
            </w:pPr>
            <w:r>
              <w:rPr>
                <w:rFonts w:ascii="Arial" w:cs="Arial" w:eastAsia="Arial" w:hAnsi="Arial"/>
                <w:sz w:val="17"/>
                <w:szCs w:val="17"/>
                <w:color w:val="auto"/>
              </w:rPr>
              <w:t>(7,636)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34.05</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23,367,813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37.01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103,146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35.75</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Granted (including 318,025 RSUs relating to dividend participation)</w:t>
            </w:r>
          </w:p>
        </w:tc>
        <w:tc>
          <w:tcPr>
            <w:tcW w:w="860" w:type="dxa"/>
            <w:vAlign w:val="bottom"/>
          </w:tcPr>
          <w:p>
            <w:pPr>
              <w:jc w:val="right"/>
              <w:spacing w:after="0"/>
              <w:rPr>
                <w:sz w:val="20"/>
                <w:szCs w:val="20"/>
                <w:color w:val="auto"/>
              </w:rPr>
            </w:pPr>
            <w:r>
              <w:rPr>
                <w:rFonts w:ascii="Arial" w:cs="Arial" w:eastAsia="Arial" w:hAnsi="Arial"/>
                <w:sz w:val="17"/>
                <w:szCs w:val="17"/>
                <w:color w:val="auto"/>
              </w:rPr>
              <w:t>7,890,127</w:t>
            </w:r>
          </w:p>
        </w:tc>
        <w:tc>
          <w:tcPr>
            <w:tcW w:w="3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35.69</w:t>
            </w:r>
          </w:p>
        </w:tc>
        <w:tc>
          <w:tcPr>
            <w:tcW w:w="640" w:type="dxa"/>
            <w:vAlign w:val="bottom"/>
          </w:tcPr>
          <w:p>
            <w:pPr>
              <w:jc w:val="right"/>
              <w:spacing w:after="0"/>
              <w:rPr>
                <w:sz w:val="20"/>
                <w:szCs w:val="20"/>
                <w:color w:val="auto"/>
              </w:rPr>
            </w:pPr>
            <w:r>
              <w:rPr>
                <w:rFonts w:ascii="Arial" w:cs="Arial" w:eastAsia="Arial" w:hAnsi="Arial"/>
                <w:sz w:val="17"/>
                <w:szCs w:val="17"/>
                <w:color w:val="auto"/>
              </w:rPr>
              <w:t>39,026</w:t>
            </w:r>
          </w:p>
        </w:tc>
        <w:tc>
          <w:tcPr>
            <w:tcW w:w="3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31.51</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(859,756)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36.13</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Vested/Converted/Exchanged</w:t>
            </w:r>
          </w:p>
        </w:tc>
        <w:tc>
          <w:tcPr>
            <w:tcW w:w="860" w:type="dxa"/>
            <w:vAlign w:val="bottom"/>
          </w:tcPr>
          <w:p>
            <w:pPr>
              <w:jc w:val="right"/>
              <w:spacing w:after="0"/>
              <w:rPr>
                <w:sz w:val="20"/>
                <w:szCs w:val="20"/>
                <w:color w:val="auto"/>
              </w:rPr>
            </w:pPr>
            <w:r>
              <w:rPr>
                <w:rFonts w:ascii="Arial" w:cs="Arial" w:eastAsia="Arial" w:hAnsi="Arial"/>
                <w:sz w:val="17"/>
                <w:szCs w:val="17"/>
                <w:color w:val="auto"/>
                <w:w w:val="96"/>
              </w:rPr>
              <w:t>(8,289,549)</w:t>
            </w:r>
          </w:p>
        </w:tc>
        <w:tc>
          <w:tcPr>
            <w:tcW w:w="3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39.42</w:t>
            </w:r>
          </w:p>
        </w:tc>
        <w:tc>
          <w:tcPr>
            <w:tcW w:w="1020" w:type="dxa"/>
            <w:vAlign w:val="bottom"/>
            <w:gridSpan w:val="2"/>
          </w:tcPr>
          <w:p>
            <w:pPr>
              <w:jc w:val="right"/>
              <w:ind w:right="315"/>
              <w:spacing w:after="0"/>
              <w:rPr>
                <w:sz w:val="20"/>
                <w:szCs w:val="20"/>
                <w:color w:val="auto"/>
              </w:rPr>
            </w:pPr>
            <w:r>
              <w:rPr>
                <w:rFonts w:ascii="Arial" w:cs="Arial" w:eastAsia="Arial" w:hAnsi="Arial"/>
                <w:sz w:val="17"/>
                <w:szCs w:val="17"/>
                <w:color w:val="auto"/>
                <w:w w:val="97"/>
              </w:rPr>
              <w:t>(20,435)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35.38</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22,108,635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35.67</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121,737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color w:val="auto"/>
        </w:rPr>
        <w:t>During the years ended December 31, 2010, 2009 and 2008, 8,248,654 RSUs, 5,948,920 RSUs (including the acceleration of 4,406,440 RSUs held by Lazard’s former Chairman and Chief Executive Officer as a result of his death) and 763,335 RSUs vested, respectively, and, during the year ended December 31, 2010, 40,895 RSUs were exchanged for 40,895 shares of restricted Class A common stock. In connection with such vested RSUs, the Company satisfied certain employees’ tax obligations in lieu of issuing 1,674,261, 446,172 and 124,319 shares of Class A common stock in the years ended December 31, 2010, 2009 and 2008, respectively. Accordingly, 6,574,393, 5,502,748 and 639,016 shares of Class A common stock held by Lazard Group were delivered during the years ended December 31, 2010, 2009 and 2008, respectively.</w:t>
      </w:r>
    </w:p>
    <w:p>
      <w:pPr>
        <w:spacing w:after="0" w:line="121" w:lineRule="exact"/>
        <w:rPr>
          <w:sz w:val="20"/>
          <w:szCs w:val="20"/>
          <w:color w:val="auto"/>
        </w:rPr>
      </w:pPr>
    </w:p>
    <w:p>
      <w:pPr>
        <w:ind w:firstLine="457"/>
        <w:spacing w:after="0" w:line="292" w:lineRule="auto"/>
        <w:rPr>
          <w:sz w:val="20"/>
          <w:szCs w:val="20"/>
          <w:color w:val="auto"/>
        </w:rPr>
      </w:pPr>
      <w:r>
        <w:rPr>
          <w:rFonts w:ascii="Arial" w:cs="Arial" w:eastAsia="Arial" w:hAnsi="Arial"/>
          <w:sz w:val="16"/>
          <w:szCs w:val="16"/>
          <w:color w:val="auto"/>
        </w:rPr>
        <w:t>As of December 31, 2010, unrecognized RSU compensation expense, adjusted for estimated forfeitures, was approximately $242,000, with such unrecognized compensation expense expected to be recognized over a weighted average period of approximately 1.4 years subsequent to December 31, 2010. The ultimate amount of such expense is dependent upon the actual number of RSUs that vest. The Company periodically assesses the forfeiture rates used for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00"/>
          </w:cols>
          <w:pgMar w:left="240" w:top="448" w:right="2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480"/>
        <w:spacing w:after="0" w:line="280" w:lineRule="auto"/>
        <w:rPr>
          <w:sz w:val="20"/>
          <w:szCs w:val="20"/>
          <w:color w:val="auto"/>
        </w:rPr>
      </w:pPr>
      <w:r>
        <w:rPr>
          <w:rFonts w:ascii="Arial" w:cs="Arial" w:eastAsia="Arial" w:hAnsi="Arial"/>
          <w:sz w:val="17"/>
          <w:szCs w:val="17"/>
          <w:color w:val="auto"/>
        </w:rPr>
        <w:t>such estimates. A change in estimated forfeiture rates would cause the aggregate amount of compensation expense recognized in future periods to differ from the estimated unrecognized compensation expense described herein.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Restricted Stock</w:t>
      </w:r>
    </w:p>
    <w:p>
      <w:pPr>
        <w:spacing w:after="0" w:line="79" w:lineRule="exact"/>
        <w:rPr>
          <w:sz w:val="20"/>
          <w:szCs w:val="20"/>
          <w:color w:val="auto"/>
        </w:rPr>
      </w:pPr>
    </w:p>
    <w:p>
      <w:pPr>
        <w:ind w:right="220" w:firstLine="457"/>
        <w:spacing w:after="0" w:line="268" w:lineRule="auto"/>
        <w:rPr>
          <w:sz w:val="20"/>
          <w:szCs w:val="20"/>
          <w:color w:val="auto"/>
        </w:rPr>
      </w:pPr>
      <w:r>
        <w:rPr>
          <w:rFonts w:ascii="Arial" w:cs="Arial" w:eastAsia="Arial" w:hAnsi="Arial"/>
          <w:sz w:val="17"/>
          <w:szCs w:val="17"/>
          <w:color w:val="auto"/>
        </w:rPr>
        <w:t>During the year ended December 31, 2010, 54,437 shares of restricted Class A common stock were awarded under the 2008 Plan at a grant date fair value of $38.78 per share. Such award will vest and will no longer be subject to any restrictions on August 31, 2012. The aggregate grant date fair value of the award is being amortized over the vesting period.</w:t>
      </w:r>
    </w:p>
    <w:p>
      <w:pPr>
        <w:spacing w:after="0" w:line="115" w:lineRule="exact"/>
        <w:rPr>
          <w:sz w:val="20"/>
          <w:szCs w:val="20"/>
          <w:color w:val="auto"/>
        </w:rPr>
      </w:pPr>
    </w:p>
    <w:p>
      <w:pPr>
        <w:jc w:val="both"/>
        <w:ind w:right="380" w:firstLine="457"/>
        <w:spacing w:after="0" w:line="268" w:lineRule="auto"/>
        <w:rPr>
          <w:sz w:val="20"/>
          <w:szCs w:val="20"/>
          <w:color w:val="auto"/>
        </w:rPr>
      </w:pPr>
      <w:r>
        <w:rPr>
          <w:rFonts w:ascii="Arial" w:cs="Arial" w:eastAsia="Arial" w:hAnsi="Arial"/>
          <w:sz w:val="17"/>
          <w:szCs w:val="17"/>
          <w:color w:val="auto"/>
        </w:rPr>
        <w:t>During the year ended December 31, 2010, 40,895 shares of restricted Class A common stock were issued in exchange for 40,895 RSUs previously granted during the year at a grant date fair value of $36.10 per share. The vesting terms of such restricted Class A common stock issued are the same as that of the original award exchanged. There was no incremental compensation cost incurred as a result of the exchange.</w:t>
      </w:r>
    </w:p>
    <w:p>
      <w:pPr>
        <w:spacing w:after="0" w:line="115" w:lineRule="exact"/>
        <w:rPr>
          <w:sz w:val="20"/>
          <w:szCs w:val="20"/>
          <w:color w:val="auto"/>
        </w:rPr>
      </w:pPr>
    </w:p>
    <w:p>
      <w:pPr>
        <w:jc w:val="both"/>
        <w:ind w:firstLine="457"/>
        <w:spacing w:after="0" w:line="310" w:lineRule="auto"/>
        <w:rPr>
          <w:sz w:val="20"/>
          <w:szCs w:val="20"/>
          <w:color w:val="auto"/>
        </w:rPr>
      </w:pPr>
      <w:r>
        <w:rPr>
          <w:rFonts w:ascii="Arial" w:cs="Arial" w:eastAsia="Arial" w:hAnsi="Arial"/>
          <w:sz w:val="15"/>
          <w:szCs w:val="15"/>
          <w:color w:val="auto"/>
        </w:rPr>
        <w:t>Expense relating to restricted stock awards is charged to “compensation and benefits” expense within the Company’s consolidated statements of operations, and amounted to $979 for the year ended December 31, 2010. The awards include a cash dividend participation right equivalent to any ordinary quarterly dividends paid on Class A common stock during the period, which will vest concurrently with the underlying restricted stock award. At December 31, 2010, unrecognized restricted stock expense was approximately $2,200, with such expense to be recognized over a weighted average period of approximately 1.7 years subsequent to December 31, 2010.</w:t>
      </w:r>
    </w:p>
    <w:p>
      <w:pPr>
        <w:spacing w:after="0" w:line="88" w:lineRule="exact"/>
        <w:rPr>
          <w:sz w:val="20"/>
          <w:szCs w:val="20"/>
          <w:color w:val="auto"/>
        </w:rPr>
      </w:pPr>
    </w:p>
    <w:p>
      <w:pPr>
        <w:ind w:right="80" w:firstLine="457"/>
        <w:spacing w:after="0" w:line="280" w:lineRule="auto"/>
        <w:rPr>
          <w:sz w:val="20"/>
          <w:szCs w:val="20"/>
          <w:color w:val="auto"/>
        </w:rPr>
      </w:pPr>
      <w:r>
        <w:rPr>
          <w:rFonts w:ascii="Arial" w:cs="Arial" w:eastAsia="Arial" w:hAnsi="Arial"/>
          <w:sz w:val="17"/>
          <w:szCs w:val="17"/>
          <w:color w:val="auto"/>
        </w:rPr>
        <w:t>For purposes of calculating diluted net income per share, such awards are included in the diluted weighted average shares of Class A common stock outstanding using the “treasury stock” method.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Other Incentive Awards</w:t>
      </w:r>
    </w:p>
    <w:p>
      <w:pPr>
        <w:spacing w:after="0" w:line="79" w:lineRule="exact"/>
        <w:rPr>
          <w:sz w:val="20"/>
          <w:szCs w:val="20"/>
          <w:color w:val="auto"/>
        </w:rPr>
      </w:pPr>
    </w:p>
    <w:p>
      <w:pPr>
        <w:ind w:right="40" w:firstLine="457"/>
        <w:spacing w:after="0" w:line="320" w:lineRule="auto"/>
        <w:rPr>
          <w:sz w:val="20"/>
          <w:szCs w:val="20"/>
          <w:color w:val="auto"/>
        </w:rPr>
      </w:pPr>
      <w:r>
        <w:rPr>
          <w:rFonts w:ascii="Arial" w:cs="Arial" w:eastAsia="Arial" w:hAnsi="Arial"/>
          <w:sz w:val="15"/>
          <w:szCs w:val="15"/>
          <w:color w:val="auto"/>
        </w:rPr>
        <w:t>A portion of the incentive awards granted in February 2009 included a deferred cash component, which was originally scheduled to vest over a maximum period of four years. During the fourth quarter of 2009, in connection with a review of the Company’s compensation policy, the Company accelerated the vesting of the then unamortized portion of such previously awarded deferred cash incentive awards which resulted in a pre-tax charge to “compensation and benefits” expense of $60,512.</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Incentive Awards Granted In February 2011</w:t>
      </w:r>
    </w:p>
    <w:p>
      <w:pPr>
        <w:spacing w:after="0" w:line="79" w:lineRule="exact"/>
        <w:rPr>
          <w:sz w:val="20"/>
          <w:szCs w:val="20"/>
          <w:color w:val="auto"/>
        </w:rPr>
      </w:pPr>
    </w:p>
    <w:p>
      <w:pPr>
        <w:jc w:val="both"/>
        <w:ind w:right="240" w:firstLine="457"/>
        <w:spacing w:after="0" w:line="320" w:lineRule="auto"/>
        <w:rPr>
          <w:sz w:val="20"/>
          <w:szCs w:val="20"/>
          <w:color w:val="auto"/>
        </w:rPr>
      </w:pPr>
      <w:r>
        <w:rPr>
          <w:rFonts w:ascii="Arial" w:cs="Arial" w:eastAsia="Arial" w:hAnsi="Arial"/>
          <w:sz w:val="15"/>
          <w:szCs w:val="15"/>
          <w:color w:val="auto"/>
        </w:rPr>
        <w:t>In February 2011, the Company granted to eligible employees (i) approximately 5,775,000 RSUs, that, in accordance with U.S. GAAP, were measured at the grant date fair value of $45.26 per RSU, or an aggregate of approximately $261,000, and (ii) actual or notional interests in several Lazard investment funds (“Lazard Fund Interests”) which had an aggregate fair value on the date of grant of approximately $26,000, with such aggregate fair values excluding potential forfeitures.</w:t>
      </w:r>
    </w:p>
    <w:p>
      <w:pPr>
        <w:spacing w:after="0" w:line="80"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The RSUs and Lazard Fund Interests granted each provide for one-third vesting on March 1, 2013 and the remaining two-thirds vesting on March 3, 2014. Compensation expense with respect such incentive awards will be recognized over the vesting period (and, with respect to the Lazard Fund Interests, with an offset recorded as an incentive compensation liability, the ultimate value of which will vary based on the then vested value of the underlying Lazard Fund Interests), with such compensation expense to be recognized over a weighted average period of 2.7 years with respect to both the RSUs and Lazard Fund Interests.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448" w:right="2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460" w:hanging="456"/>
        <w:spacing w:after="0"/>
        <w:tabs>
          <w:tab w:leader="none" w:pos="460" w:val="left"/>
        </w:tabs>
        <w:numPr>
          <w:ilvl w:val="0"/>
          <w:numId w:val="6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EMPLOYEE BENEFIT PLANS</w:t>
      </w:r>
    </w:p>
    <w:p>
      <w:pPr>
        <w:spacing w:after="0" w:line="79" w:lineRule="exact"/>
        <w:rPr>
          <w:sz w:val="20"/>
          <w:szCs w:val="20"/>
          <w:color w:val="auto"/>
        </w:rPr>
      </w:pPr>
    </w:p>
    <w:p>
      <w:pPr>
        <w:ind w:right="120" w:firstLine="457"/>
        <w:spacing w:after="0" w:line="29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98" w:lineRule="exact"/>
        <w:rPr>
          <w:sz w:val="20"/>
          <w:szCs w:val="20"/>
          <w:color w:val="auto"/>
        </w:rPr>
      </w:pPr>
    </w:p>
    <w:p>
      <w:pPr>
        <w:ind w:right="20" w:firstLine="457"/>
        <w:spacing w:after="0" w:line="320" w:lineRule="auto"/>
        <w:rPr>
          <w:sz w:val="20"/>
          <w:szCs w:val="20"/>
          <w:color w:val="auto"/>
        </w:rPr>
      </w:pPr>
      <w:r>
        <w:rPr>
          <w:rFonts w:ascii="Arial" w:cs="Arial" w:eastAsia="Arial" w:hAnsi="Arial"/>
          <w:sz w:val="15"/>
          <w:szCs w:val="15"/>
          <w:color w:val="auto"/>
        </w:rPr>
        <w:t>Effective January 31, 2005, the Company’s U.S. defined benefit pension plans were amended to cease future benefit accruals and future participation. As a result of such amendment, active participants continue to receive credit for service completed after January 31, 2005 for purposes of vesting; however, future service is not taken into consideration for purposes of future benefit accruals under these plans. Vested benefits for active participants as of January 31, 2005 have been retained.</w:t>
      </w:r>
    </w:p>
    <w:p>
      <w:pPr>
        <w:spacing w:after="0" w:line="80" w:lineRule="exact"/>
        <w:rPr>
          <w:sz w:val="20"/>
          <w:szCs w:val="20"/>
          <w:color w:val="auto"/>
        </w:rPr>
      </w:pPr>
    </w:p>
    <w:p>
      <w:pPr>
        <w:ind w:right="60" w:firstLine="457"/>
        <w:spacing w:after="0" w:line="268" w:lineRule="auto"/>
        <w:rPr>
          <w:sz w:val="20"/>
          <w:szCs w:val="20"/>
          <w:color w:val="auto"/>
        </w:rPr>
      </w:pPr>
      <w:r>
        <w:rPr>
          <w:rFonts w:ascii="Arial" w:cs="Arial" w:eastAsia="Arial" w:hAnsi="Arial"/>
          <w:sz w:val="17"/>
          <w:szCs w:val="17"/>
          <w:color w:val="auto"/>
        </w:rPr>
        <w:t>Effective March 31, 2006, certain of the Company’s non-U.S. pension plans were amended to cease future accruals. As a result of such amendment, future service and compensation increases will not be taken into account for purposes of future benefit accruals under these plans. Vested benefits for active participants as of March 31, 2006 were retained.</w:t>
      </w:r>
    </w:p>
    <w:p>
      <w:pPr>
        <w:spacing w:after="0" w:line="115" w:lineRule="exact"/>
        <w:rPr>
          <w:sz w:val="20"/>
          <w:szCs w:val="20"/>
          <w:color w:val="auto"/>
        </w:rPr>
      </w:pPr>
    </w:p>
    <w:p>
      <w:pPr>
        <w:ind w:right="60" w:firstLine="457"/>
        <w:spacing w:after="0" w:line="277" w:lineRule="auto"/>
        <w:rPr>
          <w:sz w:val="20"/>
          <w:szCs w:val="20"/>
          <w:color w:val="auto"/>
        </w:rPr>
      </w:pPr>
      <w:r>
        <w:rPr>
          <w:rFonts w:ascii="Arial" w:cs="Arial" w:eastAsia="Arial" w:hAnsi="Arial"/>
          <w:sz w:val="16"/>
          <w:szCs w:val="16"/>
          <w:color w:val="auto"/>
        </w:rPr>
        <w:t>The Company also offers a partially funded contributory post-retirement medical plan covering qualifying U.S. employees (the “Medical Plan”). The Medical Plan pays a stated percentage of most necessary medical expenses incurred by retirees, after subtracting payments by Medicare or other providers and after stated deductibles have been met. Participants become eligible for benefits if they retire from the Company after meeting certain age and service requirements. Effective January 1, 2005, post-retirement health care benefits are no longer offered to those managing directors and employees hired on or after January 1, 2005 and for those managing directors and employees hired before January 1, 2005 who did not attain the age of 40 before December 31, 2005. In addition, effective January 1, 2006, the cost sharing policy changed for those who qualify for the benefit. The plan was amended effective January 1, 2008, such that previously ineligible managing directors and employees who meet the Medical Plan’s age and service requirements have the ability, upon retirement, to elect to purchase medical coverage through the Medical Plan at no cost to the Company. The Company will continue to contribute towards the cost of retiree medical premiums for those employees hired before January 1, 2005 who were age 55 or older on or before December 31, 2005.</w:t>
      </w:r>
    </w:p>
    <w:p>
      <w:pPr>
        <w:spacing w:after="0" w:line="112" w:lineRule="exact"/>
        <w:rPr>
          <w:sz w:val="20"/>
          <w:szCs w:val="20"/>
          <w:color w:val="auto"/>
        </w:rPr>
      </w:pPr>
    </w:p>
    <w:p>
      <w:pPr>
        <w:ind w:firstLine="457"/>
        <w:spacing w:after="0" w:line="292"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an agreement with the plans’ Trustees. Management also evaluates from time to time whether to make voluntary contributions to the plans. For the U.S. pension plans, there were no minimum required cash contributions and no voluntary cash contributions for the year ended December 31, 2010.</w:t>
      </w:r>
    </w:p>
    <w:p>
      <w:pPr>
        <w:spacing w:after="0" w:line="98"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In accordance with agreements reached with the Trustees of certain non-U.S. pension plans in 2005, the Company is obligated to make further contributions to such pension plans based upon the cumulative performance of the plans’ assets against specific benchmarks as measured on June 1, 2009 (the “measurement date”) and subsequently remeasured on June 1, 2010 (the “remeasurement date”). As of December 31, 2009, the obligation related to the cumulative underperformance of the plans’ assets (the “underperformance obligation”) was payable in equal monthly installments through May 2013. During the year ended December 31, 2010, the Company contributed approximately $8,600 to settle the plans’ underperformance obligation in full.</w:t>
      </w:r>
    </w:p>
    <w:p>
      <w:pPr>
        <w:spacing w:after="0" w:line="107" w:lineRule="exact"/>
        <w:rPr>
          <w:sz w:val="20"/>
          <w:szCs w:val="20"/>
          <w:color w:val="auto"/>
        </w:rPr>
      </w:pPr>
    </w:p>
    <w:p>
      <w:pPr>
        <w:ind w:right="220" w:firstLine="457"/>
        <w:spacing w:after="0" w:line="349" w:lineRule="auto"/>
        <w:rPr>
          <w:sz w:val="20"/>
          <w:szCs w:val="20"/>
          <w:color w:val="auto"/>
        </w:rPr>
      </w:pPr>
      <w:r>
        <w:rPr>
          <w:rFonts w:ascii="Arial" w:cs="Arial" w:eastAsia="Arial" w:hAnsi="Arial"/>
          <w:sz w:val="15"/>
          <w:szCs w:val="15"/>
          <w:color w:val="auto"/>
        </w:rPr>
        <w:t>In addition, on June 30, 2009 the Company and Trustees concluded the December 31, 2007 triennial valuation of the non-U.S. pension plans discussed above, pursuant to which: (i) the Company agreed to contribute, in addition to amounts to cover administrative expenses under the plans, 2.3 million British pounds</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00"/>
          </w:cols>
          <w:pgMar w:left="240" w:top="448" w:right="25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($3,570 at December 31, 2010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 12.5 million British pounds, with a final redemption date of December 31, 2018. This amount is subject to adjustment based on the results of the December 31, 2010 triennial valuation and subsequent triennial valuations. The aggregate escrow balance has been recorded in “cash deposited with clearing organizations and other segregated cash” and “investments” respectively, on the accompanying consolidated statements of financial condition. Income on the escrow balance accretes to the Company and is recorded in interest income.</w:t>
      </w:r>
    </w:p>
    <w:p>
      <w:pPr>
        <w:spacing w:after="0" w:line="109" w:lineRule="exact"/>
        <w:rPr>
          <w:sz w:val="20"/>
          <w:szCs w:val="20"/>
          <w:color w:val="auto"/>
        </w:rPr>
      </w:pPr>
    </w:p>
    <w:p>
      <w:pPr>
        <w:ind w:right="440" w:firstLine="457"/>
        <w:spacing w:after="0" w:line="280" w:lineRule="auto"/>
        <w:rPr>
          <w:sz w:val="20"/>
          <w:szCs w:val="20"/>
          <w:color w:val="auto"/>
        </w:rPr>
      </w:pPr>
      <w:r>
        <w:rPr>
          <w:rFonts w:ascii="Arial" w:cs="Arial" w:eastAsia="Arial" w:hAnsi="Arial"/>
          <w:sz w:val="17"/>
          <w:szCs w:val="17"/>
          <w:color w:val="auto"/>
        </w:rPr>
        <w:t>During the year ended December 31, 2010, contributions were made to other non-U.S. pension plans amounting to approximately $4,600. The Company is expected to contribute the same amount in the year ending December 31, 2011.</w:t>
      </w:r>
    </w:p>
    <w:p>
      <w:pPr>
        <w:spacing w:after="0" w:line="105" w:lineRule="exact"/>
        <w:rPr>
          <w:sz w:val="20"/>
          <w:szCs w:val="20"/>
          <w:color w:val="auto"/>
        </w:rPr>
      </w:pPr>
    </w:p>
    <w:p>
      <w:pPr>
        <w:ind w:right="100" w:firstLine="457"/>
        <w:spacing w:after="0" w:line="268" w:lineRule="auto"/>
        <w:rPr>
          <w:sz w:val="20"/>
          <w:szCs w:val="20"/>
          <w:color w:val="auto"/>
        </w:rPr>
      </w:pPr>
      <w:r>
        <w:rPr>
          <w:rFonts w:ascii="Arial" w:cs="Arial" w:eastAsia="Arial" w:hAnsi="Arial"/>
          <w:sz w:val="17"/>
          <w:szCs w:val="17"/>
          <w:color w:val="auto"/>
        </w:rPr>
        <w:t>The following table summarizes the changes in the benefit obligations, the fair value of the assets, the funded status and amounts recognized in the consolidated statements of financial condition for the U.S. defined benefit pension plan and post-retirement Medical Plan and plans outside the U.S. The Company uses December 31 as the measurement date for its employee benefit plans.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rPr>
              <w:t>Pension</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Post-Retirement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6"/>
              </w:rPr>
              <w:t>Plans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Medical Plan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3"/>
                <w:szCs w:val="13"/>
                <w:b w:val="1"/>
                <w:bCs w:val="1"/>
                <w:color w:val="auto"/>
              </w:rPr>
              <w:t>2010</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6"/>
              <w:spacing w:after="0" w:line="137" w:lineRule="exact"/>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8"/>
              <w:spacing w:after="0" w:line="137" w:lineRule="exact"/>
              <w:rPr>
                <w:sz w:val="20"/>
                <w:szCs w:val="20"/>
                <w:color w:val="auto"/>
              </w:rPr>
            </w:pPr>
            <w:r>
              <w:rPr>
                <w:rFonts w:ascii="Arial" w:cs="Arial" w:eastAsia="Arial" w:hAnsi="Arial"/>
                <w:sz w:val="13"/>
                <w:szCs w:val="13"/>
                <w:b w:val="1"/>
                <w:bCs w:val="1"/>
                <w:color w:val="auto"/>
                <w:w w:val="96"/>
              </w:rPr>
              <w:t>2010</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6"/>
              <w:spacing w:after="0" w:line="137" w:lineRule="exact"/>
              <w:rPr>
                <w:sz w:val="20"/>
                <w:szCs w:val="20"/>
                <w:color w:val="auto"/>
              </w:rPr>
            </w:pPr>
            <w:r>
              <w:rPr>
                <w:rFonts w:ascii="Arial" w:cs="Arial" w:eastAsia="Arial" w:hAnsi="Arial"/>
                <w:sz w:val="13"/>
                <w:szCs w:val="13"/>
                <w:b w:val="1"/>
                <w:bCs w:val="1"/>
                <w:color w:val="auto"/>
                <w:w w:val="96"/>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in benefit obligation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Benefit obligation at beginning of year</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55"/>
              <w:spacing w:after="0"/>
              <w:rPr>
                <w:sz w:val="20"/>
                <w:szCs w:val="20"/>
                <w:color w:val="auto"/>
              </w:rPr>
            </w:pPr>
            <w:r>
              <w:rPr>
                <w:rFonts w:ascii="Arial" w:cs="Arial" w:eastAsia="Arial" w:hAnsi="Arial"/>
                <w:sz w:val="17"/>
                <w:szCs w:val="17"/>
                <w:color w:val="auto"/>
                <w:w w:val="87"/>
              </w:rPr>
              <w:t>525,458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w w:val="87"/>
              </w:rPr>
              <w:t>367,789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5,358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6,734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Interest 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55"/>
              <w:spacing w:after="0"/>
              <w:rPr>
                <w:sz w:val="20"/>
                <w:szCs w:val="20"/>
                <w:color w:val="auto"/>
              </w:rPr>
            </w:pPr>
            <w:r>
              <w:rPr>
                <w:rFonts w:ascii="Arial" w:cs="Arial" w:eastAsia="Arial" w:hAnsi="Arial"/>
                <w:sz w:val="17"/>
                <w:szCs w:val="17"/>
                <w:color w:val="auto"/>
              </w:rPr>
              <w:t>27,734</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27,419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Amendments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(2,449)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Actuarial (gain)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55"/>
              <w:spacing w:after="0"/>
              <w:rPr>
                <w:sz w:val="20"/>
                <w:szCs w:val="20"/>
                <w:color w:val="auto"/>
              </w:rPr>
            </w:pPr>
            <w:r>
              <w:rPr>
                <w:rFonts w:ascii="Arial" w:cs="Arial" w:eastAsia="Arial" w:hAnsi="Arial"/>
                <w:sz w:val="17"/>
                <w:szCs w:val="17"/>
                <w:color w:val="auto"/>
              </w:rPr>
              <w:t>11,253</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47,745</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(1,406)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Benefits paid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5"/>
              <w:spacing w:after="0"/>
              <w:rPr>
                <w:sz w:val="20"/>
                <w:szCs w:val="20"/>
                <w:color w:val="auto"/>
              </w:rPr>
            </w:pPr>
            <w:r>
              <w:rPr>
                <w:rFonts w:ascii="Arial" w:cs="Arial" w:eastAsia="Arial" w:hAnsi="Arial"/>
                <w:sz w:val="17"/>
                <w:szCs w:val="17"/>
                <w:color w:val="auto"/>
                <w:w w:val="94"/>
              </w:rPr>
              <w:t>(21,826)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4"/>
              </w:rPr>
              <w:t>(22,201)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(542)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Foreign currency translation and other adjustments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95"/>
              <w:spacing w:after="0"/>
              <w:rPr>
                <w:sz w:val="20"/>
                <w:szCs w:val="20"/>
                <w:color w:val="auto"/>
              </w:rPr>
            </w:pPr>
            <w:r>
              <w:rPr>
                <w:rFonts w:ascii="Arial" w:cs="Arial" w:eastAsia="Arial" w:hAnsi="Arial"/>
                <w:sz w:val="17"/>
                <w:szCs w:val="17"/>
                <w:color w:val="auto"/>
                <w:w w:val="94"/>
              </w:rPr>
              <w:t>(23,438)</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w w:val="87"/>
              </w:rPr>
              <w:t>105,723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Benefit obligation at end of year</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519,779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525,458</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5,799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gridSpan w:val="2"/>
          </w:tcPr>
          <w:p>
            <w:pPr>
              <w:spacing w:after="0"/>
              <w:rPr>
                <w:sz w:val="20"/>
                <w:szCs w:val="20"/>
                <w:color w:val="auto"/>
              </w:rPr>
            </w:pPr>
            <w:r>
              <w:rPr>
                <w:rFonts w:ascii="Arial" w:cs="Arial" w:eastAsia="Arial" w:hAnsi="Arial"/>
                <w:sz w:val="17"/>
                <w:szCs w:val="17"/>
                <w:b w:val="1"/>
                <w:bCs w:val="1"/>
                <w:color w:val="auto"/>
              </w:rPr>
              <w:t>Change in plan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plan assets at beginning of year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w w:val="87"/>
              </w:rPr>
              <w:t>524,656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7"/>
              </w:rPr>
              <w:t>400,364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Actual return on plan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55"/>
              <w:spacing w:after="0"/>
              <w:rPr>
                <w:sz w:val="20"/>
                <w:szCs w:val="20"/>
                <w:color w:val="auto"/>
              </w:rPr>
            </w:pPr>
            <w:r>
              <w:rPr>
                <w:rFonts w:ascii="Arial" w:cs="Arial" w:eastAsia="Arial" w:hAnsi="Arial"/>
                <w:sz w:val="17"/>
                <w:szCs w:val="17"/>
                <w:color w:val="auto"/>
              </w:rPr>
              <w:t>61,452</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53,499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Employer contributions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13,284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7,581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Benefits paid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95"/>
              <w:spacing w:after="0"/>
              <w:rPr>
                <w:sz w:val="20"/>
                <w:szCs w:val="20"/>
                <w:color w:val="auto"/>
              </w:rPr>
            </w:pPr>
            <w:r>
              <w:rPr>
                <w:rFonts w:ascii="Arial" w:cs="Arial" w:eastAsia="Arial" w:hAnsi="Arial"/>
                <w:sz w:val="17"/>
                <w:szCs w:val="17"/>
                <w:color w:val="auto"/>
                <w:w w:val="94"/>
              </w:rPr>
              <w:t>(21,826)</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(22,201)</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and other adjustments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5"/>
              <w:spacing w:after="0"/>
              <w:rPr>
                <w:sz w:val="20"/>
                <w:szCs w:val="20"/>
                <w:color w:val="auto"/>
              </w:rPr>
            </w:pPr>
            <w:r>
              <w:rPr>
                <w:rFonts w:ascii="Arial" w:cs="Arial" w:eastAsia="Arial" w:hAnsi="Arial"/>
                <w:sz w:val="17"/>
                <w:szCs w:val="17"/>
                <w:color w:val="auto"/>
                <w:w w:val="94"/>
              </w:rPr>
              <w:t>(22,578)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85,413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40" w:type="dxa"/>
            <w:vAlign w:val="bottom"/>
            <w:gridSpan w:val="2"/>
          </w:tcPr>
          <w:p>
            <w:pPr>
              <w:spacing w:after="0"/>
              <w:rPr>
                <w:sz w:val="20"/>
                <w:szCs w:val="20"/>
                <w:color w:val="auto"/>
              </w:rPr>
            </w:pPr>
            <w:r>
              <w:rPr>
                <w:rFonts w:ascii="Arial" w:cs="Arial" w:eastAsia="Arial" w:hAnsi="Arial"/>
                <w:sz w:val="17"/>
                <w:szCs w:val="17"/>
                <w:color w:val="auto"/>
              </w:rPr>
              <w:t>Fair value of plan assets at end of year</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554,988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524,656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Funded surplus (deficit) at end of year</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35,209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9"/>
              </w:rPr>
              <w:t>(5,799)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(5,358)</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7"/>
                <w:szCs w:val="17"/>
                <w:color w:val="auto"/>
                <w:w w:val="91"/>
              </w:rPr>
              <w:t>Amounts recognized in the consolidated statements of financial condition at December 31, 2010 and 2009 consist</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7"/>
                <w:szCs w:val="17"/>
                <w:color w:val="auto"/>
              </w:rPr>
              <w:t>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Prepaid pension asset (included in “other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61,572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27,386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ind w:left="400"/>
              <w:spacing w:after="0"/>
              <w:rPr>
                <w:sz w:val="20"/>
                <w:szCs w:val="20"/>
                <w:color w:val="auto"/>
              </w:rPr>
            </w:pPr>
            <w:r>
              <w:rPr>
                <w:rFonts w:ascii="Arial" w:cs="Arial" w:eastAsia="Arial" w:hAnsi="Arial"/>
                <w:sz w:val="17"/>
                <w:szCs w:val="17"/>
                <w:color w:val="auto"/>
              </w:rPr>
              <w:t>Accrued benefit liability (included in “other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95"/>
              <w:spacing w:after="0"/>
              <w:rPr>
                <w:sz w:val="20"/>
                <w:szCs w:val="20"/>
                <w:color w:val="auto"/>
              </w:rPr>
            </w:pPr>
            <w:r>
              <w:rPr>
                <w:rFonts w:ascii="Arial" w:cs="Arial" w:eastAsia="Arial" w:hAnsi="Arial"/>
                <w:sz w:val="17"/>
                <w:szCs w:val="17"/>
                <w:color w:val="auto"/>
                <w:w w:val="94"/>
              </w:rPr>
              <w:t>(26,363)</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(28,188)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w w:val="89"/>
              </w:rPr>
              <w:t>(5,799)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(5,358)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Net amount recognized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9"/>
              </w:rPr>
              <w:t>(5,799)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(5,358)</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7"/>
                <w:szCs w:val="17"/>
                <w:color w:val="auto"/>
                <w:w w:val="95"/>
              </w:rPr>
              <w:t>Amounts recognized in AOCI (excluding tax benefits of $2,689 and $10,219 at December 31, 2010 and 2009,</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7"/>
                <w:szCs w:val="17"/>
                <w:color w:val="auto"/>
              </w:rPr>
              <w:t>respectively) consist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Actuarial net (gain)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41,898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66,113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ind w:left="400"/>
              <w:spacing w:after="0"/>
              <w:rPr>
                <w:sz w:val="20"/>
                <w:szCs w:val="20"/>
                <w:color w:val="auto"/>
              </w:rPr>
            </w:pPr>
            <w:r>
              <w:rPr>
                <w:rFonts w:ascii="Arial" w:cs="Arial" w:eastAsia="Arial" w:hAnsi="Arial"/>
                <w:sz w:val="17"/>
                <w:szCs w:val="17"/>
                <w:color w:val="auto"/>
              </w:rPr>
              <w:t>Prior service cost (credit)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17,209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21,641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(1,023)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Net amount recognized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(1,456)</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ind w:left="5580"/>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78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the fair value of plan assets, the accumulated benefit obligation and the projected benefit obligation at December 31, 2010 and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2009: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U.S. Pension Plans</w:t>
            </w:r>
          </w:p>
        </w:tc>
        <w:tc>
          <w:tcPr>
            <w:tcW w:w="200" w:type="dxa"/>
            <w:vAlign w:val="bottom"/>
          </w:tcPr>
          <w:p>
            <w:pPr>
              <w:spacing w:after="0"/>
              <w:rPr>
                <w:sz w:val="13"/>
                <w:szCs w:val="13"/>
                <w:color w:val="auto"/>
              </w:rPr>
            </w:pPr>
          </w:p>
        </w:tc>
        <w:tc>
          <w:tcPr>
            <w:tcW w:w="1740" w:type="dxa"/>
            <w:vAlign w:val="bottom"/>
            <w:gridSpan w:val="3"/>
          </w:tcPr>
          <w:p>
            <w:pPr>
              <w:jc w:val="right"/>
              <w:ind w:right="135"/>
              <w:spacing w:after="0"/>
              <w:rPr>
                <w:sz w:val="20"/>
                <w:szCs w:val="20"/>
                <w:color w:val="auto"/>
              </w:rPr>
            </w:pPr>
            <w:r>
              <w:rPr>
                <w:rFonts w:ascii="Arial" w:cs="Arial" w:eastAsia="Arial" w:hAnsi="Arial"/>
                <w:sz w:val="13"/>
                <w:szCs w:val="13"/>
                <w:b w:val="1"/>
                <w:bCs w:val="1"/>
                <w:color w:val="auto"/>
              </w:rPr>
              <w:t>Non-U.S. Pension Plans</w:t>
            </w:r>
          </w:p>
        </w:tc>
        <w:tc>
          <w:tcPr>
            <w:tcW w:w="220" w:type="dxa"/>
            <w:vAlign w:val="bottom"/>
          </w:tcPr>
          <w:p>
            <w:pPr>
              <w:spacing w:after="0"/>
              <w:rPr>
                <w:sz w:val="13"/>
                <w:szCs w:val="13"/>
                <w:color w:val="auto"/>
              </w:rPr>
            </w:pPr>
          </w:p>
        </w:tc>
        <w:tc>
          <w:tcPr>
            <w:tcW w:w="1100" w:type="dxa"/>
            <w:vAlign w:val="bottom"/>
            <w:gridSpan w:val="3"/>
          </w:tcPr>
          <w:p>
            <w:pPr>
              <w:ind w:left="740"/>
              <w:spacing w:after="0"/>
              <w:rPr>
                <w:sz w:val="20"/>
                <w:szCs w:val="20"/>
                <w:color w:val="auto"/>
              </w:rPr>
            </w:pPr>
            <w:r>
              <w:rPr>
                <w:rFonts w:ascii="Arial" w:cs="Arial" w:eastAsia="Arial" w:hAnsi="Arial"/>
                <w:sz w:val="13"/>
                <w:szCs w:val="13"/>
                <w:b w:val="1"/>
                <w:bCs w:val="1"/>
                <w:color w:val="auto"/>
              </w:rPr>
              <w:t>Total</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820" w:type="dxa"/>
            <w:vAlign w:val="bottom"/>
          </w:tcPr>
          <w:p>
            <w:pPr>
              <w:spacing w:after="0"/>
              <w:rPr>
                <w:sz w:val="13"/>
                <w:szCs w:val="13"/>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As Of December 31,</w:t>
            </w:r>
          </w:p>
        </w:tc>
        <w:tc>
          <w:tcPr>
            <w:tcW w:w="200" w:type="dxa"/>
            <w:vAlign w:val="bottom"/>
          </w:tcPr>
          <w:p>
            <w:pPr>
              <w:spacing w:after="0"/>
              <w:rPr>
                <w:sz w:val="13"/>
                <w:szCs w:val="13"/>
                <w:color w:val="auto"/>
              </w:rPr>
            </w:pPr>
          </w:p>
        </w:tc>
        <w:tc>
          <w:tcPr>
            <w:tcW w:w="1740" w:type="dxa"/>
            <w:vAlign w:val="bottom"/>
            <w:gridSpan w:val="3"/>
          </w:tcPr>
          <w:p>
            <w:pPr>
              <w:jc w:val="right"/>
              <w:ind w:right="235"/>
              <w:spacing w:after="0"/>
              <w:rPr>
                <w:sz w:val="20"/>
                <w:szCs w:val="20"/>
                <w:color w:val="auto"/>
              </w:rPr>
            </w:pPr>
            <w:r>
              <w:rPr>
                <w:rFonts w:ascii="Arial" w:cs="Arial" w:eastAsia="Arial" w:hAnsi="Arial"/>
                <w:sz w:val="13"/>
                <w:szCs w:val="13"/>
                <w:b w:val="1"/>
                <w:bCs w:val="1"/>
                <w:color w:val="auto"/>
              </w:rPr>
              <w:t>As Of December 31,</w:t>
            </w:r>
          </w:p>
        </w:tc>
        <w:tc>
          <w:tcPr>
            <w:tcW w:w="220" w:type="dxa"/>
            <w:vAlign w:val="bottom"/>
          </w:tcPr>
          <w:p>
            <w:pPr>
              <w:spacing w:after="0"/>
              <w:rPr>
                <w:sz w:val="13"/>
                <w:szCs w:val="13"/>
                <w:color w:val="auto"/>
              </w:rPr>
            </w:pPr>
          </w:p>
        </w:tc>
        <w:tc>
          <w:tcPr>
            <w:tcW w:w="190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As Of December 31,</w:t>
            </w:r>
          </w:p>
        </w:tc>
      </w:tr>
      <w:tr>
        <w:trPr>
          <w:trHeight w:val="137"/>
        </w:trPr>
        <w:tc>
          <w:tcPr>
            <w:tcW w:w="58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45"/>
              <w:spacing w:after="0" w:line="137" w:lineRule="exact"/>
              <w:rPr>
                <w:sz w:val="20"/>
                <w:szCs w:val="20"/>
                <w:color w:val="auto"/>
              </w:rPr>
            </w:pPr>
            <w:r>
              <w:rPr>
                <w:rFonts w:ascii="Arial" w:cs="Arial" w:eastAsia="Arial" w:hAnsi="Arial"/>
                <w:sz w:val="13"/>
                <w:szCs w:val="13"/>
                <w:b w:val="1"/>
                <w:bCs w:val="1"/>
                <w:color w:val="auto"/>
              </w:rPr>
              <w:t>2010</w:t>
            </w: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0"/>
              <w:spacing w:after="0" w:line="137" w:lineRule="exact"/>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95"/>
              <w:spacing w:after="0" w:line="137" w:lineRule="exact"/>
              <w:rPr>
                <w:sz w:val="20"/>
                <w:szCs w:val="20"/>
                <w:color w:val="auto"/>
              </w:rPr>
            </w:pPr>
            <w:r>
              <w:rPr>
                <w:rFonts w:ascii="Arial" w:cs="Arial" w:eastAsia="Arial" w:hAnsi="Arial"/>
                <w:sz w:val="13"/>
                <w:szCs w:val="13"/>
                <w:b w:val="1"/>
                <w:bCs w:val="1"/>
                <w:color w:val="auto"/>
              </w:rPr>
              <w:t>2010</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95"/>
              <w:spacing w:after="0" w:line="137" w:lineRule="exact"/>
              <w:rPr>
                <w:sz w:val="20"/>
                <w:szCs w:val="20"/>
                <w:color w:val="auto"/>
              </w:rPr>
            </w:pPr>
            <w:r>
              <w:rPr>
                <w:rFonts w:ascii="Arial" w:cs="Arial" w:eastAsia="Arial" w:hAnsi="Arial"/>
                <w:sz w:val="13"/>
                <w:szCs w:val="13"/>
                <w:b w:val="1"/>
                <w:bCs w:val="1"/>
                <w:color w:val="auto"/>
              </w:rPr>
              <w:t>2009</w:t>
            </w:r>
          </w:p>
        </w:tc>
        <w:tc>
          <w:tcPr>
            <w:tcW w:w="2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95"/>
              <w:spacing w:after="0" w:line="137" w:lineRule="exact"/>
              <w:rPr>
                <w:sz w:val="20"/>
                <w:szCs w:val="20"/>
                <w:color w:val="auto"/>
              </w:rPr>
            </w:pPr>
            <w:r>
              <w:rPr>
                <w:rFonts w:ascii="Arial" w:cs="Arial" w:eastAsia="Arial" w:hAnsi="Arial"/>
                <w:sz w:val="13"/>
                <w:szCs w:val="13"/>
                <w:b w:val="1"/>
                <w:bCs w:val="1"/>
                <w:color w:val="auto"/>
              </w:rPr>
              <w:t>2010</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0"/>
              <w:spacing w:after="0" w:line="137" w:lineRule="exact"/>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1"/>
                <w:szCs w:val="11"/>
                <w:color w:val="auto"/>
              </w:rPr>
            </w:pPr>
          </w:p>
        </w:tc>
      </w:tr>
      <w:tr>
        <w:trPr>
          <w:trHeight w:val="202"/>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plan assets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$23,471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$531,517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$502,331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$554,988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3"/>
              </w:rPr>
              <w:t>$524,656</w:t>
            </w:r>
          </w:p>
        </w:tc>
      </w:tr>
      <w:tr>
        <w:trPr>
          <w:trHeight w:val="209"/>
        </w:trPr>
        <w:tc>
          <w:tcPr>
            <w:tcW w:w="5820" w:type="dxa"/>
            <w:vAlign w:val="bottom"/>
          </w:tcPr>
          <w:p>
            <w:pPr>
              <w:spacing w:after="0"/>
              <w:rPr>
                <w:sz w:val="20"/>
                <w:szCs w:val="20"/>
                <w:color w:val="auto"/>
              </w:rPr>
            </w:pPr>
            <w:r>
              <w:rPr>
                <w:rFonts w:ascii="Arial" w:cs="Arial" w:eastAsia="Arial" w:hAnsi="Arial"/>
                <w:sz w:val="17"/>
                <w:szCs w:val="17"/>
                <w:color w:val="auto"/>
              </w:rPr>
              <w:t>Accumulated benefit obligation</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$26,644</w:t>
            </w:r>
          </w:p>
        </w:tc>
        <w:tc>
          <w:tcPr>
            <w:tcW w:w="680" w:type="dxa"/>
            <w:vAlign w:val="bottom"/>
          </w:tcPr>
          <w:p>
            <w:pPr>
              <w:jc w:val="right"/>
              <w:spacing w:after="0"/>
              <w:rPr>
                <w:sz w:val="20"/>
                <w:szCs w:val="20"/>
                <w:color w:val="auto"/>
              </w:rPr>
            </w:pPr>
            <w:r>
              <w:rPr>
                <w:rFonts w:ascii="Arial" w:cs="Arial" w:eastAsia="Arial" w:hAnsi="Arial"/>
                <w:sz w:val="17"/>
                <w:szCs w:val="17"/>
                <w:color w:val="auto"/>
              </w:rPr>
              <w:t>$26,263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$493,135</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$499,195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$519,779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$525,458</w:t>
            </w: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Projected benefit obligation</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$26,644</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$493,135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$499,195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$519,779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3"/>
              </w:rPr>
              <w:t>$525,458</w:t>
            </w:r>
          </w:p>
        </w:tc>
      </w:tr>
    </w:tbl>
    <w:p>
      <w:pPr>
        <w:spacing w:after="0" w:line="1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the components of benefit cost (credit), the return on plan assets, benefits paid, contributions and other amounts recognized in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AOCI for the years ended December 31, 2010, 2009 and 2008:</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5"/>
              </w:rPr>
              <w:t>Pension Plans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9"/>
          </w:tcPr>
          <w:p>
            <w:pPr>
              <w:jc w:val="center"/>
              <w:ind w:right="200"/>
              <w:spacing w:after="0"/>
              <w:rPr>
                <w:sz w:val="20"/>
                <w:szCs w:val="20"/>
                <w:color w:val="auto"/>
              </w:rPr>
            </w:pPr>
            <w:r>
              <w:rPr>
                <w:rFonts w:ascii="Arial" w:cs="Arial" w:eastAsia="Arial" w:hAnsi="Arial"/>
                <w:sz w:val="13"/>
                <w:szCs w:val="13"/>
                <w:b w:val="1"/>
                <w:bCs w:val="1"/>
                <w:color w:val="auto"/>
                <w:w w:val="91"/>
              </w:rPr>
              <w:t>Post-Retirement Medical Plan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5"/>
          </w:tcPr>
          <w:p>
            <w:pPr>
              <w:jc w:val="center"/>
              <w:spacing w:after="0" w:line="144" w:lineRule="exact"/>
              <w:rPr>
                <w:sz w:val="20"/>
                <w:szCs w:val="20"/>
                <w:color w:val="auto"/>
              </w:rPr>
            </w:pPr>
            <w:r>
              <w:rPr>
                <w:rFonts w:ascii="Arial" w:cs="Arial" w:eastAsia="Arial" w:hAnsi="Arial"/>
                <w:sz w:val="13"/>
                <w:szCs w:val="13"/>
                <w:b w:val="1"/>
                <w:bCs w:val="1"/>
                <w:color w:val="auto"/>
                <w:w w:val="92"/>
              </w:rPr>
              <w:t>For The Years Ended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7"/>
          </w:tcPr>
          <w:p>
            <w:pPr>
              <w:jc w:val="center"/>
              <w:ind w:left="259"/>
              <w:spacing w:after="0" w:line="144" w:lineRule="exact"/>
              <w:rPr>
                <w:sz w:val="20"/>
                <w:szCs w:val="20"/>
                <w:color w:val="auto"/>
              </w:rPr>
            </w:pPr>
            <w:r>
              <w:rPr>
                <w:rFonts w:ascii="Arial" w:cs="Arial" w:eastAsia="Arial" w:hAnsi="Arial"/>
                <w:sz w:val="13"/>
                <w:szCs w:val="13"/>
                <w:b w:val="1"/>
                <w:bCs w:val="1"/>
                <w:color w:val="auto"/>
                <w:w w:val="92"/>
              </w:rPr>
              <w:t>For The Years 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89"/>
              </w:rPr>
              <w:t>December 31,</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89"/>
              </w:rPr>
              <w:t>December 31,</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9"/>
              </w:rPr>
              <w:t>2009</w:t>
            </w: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rPr>
              <w:t>2008</w:t>
            </w: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9"/>
              <w:spacing w:after="0" w:line="137" w:lineRule="exact"/>
              <w:rPr>
                <w:sz w:val="20"/>
                <w:szCs w:val="20"/>
                <w:color w:val="auto"/>
              </w:rPr>
            </w:pPr>
            <w:r>
              <w:rPr>
                <w:rFonts w:ascii="Arial" w:cs="Arial" w:eastAsia="Arial" w:hAnsi="Arial"/>
                <w:sz w:val="13"/>
                <w:szCs w:val="13"/>
                <w:b w:val="1"/>
                <w:bCs w:val="1"/>
                <w:color w:val="auto"/>
                <w:w w:val="96"/>
              </w:rPr>
              <w:t>2010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9"/>
              </w:rPr>
              <w:t>2009</w:t>
            </w: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6"/>
              <w:spacing w:after="0" w:line="137" w:lineRule="exact"/>
              <w:rPr>
                <w:sz w:val="20"/>
                <w:szCs w:val="20"/>
                <w:color w:val="auto"/>
              </w:rPr>
            </w:pPr>
            <w:r>
              <w:rPr>
                <w:rFonts w:ascii="Arial" w:cs="Arial" w:eastAsia="Arial" w:hAnsi="Arial"/>
                <w:sz w:val="13"/>
                <w:szCs w:val="13"/>
                <w:b w:val="1"/>
                <w:bCs w:val="1"/>
                <w:color w:val="auto"/>
                <w:w w:val="96"/>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Components of Net Periodic Benefit Cost (Credit):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7"/>
                <w:szCs w:val="17"/>
                <w:color w:val="auto"/>
              </w:rPr>
              <w:t>Service cost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598</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1,432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81</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cost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27,734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9"/>
              </w:rPr>
              <w:t>27,419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9"/>
              </w:rPr>
              <w:t>28,987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7"/>
                <w:szCs w:val="17"/>
                <w:color w:val="auto"/>
              </w:rPr>
              <w:t>Expected return on plan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5"/>
              <w:spacing w:after="0"/>
              <w:rPr>
                <w:sz w:val="20"/>
                <w:szCs w:val="20"/>
                <w:color w:val="auto"/>
              </w:rPr>
            </w:pPr>
            <w:r>
              <w:rPr>
                <w:rFonts w:ascii="Arial" w:cs="Arial" w:eastAsia="Arial" w:hAnsi="Arial"/>
                <w:sz w:val="17"/>
                <w:szCs w:val="17"/>
                <w:color w:val="auto"/>
                <w:w w:val="91"/>
              </w:rPr>
              <w:t>(29,347)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w w:val="91"/>
              </w:rPr>
              <w:t>(28,310)</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w w:val="91"/>
              </w:rPr>
              <w:t>(33,451)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Amortization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7"/>
                <w:szCs w:val="17"/>
                <w:color w:val="auto"/>
              </w:rPr>
              <w:t>Prior service cost (credit)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2,835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3,099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(1,023)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w w:val="89"/>
              </w:rPr>
              <w:t>(1,382)</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(1,382)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Net actuarial loss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gridSpan w:val="2"/>
          </w:tcPr>
          <w:p>
            <w:pPr>
              <w:spacing w:after="0"/>
              <w:rPr>
                <w:sz w:val="20"/>
                <w:szCs w:val="20"/>
                <w:color w:val="auto"/>
              </w:rPr>
            </w:pPr>
            <w:r>
              <w:rPr>
                <w:rFonts w:ascii="Arial" w:cs="Arial" w:eastAsia="Arial" w:hAnsi="Arial"/>
                <w:sz w:val="17"/>
                <w:szCs w:val="17"/>
                <w:color w:val="auto"/>
              </w:rPr>
              <w:t>Net periodic benefit cost (credit)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2,626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4,963</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(4,088)</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(650)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(974)</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(766)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Settlements (curtailments)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7"/>
                <w:szCs w:val="17"/>
                <w:color w:val="auto"/>
              </w:rPr>
              <w:t>Total benefit cost (credit)</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2,626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4,956</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(3,047)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(650)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(974)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Actual return on plan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61,452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9"/>
              </w:rPr>
              <w:t>53,499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1"/>
              </w:rPr>
              <w:t>(26,004)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7"/>
                <w:szCs w:val="17"/>
                <w:color w:val="auto"/>
              </w:rPr>
              <w:t>Employer contributions</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13,284</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7,581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w w:val="99"/>
              </w:rPr>
              <w:t>16,208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542</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378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Benefits paid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21,826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9"/>
              </w:rPr>
              <w:t>22,201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9"/>
              </w:rPr>
              <w:t>18,705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305"/>
        </w:trPr>
        <w:tc>
          <w:tcPr>
            <w:tcW w:w="6120" w:type="dxa"/>
            <w:vAlign w:val="bottom"/>
            <w:gridSpan w:val="2"/>
          </w:tcPr>
          <w:p>
            <w:pPr>
              <w:spacing w:after="0"/>
              <w:rPr>
                <w:sz w:val="20"/>
                <w:szCs w:val="20"/>
                <w:color w:val="auto"/>
              </w:rPr>
            </w:pPr>
            <w:r>
              <w:rPr>
                <w:rFonts w:ascii="Arial" w:cs="Arial" w:eastAsia="Arial" w:hAnsi="Arial"/>
                <w:sz w:val="17"/>
                <w:szCs w:val="17"/>
                <w:color w:val="auto"/>
                <w:w w:val="92"/>
              </w:rPr>
              <w:t>Other changes in plan assets and benefit obligations recognized in AOCI (excluding tax</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7"/>
                <w:szCs w:val="17"/>
                <w:color w:val="auto"/>
                <w:w w:val="93"/>
              </w:rPr>
              <w:t>charge (benefit) of $7,530, $(13,415) and $2,840 during the years ended December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7"/>
                <w:szCs w:val="17"/>
                <w:color w:val="auto"/>
              </w:rPr>
              <w:t>31, 2010, 2009 and 2008, respectively):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Net actuarial (gain)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w w:val="91"/>
              </w:rPr>
              <w:t>(21,026)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9"/>
              </w:rPr>
              <w:t>22,122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(1,486)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9"/>
              </w:rPr>
              <w:t>(1,407)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7"/>
                <w:szCs w:val="17"/>
                <w:color w:val="auto"/>
              </w:rPr>
              <w:t>Prior service (credit)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(2,449)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Reclassification of prior service (cost) credit to earnings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(2,835)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(3,099)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1,382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1,382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7"/>
                <w:szCs w:val="17"/>
                <w:color w:val="auto"/>
              </w:rPr>
              <w:t>Reclassification of actuarial loss to earnings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5"/>
              <w:spacing w:after="0"/>
              <w:rPr>
                <w:sz w:val="20"/>
                <w:szCs w:val="20"/>
                <w:color w:val="auto"/>
              </w:rPr>
            </w:pPr>
            <w:r>
              <w:rPr>
                <w:rFonts w:ascii="Arial" w:cs="Arial" w:eastAsia="Arial" w:hAnsi="Arial"/>
                <w:sz w:val="17"/>
                <w:szCs w:val="17"/>
                <w:color w:val="auto"/>
              </w:rPr>
              <w:t>(806)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(1,316)</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(1,418)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Currency translation and other adjustments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(3,980)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9"/>
              </w:rPr>
              <w:t>28,516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1"/>
              </w:rPr>
              <w:t>(15,369)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7"/>
                <w:szCs w:val="17"/>
                <w:color w:val="auto"/>
              </w:rPr>
              <w:t>Total recognized in AOCI</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gridSpan w:val="2"/>
          </w:tcPr>
          <w:p>
            <w:pPr>
              <w:jc w:val="right"/>
              <w:ind w:right="15"/>
              <w:spacing w:after="0"/>
              <w:rPr>
                <w:sz w:val="20"/>
                <w:szCs w:val="20"/>
                <w:color w:val="auto"/>
              </w:rPr>
            </w:pPr>
            <w:r>
              <w:rPr>
                <w:rFonts w:ascii="Arial" w:cs="Arial" w:eastAsia="Arial" w:hAnsi="Arial"/>
                <w:sz w:val="17"/>
                <w:szCs w:val="17"/>
                <w:color w:val="auto"/>
                <w:w w:val="91"/>
              </w:rPr>
              <w:t>(28,647)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w w:val="99"/>
              </w:rPr>
              <w:t>43,774</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w w:val="91"/>
              </w:rPr>
              <w:t>(18,273)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1,633</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1,156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Net amount recognized in total periodic benefit cost and AOCI</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w w:val="91"/>
              </w:rPr>
              <w:t>(26,021)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9"/>
              </w:rPr>
              <w:t>48,730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1"/>
              </w:rPr>
              <w:t>(21,320)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ind w:left="5580"/>
              <w:spacing w:after="0"/>
              <w:rPr>
                <w:sz w:val="20"/>
                <w:szCs w:val="20"/>
                <w:color w:val="auto"/>
              </w:rPr>
            </w:pPr>
            <w:r>
              <w:rPr>
                <w:rFonts w:ascii="Arial" w:cs="Arial" w:eastAsia="Arial" w:hAnsi="Arial"/>
                <w:sz w:val="17"/>
                <w:szCs w:val="17"/>
                <w:color w:val="auto"/>
              </w:rPr>
              <w:t>117</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6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320" w:firstLine="457"/>
        <w:spacing w:after="0" w:line="280" w:lineRule="auto"/>
        <w:rPr>
          <w:sz w:val="20"/>
          <w:szCs w:val="20"/>
          <w:color w:val="auto"/>
        </w:rPr>
      </w:pPr>
      <w:r>
        <w:rPr>
          <w:rFonts w:ascii="Arial" w:cs="Arial" w:eastAsia="Arial" w:hAnsi="Arial"/>
          <w:sz w:val="17"/>
          <w:szCs w:val="17"/>
          <w:color w:val="auto"/>
        </w:rPr>
        <w:t>The amounts in AOCI on the consolidated statement of financial condition as of December 31, 2010 that are expected to be recognized as components of net periodic benefit cost (credit) for the year ending December 31, 2011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center"/>
              <w:ind w:right="27"/>
              <w:spacing w:after="0"/>
              <w:rPr>
                <w:sz w:val="20"/>
                <w:szCs w:val="20"/>
                <w:color w:val="auto"/>
              </w:rPr>
            </w:pPr>
            <w:r>
              <w:rPr>
                <w:rFonts w:ascii="Arial" w:cs="Arial" w:eastAsia="Arial" w:hAnsi="Arial"/>
                <w:sz w:val="13"/>
                <w:szCs w:val="13"/>
                <w:b w:val="1"/>
                <w:bCs w:val="1"/>
                <w:color w:val="auto"/>
                <w:w w:val="86"/>
              </w:rPr>
              <w:t>Post-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8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Retirement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680" w:type="dxa"/>
            <w:vAlign w:val="bottom"/>
          </w:tcPr>
          <w:p>
            <w:pPr>
              <w:spacing w:after="0"/>
              <w:rPr>
                <w:sz w:val="12"/>
                <w:szCs w:val="12"/>
                <w:color w:val="auto"/>
              </w:rPr>
            </w:pPr>
          </w:p>
        </w:tc>
        <w:tc>
          <w:tcPr>
            <w:tcW w:w="48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86"/>
              </w:rPr>
              <w:t>Pension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7"/>
              <w:spacing w:after="0" w:line="144" w:lineRule="exact"/>
              <w:rPr>
                <w:sz w:val="20"/>
                <w:szCs w:val="20"/>
                <w:color w:val="auto"/>
              </w:rPr>
            </w:pPr>
            <w:r>
              <w:rPr>
                <w:rFonts w:ascii="Arial" w:cs="Arial" w:eastAsia="Arial" w:hAnsi="Arial"/>
                <w:sz w:val="13"/>
                <w:szCs w:val="13"/>
                <w:b w:val="1"/>
                <w:bCs w:val="1"/>
                <w:color w:val="auto"/>
                <w:w w:val="96"/>
              </w:rPr>
              <w:t>Medical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8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86"/>
              </w:rPr>
              <w:t>Plans</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7"/>
              <w:spacing w:after="0"/>
              <w:rPr>
                <w:sz w:val="20"/>
                <w:szCs w:val="20"/>
                <w:color w:val="auto"/>
              </w:rPr>
            </w:pPr>
            <w:r>
              <w:rPr>
                <w:rFonts w:ascii="Arial" w:cs="Arial" w:eastAsia="Arial" w:hAnsi="Arial"/>
                <w:sz w:val="13"/>
                <w:szCs w:val="13"/>
                <w:b w:val="1"/>
                <w:bCs w:val="1"/>
                <w:color w:val="auto"/>
                <w:w w:val="94"/>
              </w:rPr>
              <w:t>Plan</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3"/>
                <w:szCs w:val="13"/>
                <w:color w:val="auto"/>
              </w:rPr>
            </w:pPr>
          </w:p>
        </w:tc>
      </w:tr>
      <w:tr>
        <w:trPr>
          <w:trHeight w:val="202"/>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Prior service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2,862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2,862</w:t>
            </w:r>
          </w:p>
        </w:tc>
        <w:tc>
          <w:tcPr>
            <w:tcW w:w="80" w:type="dxa"/>
            <w:vAlign w:val="bottom"/>
            <w:shd w:val="clear" w:color="auto" w:fill="CCEEFF"/>
          </w:tcPr>
          <w:p>
            <w:pPr>
              <w:spacing w:after="0"/>
              <w:rPr>
                <w:sz w:val="17"/>
                <w:szCs w:val="17"/>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7"/>
                <w:szCs w:val="17"/>
                <w:color w:val="auto"/>
              </w:rPr>
              <w:t>Net actuarial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250</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250</w:t>
            </w:r>
          </w:p>
        </w:tc>
        <w:tc>
          <w:tcPr>
            <w:tcW w:w="80" w:type="dxa"/>
            <w:vAlign w:val="bottom"/>
          </w:tcPr>
          <w:p>
            <w:pPr>
              <w:spacing w:after="0"/>
              <w:rPr>
                <w:sz w:val="18"/>
                <w:szCs w:val="18"/>
                <w:color w:val="auto"/>
              </w:rPr>
            </w:pPr>
          </w:p>
        </w:tc>
      </w:tr>
    </w:tbl>
    <w:p>
      <w:pPr>
        <w:spacing w:after="0" w:line="129" w:lineRule="exact"/>
        <w:rPr>
          <w:sz w:val="20"/>
          <w:szCs w:val="20"/>
          <w:color w:val="auto"/>
        </w:rPr>
      </w:pPr>
    </w:p>
    <w:p>
      <w:pPr>
        <w:ind w:right="140" w:firstLine="457"/>
        <w:spacing w:after="0" w:line="280" w:lineRule="auto"/>
        <w:rPr>
          <w:sz w:val="20"/>
          <w:szCs w:val="20"/>
          <w:color w:val="auto"/>
        </w:rPr>
      </w:pPr>
      <w:r>
        <w:rPr>
          <w:rFonts w:ascii="Arial" w:cs="Arial" w:eastAsia="Arial" w:hAnsi="Arial"/>
          <w:sz w:val="17"/>
          <w:szCs w:val="17"/>
          <w:color w:val="auto"/>
        </w:rPr>
        <w:t>The assumptions used to develop actuarial present value of the projected benefit obligation and net periodic pension cost as of or for the years ended December 31, 2010, 2009 and 2008 are set forth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Post-Retirement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7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85"/>
              </w:rPr>
              <w:t>Pension Plans</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3"/>
              </w:rPr>
              <w:t>Medical Plan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7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w w:val="89"/>
              </w:rPr>
              <w:t>December 31,</w:t>
            </w:r>
          </w:p>
        </w:tc>
        <w:tc>
          <w:tcPr>
            <w:tcW w:w="4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31,</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7"/>
        </w:trPr>
        <w:tc>
          <w:tcPr>
            <w:tcW w:w="7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2010</w:t>
            </w:r>
          </w:p>
        </w:tc>
        <w:tc>
          <w:tcPr>
            <w:tcW w:w="180" w:type="dxa"/>
            <w:vAlign w:val="bottom"/>
          </w:tcPr>
          <w:p>
            <w:pPr>
              <w:spacing w:after="0"/>
              <w:rPr>
                <w:sz w:val="11"/>
                <w:szCs w:val="11"/>
                <w:color w:val="auto"/>
              </w:rPr>
            </w:pPr>
          </w:p>
        </w:tc>
        <w:tc>
          <w:tcPr>
            <w:tcW w:w="620" w:type="dxa"/>
            <w:vAlign w:val="bottom"/>
            <w:gridSpan w:val="2"/>
          </w:tcPr>
          <w:p>
            <w:pPr>
              <w:jc w:val="center"/>
              <w:ind w:left="165"/>
              <w:spacing w:after="0" w:line="137" w:lineRule="exact"/>
              <w:rPr>
                <w:sz w:val="20"/>
                <w:szCs w:val="20"/>
                <w:color w:val="auto"/>
              </w:rPr>
            </w:pPr>
            <w:r>
              <w:rPr>
                <w:rFonts w:ascii="Arial" w:cs="Arial" w:eastAsia="Arial" w:hAnsi="Arial"/>
                <w:sz w:val="13"/>
                <w:szCs w:val="13"/>
                <w:b w:val="1"/>
                <w:bCs w:val="1"/>
                <w:color w:val="auto"/>
                <w:w w:val="89"/>
              </w:rPr>
              <w:t>2009</w:t>
            </w:r>
          </w:p>
        </w:tc>
        <w:tc>
          <w:tcPr>
            <w:tcW w:w="40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2008</w:t>
            </w:r>
          </w:p>
        </w:tc>
        <w:tc>
          <w:tcPr>
            <w:tcW w:w="40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2010</w:t>
            </w:r>
          </w:p>
        </w:tc>
        <w:tc>
          <w:tcPr>
            <w:tcW w:w="720" w:type="dxa"/>
            <w:vAlign w:val="bottom"/>
            <w:gridSpan w:val="2"/>
          </w:tcPr>
          <w:p>
            <w:pPr>
              <w:jc w:val="center"/>
              <w:ind w:left="224"/>
              <w:spacing w:after="0" w:line="137" w:lineRule="exact"/>
              <w:rPr>
                <w:sz w:val="20"/>
                <w:szCs w:val="20"/>
                <w:color w:val="auto"/>
              </w:rPr>
            </w:pPr>
            <w:r>
              <w:rPr>
                <w:rFonts w:ascii="Arial" w:cs="Arial" w:eastAsia="Arial" w:hAnsi="Arial"/>
                <w:sz w:val="13"/>
                <w:szCs w:val="13"/>
                <w:b w:val="1"/>
                <w:bCs w:val="1"/>
                <w:color w:val="auto"/>
                <w:w w:val="89"/>
              </w:rPr>
              <w:t>2009</w:t>
            </w:r>
          </w:p>
        </w:tc>
        <w:tc>
          <w:tcPr>
            <w:tcW w:w="30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1"/>
                <w:szCs w:val="11"/>
                <w:color w:val="auto"/>
              </w:rPr>
            </w:pP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assumptions used to determine benefit obligations:</w:t>
            </w: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7100" w:type="dxa"/>
            <w:vAlign w:val="bottom"/>
          </w:tcPr>
          <w:p>
            <w:pPr>
              <w:ind w:left="420"/>
              <w:spacing w:after="0"/>
              <w:rPr>
                <w:sz w:val="20"/>
                <w:szCs w:val="20"/>
                <w:color w:val="auto"/>
              </w:rPr>
            </w:pPr>
            <w:r>
              <w:rPr>
                <w:rFonts w:ascii="Arial" w:cs="Arial" w:eastAsia="Arial" w:hAnsi="Arial"/>
                <w:sz w:val="17"/>
                <w:szCs w:val="17"/>
                <w:color w:val="auto"/>
              </w:rPr>
              <w:t>Discount rate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5.4%</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5.7%</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6.2%</w:t>
            </w:r>
          </w:p>
        </w:tc>
        <w:tc>
          <w:tcPr>
            <w:tcW w:w="420" w:type="dxa"/>
            <w:vAlign w:val="bottom"/>
          </w:tcPr>
          <w:p>
            <w:pPr>
              <w:jc w:val="right"/>
              <w:spacing w:after="0"/>
              <w:rPr>
                <w:sz w:val="20"/>
                <w:szCs w:val="20"/>
                <w:color w:val="auto"/>
              </w:rPr>
            </w:pPr>
            <w:r>
              <w:rPr>
                <w:rFonts w:ascii="Arial" w:cs="Arial" w:eastAsia="Arial" w:hAnsi="Arial"/>
                <w:sz w:val="17"/>
                <w:szCs w:val="17"/>
                <w:color w:val="auto"/>
              </w:rPr>
              <w:t>5.0%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8"/>
                <w:szCs w:val="18"/>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assumptions used to determine net periodic benefit cost: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7100" w:type="dxa"/>
            <w:vAlign w:val="bottom"/>
          </w:tcPr>
          <w:p>
            <w:pPr>
              <w:ind w:left="420"/>
              <w:spacing w:after="0"/>
              <w:rPr>
                <w:sz w:val="20"/>
                <w:szCs w:val="20"/>
                <w:color w:val="auto"/>
              </w:rPr>
            </w:pPr>
            <w:r>
              <w:rPr>
                <w:rFonts w:ascii="Arial" w:cs="Arial" w:eastAsia="Arial" w:hAnsi="Arial"/>
                <w:sz w:val="17"/>
                <w:szCs w:val="17"/>
                <w:color w:val="auto"/>
              </w:rPr>
              <w:t>Discount rate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5.5%</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5.8%</w:t>
            </w:r>
          </w:p>
        </w:tc>
        <w:tc>
          <w:tcPr>
            <w:tcW w:w="420" w:type="dxa"/>
            <w:vAlign w:val="bottom"/>
          </w:tcPr>
          <w:p>
            <w:pPr>
              <w:jc w:val="right"/>
              <w:spacing w:after="0"/>
              <w:rPr>
                <w:sz w:val="20"/>
                <w:szCs w:val="20"/>
                <w:color w:val="auto"/>
              </w:rPr>
            </w:pPr>
            <w:r>
              <w:rPr>
                <w:rFonts w:ascii="Arial" w:cs="Arial" w:eastAsia="Arial" w:hAnsi="Arial"/>
                <w:sz w:val="17"/>
                <w:szCs w:val="17"/>
                <w:color w:val="auto"/>
              </w:rPr>
              <w:t>5.6%</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18"/>
                <w:szCs w:val="18"/>
                <w:color w:val="auto"/>
              </w:rPr>
            </w:pPr>
          </w:p>
        </w:tc>
      </w:tr>
      <w:tr>
        <w:trPr>
          <w:trHeight w:val="209"/>
        </w:trPr>
        <w:tc>
          <w:tcPr>
            <w:tcW w:w="7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Expected long-term rate of return on plan assets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6.2%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6.3%</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Healthcare cost trend rates used to determine net periodic benefit cost: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Initial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80" w:type="dxa"/>
            <w:vAlign w:val="bottom"/>
            <w:shd w:val="clear" w:color="auto" w:fill="CCEEFF"/>
          </w:tcPr>
          <w:p>
            <w:pPr>
              <w:spacing w:after="0"/>
              <w:rPr>
                <w:sz w:val="18"/>
                <w:szCs w:val="18"/>
                <w:color w:val="auto"/>
              </w:rPr>
            </w:pPr>
          </w:p>
        </w:tc>
      </w:tr>
      <w:tr>
        <w:trPr>
          <w:trHeight w:val="209"/>
        </w:trPr>
        <w:tc>
          <w:tcPr>
            <w:tcW w:w="7100" w:type="dxa"/>
            <w:vAlign w:val="bottom"/>
          </w:tcPr>
          <w:p>
            <w:pPr>
              <w:ind w:left="420"/>
              <w:spacing w:after="0"/>
              <w:rPr>
                <w:sz w:val="20"/>
                <w:szCs w:val="20"/>
                <w:color w:val="auto"/>
              </w:rPr>
            </w:pPr>
            <w:r>
              <w:rPr>
                <w:rFonts w:ascii="Arial" w:cs="Arial" w:eastAsia="Arial" w:hAnsi="Arial"/>
                <w:sz w:val="17"/>
                <w:szCs w:val="17"/>
                <w:color w:val="auto"/>
              </w:rPr>
              <w:t>Ultimate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8"/>
                <w:szCs w:val="18"/>
                <w:color w:val="auto"/>
              </w:rPr>
            </w:pPr>
          </w:p>
        </w:tc>
      </w:tr>
      <w:tr>
        <w:trPr>
          <w:trHeight w:val="209"/>
        </w:trPr>
        <w:tc>
          <w:tcPr>
            <w:tcW w:w="7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Year ultimate trend rate achieved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80" w:type="dxa"/>
            <w:vAlign w:val="bottom"/>
            <w:shd w:val="clear" w:color="auto" w:fill="CCEEFF"/>
          </w:tcPr>
          <w:p>
            <w:pPr>
              <w:spacing w:after="0"/>
              <w:rPr>
                <w:sz w:val="18"/>
                <w:szCs w:val="18"/>
                <w:color w:val="auto"/>
              </w:rPr>
            </w:pPr>
          </w:p>
        </w:tc>
      </w:tr>
    </w:tbl>
    <w:p>
      <w:pPr>
        <w:spacing w:after="0" w:line="135" w:lineRule="exact"/>
        <w:rPr>
          <w:sz w:val="20"/>
          <w:szCs w:val="20"/>
          <w:color w:val="auto"/>
        </w:rPr>
      </w:pPr>
    </w:p>
    <w:p>
      <w:pPr>
        <w:ind w:right="240" w:firstLine="457"/>
        <w:spacing w:after="0" w:line="280" w:lineRule="auto"/>
        <w:rPr>
          <w:sz w:val="20"/>
          <w:szCs w:val="20"/>
          <w:color w:val="auto"/>
        </w:rPr>
      </w:pPr>
      <w:r>
        <w:rPr>
          <w:rFonts w:ascii="Arial" w:cs="Arial" w:eastAsia="Arial" w:hAnsi="Arial"/>
          <w:sz w:val="17"/>
          <w:szCs w:val="17"/>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105" w:lineRule="exact"/>
        <w:rPr>
          <w:sz w:val="20"/>
          <w:szCs w:val="20"/>
          <w:color w:val="auto"/>
        </w:rPr>
      </w:pPr>
    </w:p>
    <w:p>
      <w:pPr>
        <w:ind w:right="260" w:firstLine="457"/>
        <w:spacing w:after="0" w:line="268" w:lineRule="auto"/>
        <w:rPr>
          <w:sz w:val="20"/>
          <w:szCs w:val="20"/>
          <w:color w:val="auto"/>
        </w:rPr>
      </w:pPr>
      <w:r>
        <w:rPr>
          <w:rFonts w:ascii="Arial" w:cs="Arial" w:eastAsia="Arial" w:hAnsi="Arial"/>
          <w:sz w:val="17"/>
          <w:szCs w:val="17"/>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 returns. This basis is consistent for all years presented.</w:t>
      </w:r>
    </w:p>
    <w:p>
      <w:pPr>
        <w:spacing w:after="0" w:line="115" w:lineRule="exact"/>
        <w:rPr>
          <w:sz w:val="20"/>
          <w:szCs w:val="20"/>
          <w:color w:val="auto"/>
        </w:rPr>
      </w:pPr>
    </w:p>
    <w:p>
      <w:pPr>
        <w:ind w:right="360" w:firstLine="457"/>
        <w:spacing w:after="0" w:line="280" w:lineRule="auto"/>
        <w:rPr>
          <w:sz w:val="20"/>
          <w:szCs w:val="20"/>
          <w:color w:val="auto"/>
        </w:rPr>
      </w:pPr>
      <w:r>
        <w:rPr>
          <w:rFonts w:ascii="Arial" w:cs="Arial" w:eastAsia="Arial" w:hAnsi="Arial"/>
          <w:sz w:val="17"/>
          <w:szCs w:val="17"/>
          <w:color w:val="auto"/>
        </w:rPr>
        <w:t>The assumed cost of healthcare has an effect on the amounts reported for the Company’s post-retirement plans. A 1% change in the assumed healthcare cost trend rate would increase (decrease) our cost and obligation as follows: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28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260"/>
              <w:spacing w:after="0"/>
              <w:rPr>
                <w:sz w:val="20"/>
                <w:szCs w:val="20"/>
                <w:color w:val="auto"/>
              </w:rPr>
            </w:pPr>
            <w:r>
              <w:rPr>
                <w:rFonts w:ascii="Arial" w:cs="Arial" w:eastAsia="Arial" w:hAnsi="Arial"/>
                <w:sz w:val="13"/>
                <w:szCs w:val="13"/>
                <w:b w:val="1"/>
                <w:bCs w:val="1"/>
                <w:color w:val="auto"/>
                <w:w w:val="90"/>
              </w:rPr>
              <w:t>1% Increase</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1% Decrease</w:t>
            </w:r>
          </w:p>
        </w:tc>
      </w:tr>
      <w:tr>
        <w:trPr>
          <w:trHeight w:val="137"/>
        </w:trPr>
        <w:tc>
          <w:tcPr>
            <w:tcW w:w="28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5"/>
              <w:spacing w:after="0" w:line="137" w:lineRule="exact"/>
              <w:rPr>
                <w:sz w:val="20"/>
                <w:szCs w:val="20"/>
                <w:color w:val="auto"/>
              </w:rPr>
            </w:pPr>
            <w:r>
              <w:rPr>
                <w:rFonts w:ascii="Arial" w:cs="Arial" w:eastAsia="Arial" w:hAnsi="Arial"/>
                <w:sz w:val="13"/>
                <w:szCs w:val="13"/>
                <w:b w:val="1"/>
                <w:bCs w:val="1"/>
                <w:color w:val="auto"/>
                <w:w w:val="89"/>
              </w:rPr>
              <w:t>2010</w:t>
            </w:r>
          </w:p>
        </w:tc>
        <w:tc>
          <w:tcPr>
            <w:tcW w:w="56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2009</w:t>
            </w:r>
          </w:p>
        </w:tc>
        <w:tc>
          <w:tcPr>
            <w:tcW w:w="580" w:type="dxa"/>
            <w:vAlign w:val="bottom"/>
          </w:tcPr>
          <w:p>
            <w:pPr>
              <w:spacing w:after="0"/>
              <w:rPr>
                <w:sz w:val="11"/>
                <w:szCs w:val="11"/>
                <w:color w:val="auto"/>
              </w:rPr>
            </w:pPr>
          </w:p>
        </w:tc>
        <w:tc>
          <w:tcPr>
            <w:tcW w:w="400" w:type="dxa"/>
            <w:vAlign w:val="bottom"/>
            <w:tcBorders>
              <w:top w:val="single" w:sz="8" w:color="auto"/>
              <w:bottom w:val="single" w:sz="8" w:color="auto"/>
            </w:tcBorders>
            <w:gridSpan w:val="2"/>
          </w:tcPr>
          <w:p>
            <w:pPr>
              <w:jc w:val="right"/>
              <w:ind w:right="2"/>
              <w:spacing w:after="0" w:line="137" w:lineRule="exact"/>
              <w:rPr>
                <w:sz w:val="20"/>
                <w:szCs w:val="20"/>
                <w:color w:val="auto"/>
              </w:rPr>
            </w:pPr>
            <w:r>
              <w:rPr>
                <w:rFonts w:ascii="Arial" w:cs="Arial" w:eastAsia="Arial" w:hAnsi="Arial"/>
                <w:sz w:val="13"/>
                <w:szCs w:val="13"/>
                <w:b w:val="1"/>
                <w:bCs w:val="1"/>
                <w:color w:val="auto"/>
              </w:rPr>
              <w:t>2010</w:t>
            </w: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r>
      <w:tr>
        <w:trPr>
          <w:trHeight w:val="202"/>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Cost</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w:t>
            </w:r>
          </w:p>
        </w:tc>
      </w:tr>
      <w:tr>
        <w:trPr>
          <w:trHeight w:val="215"/>
        </w:trPr>
        <w:tc>
          <w:tcPr>
            <w:tcW w:w="2860" w:type="dxa"/>
            <w:vAlign w:val="bottom"/>
          </w:tcPr>
          <w:p>
            <w:pPr>
              <w:spacing w:after="0"/>
              <w:rPr>
                <w:sz w:val="20"/>
                <w:szCs w:val="20"/>
                <w:color w:val="auto"/>
              </w:rPr>
            </w:pPr>
            <w:r>
              <w:rPr>
                <w:rFonts w:ascii="Arial" w:cs="Arial" w:eastAsia="Arial" w:hAnsi="Arial"/>
                <w:sz w:val="17"/>
                <w:szCs w:val="17"/>
                <w:color w:val="auto"/>
              </w:rPr>
              <w:t>Obligation</w:t>
            </w:r>
          </w:p>
        </w:tc>
        <w:tc>
          <w:tcPr>
            <w:tcW w:w="4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7"/>
                <w:szCs w:val="17"/>
                <w:color w:val="auto"/>
                <w:w w:val="89"/>
              </w:rPr>
              <w:t>1,231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580"/>
              <w:spacing w:after="0"/>
              <w:rPr>
                <w:sz w:val="20"/>
                <w:szCs w:val="20"/>
                <w:color w:val="auto"/>
              </w:rPr>
            </w:pPr>
            <w:r>
              <w:rPr>
                <w:rFonts w:ascii="Arial" w:cs="Arial" w:eastAsia="Arial" w:hAnsi="Arial"/>
                <w:sz w:val="17"/>
                <w:szCs w:val="17"/>
                <w:color w:val="auto"/>
                <w:w w:val="84"/>
              </w:rPr>
              <w:t>564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90"/>
              </w:rPr>
              <w:t>(891)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(490)</w:t>
            </w:r>
          </w:p>
        </w:tc>
      </w:tr>
      <w:tr>
        <w:trPr>
          <w:trHeight w:val="344"/>
        </w:trPr>
        <w:tc>
          <w:tcPr>
            <w:tcW w:w="2860" w:type="dxa"/>
            <w:vAlign w:val="bottom"/>
          </w:tcPr>
          <w:p>
            <w:pPr>
              <w:spacing w:after="0"/>
              <w:rPr>
                <w:sz w:val="24"/>
                <w:szCs w:val="24"/>
                <w:color w:val="auto"/>
              </w:rPr>
            </w:pPr>
          </w:p>
        </w:tc>
        <w:tc>
          <w:tcPr>
            <w:tcW w:w="4020" w:type="dxa"/>
            <w:vAlign w:val="bottom"/>
          </w:tcPr>
          <w:p>
            <w:pPr>
              <w:jc w:val="right"/>
              <w:ind w:right="1535"/>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8" w:right="2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120" w:firstLine="457"/>
        <w:spacing w:after="0" w:line="280" w:lineRule="auto"/>
        <w:rPr>
          <w:sz w:val="20"/>
          <w:szCs w:val="20"/>
          <w:color w:val="auto"/>
        </w:rPr>
      </w:pPr>
      <w:r>
        <w:rPr>
          <w:rFonts w:ascii="Arial" w:cs="Arial" w:eastAsia="Arial" w:hAnsi="Arial"/>
          <w:sz w:val="17"/>
          <w:szCs w:val="17"/>
          <w:b w:val="1"/>
          <w:bCs w:val="1"/>
          <w:i w:val="1"/>
          <w:iCs w:val="1"/>
          <w:color w:val="auto"/>
        </w:rPr>
        <w:t>Expected Benefit Payments</w:t>
      </w:r>
      <w:r>
        <w:rPr>
          <w:rFonts w:ascii="Arial" w:cs="Arial" w:eastAsia="Arial" w:hAnsi="Arial"/>
          <w:sz w:val="17"/>
          <w:szCs w:val="17"/>
          <w:color w:val="auto"/>
        </w:rPr>
        <w:t>—The following table summarizes the expected benefit payments for the Company’s plans for each of the next five fiscal years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aggregate for the five fiscal years thereafter:</w:t>
      </w:r>
    </w:p>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7340" w:type="dxa"/>
            <w:vAlign w:val="bottom"/>
          </w:tcPr>
          <w:p>
            <w:pPr>
              <w:spacing w:after="0"/>
              <w:rPr>
                <w:sz w:val="13"/>
                <w:szCs w:val="13"/>
                <w:color w:val="auto"/>
              </w:rPr>
            </w:pPr>
          </w:p>
        </w:tc>
        <w:tc>
          <w:tcPr>
            <w:tcW w:w="660" w:type="dxa"/>
            <w:vAlign w:val="bottom"/>
          </w:tcPr>
          <w:p>
            <w:pPr>
              <w:jc w:val="right"/>
              <w:ind w:right="40"/>
              <w:spacing w:after="0"/>
              <w:rPr>
                <w:sz w:val="20"/>
                <w:szCs w:val="20"/>
                <w:color w:val="auto"/>
              </w:rPr>
            </w:pPr>
            <w:r>
              <w:rPr>
                <w:rFonts w:ascii="Arial" w:cs="Arial" w:eastAsia="Arial" w:hAnsi="Arial"/>
                <w:sz w:val="13"/>
                <w:szCs w:val="13"/>
                <w:b w:val="1"/>
                <w:bCs w:val="1"/>
                <w:color w:val="auto"/>
              </w:rPr>
              <w:t>Pension</w:t>
            </w:r>
          </w:p>
        </w:tc>
        <w:tc>
          <w:tcPr>
            <w:tcW w:w="70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w w:val="97"/>
              </w:rPr>
              <w:t>Post-Retirement</w:t>
            </w:r>
          </w:p>
        </w:tc>
      </w:tr>
      <w:tr>
        <w:trPr>
          <w:trHeight w:val="156"/>
        </w:trPr>
        <w:tc>
          <w:tcPr>
            <w:tcW w:w="7340" w:type="dxa"/>
            <w:vAlign w:val="bottom"/>
          </w:tcPr>
          <w:p>
            <w:pPr>
              <w:spacing w:after="0"/>
              <w:rPr>
                <w:sz w:val="13"/>
                <w:szCs w:val="13"/>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Plans</w:t>
            </w:r>
          </w:p>
        </w:tc>
        <w:tc>
          <w:tcPr>
            <w:tcW w:w="700" w:type="dxa"/>
            <w:vAlign w:val="bottom"/>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Medical Plan</w:t>
            </w:r>
          </w:p>
        </w:tc>
        <w:tc>
          <w:tcPr>
            <w:tcW w:w="80" w:type="dxa"/>
            <w:vAlign w:val="bottom"/>
          </w:tcPr>
          <w:p>
            <w:pPr>
              <w:spacing w:after="0"/>
              <w:rPr>
                <w:sz w:val="13"/>
                <w:szCs w:val="13"/>
                <w:color w:val="auto"/>
              </w:rPr>
            </w:pPr>
          </w:p>
        </w:tc>
      </w:tr>
      <w:tr>
        <w:trPr>
          <w:trHeight w:val="202"/>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$ 22,380</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354</w:t>
            </w:r>
          </w:p>
        </w:tc>
      </w:tr>
      <w:tr>
        <w:trPr>
          <w:trHeight w:val="209"/>
        </w:trPr>
        <w:tc>
          <w:tcPr>
            <w:tcW w:w="7340" w:type="dxa"/>
            <w:vAlign w:val="bottom"/>
          </w:tcPr>
          <w:p>
            <w:pPr>
              <w:spacing w:after="0"/>
              <w:rPr>
                <w:sz w:val="20"/>
                <w:szCs w:val="20"/>
                <w:color w:val="auto"/>
              </w:rPr>
            </w:pPr>
            <w:r>
              <w:rPr>
                <w:rFonts w:ascii="Arial" w:cs="Arial" w:eastAsia="Arial" w:hAnsi="Arial"/>
                <w:sz w:val="17"/>
                <w:szCs w:val="17"/>
                <w:color w:val="auto"/>
              </w:rPr>
              <w:t>2012</w:t>
            </w:r>
          </w:p>
        </w:tc>
        <w:tc>
          <w:tcPr>
            <w:tcW w:w="660" w:type="dxa"/>
            <w:vAlign w:val="bottom"/>
          </w:tcPr>
          <w:p>
            <w:pPr>
              <w:jc w:val="right"/>
              <w:spacing w:after="0"/>
              <w:rPr>
                <w:sz w:val="20"/>
                <w:szCs w:val="20"/>
                <w:color w:val="auto"/>
              </w:rPr>
            </w:pPr>
            <w:r>
              <w:rPr>
                <w:rFonts w:ascii="Arial" w:cs="Arial" w:eastAsia="Arial" w:hAnsi="Arial"/>
                <w:sz w:val="17"/>
                <w:szCs w:val="17"/>
                <w:color w:val="auto"/>
              </w:rPr>
              <w:t>22,377</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401</w:t>
            </w: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24,268</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423</w:t>
            </w:r>
          </w:p>
        </w:tc>
      </w:tr>
      <w:tr>
        <w:trPr>
          <w:trHeight w:val="209"/>
        </w:trPr>
        <w:tc>
          <w:tcPr>
            <w:tcW w:w="7340" w:type="dxa"/>
            <w:vAlign w:val="bottom"/>
          </w:tcPr>
          <w:p>
            <w:pPr>
              <w:spacing w:after="0"/>
              <w:rPr>
                <w:sz w:val="20"/>
                <w:szCs w:val="20"/>
                <w:color w:val="auto"/>
              </w:rPr>
            </w:pPr>
            <w:r>
              <w:rPr>
                <w:rFonts w:ascii="Arial" w:cs="Arial" w:eastAsia="Arial" w:hAnsi="Arial"/>
                <w:sz w:val="17"/>
                <w:szCs w:val="17"/>
                <w:color w:val="auto"/>
              </w:rPr>
              <w:t>2014</w:t>
            </w:r>
          </w:p>
        </w:tc>
        <w:tc>
          <w:tcPr>
            <w:tcW w:w="660" w:type="dxa"/>
            <w:vAlign w:val="bottom"/>
          </w:tcPr>
          <w:p>
            <w:pPr>
              <w:jc w:val="right"/>
              <w:spacing w:after="0"/>
              <w:rPr>
                <w:sz w:val="20"/>
                <w:szCs w:val="20"/>
                <w:color w:val="auto"/>
              </w:rPr>
            </w:pPr>
            <w:r>
              <w:rPr>
                <w:rFonts w:ascii="Arial" w:cs="Arial" w:eastAsia="Arial" w:hAnsi="Arial"/>
                <w:sz w:val="17"/>
                <w:szCs w:val="17"/>
                <w:color w:val="auto"/>
              </w:rPr>
              <w:t>23,908</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416</w:t>
            </w: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28,630</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398</w:t>
            </w:r>
          </w:p>
        </w:tc>
      </w:tr>
      <w:tr>
        <w:trPr>
          <w:trHeight w:val="215"/>
        </w:trPr>
        <w:tc>
          <w:tcPr>
            <w:tcW w:w="7340" w:type="dxa"/>
            <w:vAlign w:val="bottom"/>
          </w:tcPr>
          <w:p>
            <w:pPr>
              <w:spacing w:after="0"/>
              <w:rPr>
                <w:sz w:val="20"/>
                <w:szCs w:val="20"/>
                <w:color w:val="auto"/>
              </w:rPr>
            </w:pPr>
            <w:r>
              <w:rPr>
                <w:rFonts w:ascii="Arial" w:cs="Arial" w:eastAsia="Arial" w:hAnsi="Arial"/>
                <w:sz w:val="17"/>
                <w:szCs w:val="17"/>
                <w:color w:val="auto"/>
              </w:rPr>
              <w:t>2016-2020</w:t>
            </w:r>
          </w:p>
        </w:tc>
        <w:tc>
          <w:tcPr>
            <w:tcW w:w="660" w:type="dxa"/>
            <w:vAlign w:val="bottom"/>
          </w:tcPr>
          <w:p>
            <w:pPr>
              <w:jc w:val="right"/>
              <w:spacing w:after="0"/>
              <w:rPr>
                <w:sz w:val="20"/>
                <w:szCs w:val="20"/>
                <w:color w:val="auto"/>
              </w:rPr>
            </w:pPr>
            <w:r>
              <w:rPr>
                <w:rFonts w:ascii="Arial" w:cs="Arial" w:eastAsia="Arial" w:hAnsi="Arial"/>
                <w:sz w:val="17"/>
                <w:szCs w:val="17"/>
                <w:color w:val="auto"/>
              </w:rPr>
              <w:t>152,425</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1,865</w:t>
            </w:r>
          </w:p>
        </w:tc>
      </w:tr>
    </w:tbl>
    <w:p>
      <w:pPr>
        <w:spacing w:after="0" w:line="129" w:lineRule="exact"/>
        <w:rPr>
          <w:sz w:val="20"/>
          <w:szCs w:val="20"/>
          <w:color w:val="auto"/>
        </w:rPr>
      </w:pPr>
    </w:p>
    <w:p>
      <w:pPr>
        <w:ind w:right="100" w:firstLine="457"/>
        <w:spacing w:after="0" w:line="280" w:lineRule="auto"/>
        <w:rPr>
          <w:sz w:val="20"/>
          <w:szCs w:val="20"/>
          <w:color w:val="auto"/>
        </w:rPr>
      </w:pPr>
      <w:r>
        <w:rPr>
          <w:rFonts w:ascii="Arial" w:cs="Arial" w:eastAsia="Arial" w:hAnsi="Arial"/>
          <w:sz w:val="17"/>
          <w:szCs w:val="17"/>
          <w:b w:val="1"/>
          <w:bCs w:val="1"/>
          <w:i w:val="1"/>
          <w:iCs w:val="1"/>
          <w:color w:val="auto"/>
        </w:rPr>
        <w:t>Plan Assets</w:t>
      </w:r>
      <w:r>
        <w:rPr>
          <w:rFonts w:ascii="Arial" w:cs="Arial" w:eastAsia="Arial" w:hAnsi="Arial"/>
          <w:sz w:val="17"/>
          <w:szCs w:val="17"/>
          <w:color w:val="auto"/>
        </w:rPr>
        <w:t>—The following table presents the categorization of our plans’ assets as of December 31, 2010, measured at fair value, into a fair value hierarchy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fair value measurement disclosure requirements: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110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3"/>
                <w:szCs w:val="13"/>
                <w:b w:val="1"/>
                <w:bCs w:val="1"/>
                <w:color w:val="auto"/>
              </w:rPr>
              <w:t>As of December 31, 2010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7"/>
        </w:trPr>
        <w:tc>
          <w:tcPr>
            <w:tcW w:w="110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60"/>
              <w:spacing w:after="0" w:line="137" w:lineRule="exact"/>
              <w:rPr>
                <w:sz w:val="20"/>
                <w:szCs w:val="20"/>
                <w:color w:val="auto"/>
              </w:rPr>
            </w:pPr>
            <w:r>
              <w:rPr>
                <w:rFonts w:ascii="Arial" w:cs="Arial" w:eastAsia="Arial" w:hAnsi="Arial"/>
                <w:sz w:val="13"/>
                <w:szCs w:val="13"/>
                <w:b w:val="1"/>
                <w:bCs w:val="1"/>
                <w:color w:val="auto"/>
                <w:w w:val="95"/>
              </w:rPr>
              <w:t>Level 1</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9"/>
              <w:spacing w:after="0" w:line="137" w:lineRule="exact"/>
              <w:rPr>
                <w:sz w:val="20"/>
                <w:szCs w:val="20"/>
                <w:color w:val="auto"/>
              </w:rPr>
            </w:pPr>
            <w:r>
              <w:rPr>
                <w:rFonts w:ascii="Arial" w:cs="Arial" w:eastAsia="Arial" w:hAnsi="Arial"/>
                <w:sz w:val="13"/>
                <w:szCs w:val="13"/>
                <w:b w:val="1"/>
                <w:bCs w:val="1"/>
                <w:color w:val="auto"/>
                <w:w w:val="90"/>
              </w:rPr>
              <w:t>Level 2</w:t>
            </w: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ind w:left="80"/>
              <w:spacing w:after="0" w:line="137"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r>
      <w:tr>
        <w:trPr>
          <w:trHeight w:val="182"/>
        </w:trPr>
        <w:tc>
          <w:tcPr>
            <w:tcW w:w="110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7"/>
                <w:szCs w:val="17"/>
                <w:b w:val="1"/>
                <w:bCs w:val="1"/>
                <w:color w:val="auto"/>
                <w:w w:val="86"/>
              </w:rPr>
              <w:t>Asset Category</w:t>
            </w:r>
          </w:p>
        </w:tc>
        <w:tc>
          <w:tcPr>
            <w:tcW w:w="6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09"/>
        </w:trPr>
        <w:tc>
          <w:tcPr>
            <w:tcW w:w="7480" w:type="dxa"/>
            <w:vAlign w:val="bottom"/>
            <w:gridSpan w:val="2"/>
          </w:tcPr>
          <w:p>
            <w:pPr>
              <w:ind w:left="200"/>
              <w:spacing w:after="0"/>
              <w:rPr>
                <w:sz w:val="20"/>
                <w:szCs w:val="20"/>
                <w:color w:val="auto"/>
              </w:rPr>
            </w:pPr>
            <w:r>
              <w:rPr>
                <w:rFonts w:ascii="Arial" w:cs="Arial" w:eastAsia="Arial" w:hAnsi="Arial"/>
                <w:sz w:val="17"/>
                <w:szCs w:val="17"/>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9,571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9,571</w:t>
            </w:r>
          </w:p>
        </w:tc>
      </w:tr>
      <w:tr>
        <w:trPr>
          <w:trHeight w:val="209"/>
        </w:trPr>
        <w:tc>
          <w:tcPr>
            <w:tcW w:w="7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170,989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170,989</w:t>
            </w:r>
          </w:p>
        </w:tc>
      </w:tr>
      <w:tr>
        <w:trPr>
          <w:trHeight w:val="209"/>
        </w:trPr>
        <w:tc>
          <w:tcPr>
            <w:tcW w:w="7480" w:type="dxa"/>
            <w:vAlign w:val="bottom"/>
            <w:gridSpan w:val="2"/>
          </w:tcPr>
          <w:p>
            <w:pPr>
              <w:ind w:left="200"/>
              <w:spacing w:after="0"/>
              <w:rPr>
                <w:sz w:val="20"/>
                <w:szCs w:val="20"/>
                <w:color w:val="auto"/>
              </w:rPr>
            </w:pPr>
            <w:r>
              <w:rPr>
                <w:rFonts w:ascii="Arial" w:cs="Arial" w:eastAsia="Arial" w:hAnsi="Arial"/>
                <w:sz w:val="17"/>
                <w:szCs w:val="17"/>
                <w:color w:val="auto"/>
              </w:rPr>
              <w:t>Debt securities: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4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Corporate bonds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44,580</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44,580</w:t>
            </w:r>
          </w:p>
        </w:tc>
      </w:tr>
      <w:tr>
        <w:trPr>
          <w:trHeight w:val="209"/>
        </w:trPr>
        <w:tc>
          <w:tcPr>
            <w:tcW w:w="7480" w:type="dxa"/>
            <w:vAlign w:val="bottom"/>
            <w:gridSpan w:val="2"/>
          </w:tcPr>
          <w:p>
            <w:pPr>
              <w:ind w:left="420"/>
              <w:spacing w:after="0"/>
              <w:rPr>
                <w:sz w:val="20"/>
                <w:szCs w:val="20"/>
                <w:color w:val="auto"/>
              </w:rPr>
            </w:pPr>
            <w:r>
              <w:rPr>
                <w:rFonts w:ascii="Arial" w:cs="Arial" w:eastAsia="Arial" w:hAnsi="Arial"/>
                <w:sz w:val="17"/>
                <w:szCs w:val="17"/>
                <w:color w:val="auto"/>
              </w:rPr>
              <w:t>Non-U.S. Governments and agency securities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40,515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40,515</w:t>
            </w:r>
          </w:p>
        </w:tc>
      </w:tr>
      <w:tr>
        <w:trPr>
          <w:trHeight w:val="209"/>
        </w:trPr>
        <w:tc>
          <w:tcPr>
            <w:tcW w:w="7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Mutual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7480" w:type="dxa"/>
            <w:vAlign w:val="bottom"/>
            <w:gridSpan w:val="2"/>
          </w:tcPr>
          <w:p>
            <w:pPr>
              <w:ind w:left="420"/>
              <w:spacing w:after="0"/>
              <w:rPr>
                <w:sz w:val="20"/>
                <w:szCs w:val="20"/>
                <w:color w:val="auto"/>
              </w:rPr>
            </w:pPr>
            <w:r>
              <w:rPr>
                <w:rFonts w:ascii="Arial" w:cs="Arial" w:eastAsia="Arial" w:hAnsi="Arial"/>
                <w:sz w:val="17"/>
                <w:szCs w:val="17"/>
                <w:color w:val="auto"/>
              </w:rPr>
              <w:t>Equity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12,133</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33,488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45,621</w:t>
            </w:r>
          </w:p>
        </w:tc>
      </w:tr>
      <w:tr>
        <w:trPr>
          <w:trHeight w:val="209"/>
        </w:trPr>
        <w:tc>
          <w:tcPr>
            <w:tcW w:w="74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229,551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240,885</w:t>
            </w:r>
          </w:p>
        </w:tc>
      </w:tr>
      <w:tr>
        <w:trPr>
          <w:trHeight w:val="209"/>
        </w:trPr>
        <w:tc>
          <w:tcPr>
            <w:tcW w:w="7480" w:type="dxa"/>
            <w:vAlign w:val="bottom"/>
            <w:gridSpan w:val="2"/>
          </w:tcPr>
          <w:p>
            <w:pPr>
              <w:ind w:left="42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2,827</w:t>
            </w:r>
          </w:p>
        </w:tc>
      </w:tr>
      <w:tr>
        <w:trPr>
          <w:trHeight w:val="26"/>
        </w:trPr>
        <w:tc>
          <w:tcPr>
            <w:tcW w:w="11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289,122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265,866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554,988</w:t>
            </w:r>
          </w:p>
        </w:tc>
      </w:tr>
      <w:tr>
        <w:trPr>
          <w:trHeight w:val="20"/>
        </w:trPr>
        <w:tc>
          <w:tcPr>
            <w:tcW w:w="11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57"/>
        <w:spacing w:after="0" w:line="285" w:lineRule="auto"/>
        <w:rPr>
          <w:sz w:val="20"/>
          <w:szCs w:val="20"/>
          <w:color w:val="auto"/>
        </w:rPr>
      </w:pPr>
      <w:r>
        <w:rPr>
          <w:rFonts w:ascii="Arial" w:cs="Arial" w:eastAsia="Arial" w:hAnsi="Arial"/>
          <w:sz w:val="16"/>
          <w:szCs w:val="16"/>
          <w:color w:val="auto"/>
        </w:rPr>
        <w:t>At December 31, 2010, the Company’s U.S. pension plans had 52% of the plans’ assets invested in exchange-traded mutual funds that invest in equity securities and 48% invested in an exchange-traded mutual fund that invests in debt securities, both of which are categorized as Level 1. The Company’s non-U.S. pension plans at December 31, 2010 had 43% of the plans’ assets invested in four debt mutual funds which are all categorized as Level 2. The Company’s other non-U.S. pension plans’ investment holdings did not individually constitute more than 10% of non-U.S. pension plan assets at December 31, 2010.</w:t>
      </w:r>
    </w:p>
    <w:p>
      <w:pPr>
        <w:spacing w:after="0" w:line="105"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b w:val="1"/>
          <w:bCs w:val="1"/>
          <w:i w:val="1"/>
          <w:iCs w:val="1"/>
          <w:color w:val="auto"/>
        </w:rPr>
        <w:t>Investment Policies and Strategies</w:t>
      </w:r>
      <w:r>
        <w:rPr>
          <w:rFonts w:ascii="Arial" w:cs="Arial" w:eastAsia="Arial" w:hAnsi="Arial"/>
          <w:sz w:val="16"/>
          <w:szCs w:val="16"/>
          <w:color w:val="auto"/>
        </w:rPr>
        <w:t>—The primary investment goal is to ensure that the plans remain well funded, taking account of the likely future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returns and contributions. As a result, a portfolio of assets is maintained with appropriate liquidity and diversification that can be expected to generate long-term future returns that minimize the long-term costs of the pension plan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The fair values of plan investments classified as Level 1 assets are based on market quotes. The fair values of plan assets classified as Level 2 assets are primarily based on information provided by fund managers.</w:t>
      </w:r>
    </w:p>
    <w:p>
      <w:pPr>
        <w:spacing w:after="0" w:line="109" w:lineRule="exact"/>
        <w:rPr>
          <w:sz w:val="20"/>
          <w:szCs w:val="20"/>
          <w:color w:val="auto"/>
        </w:rPr>
      </w:pPr>
    </w:p>
    <w:p>
      <w:pPr>
        <w:ind w:right="100" w:firstLine="457"/>
        <w:spacing w:after="0" w:line="268" w:lineRule="auto"/>
        <w:rPr>
          <w:sz w:val="20"/>
          <w:szCs w:val="20"/>
          <w:color w:val="auto"/>
        </w:rPr>
      </w:pPr>
      <w:r>
        <w:rPr>
          <w:rFonts w:ascii="Arial" w:cs="Arial" w:eastAsia="Arial" w:hAnsi="Arial"/>
          <w:sz w:val="17"/>
          <w:szCs w:val="17"/>
          <w:b w:val="1"/>
          <w:bCs w:val="1"/>
          <w:i w:val="1"/>
          <w:iCs w:val="1"/>
          <w:color w:val="auto"/>
        </w:rPr>
        <w:t>Defined Contribution Plans</w:t>
      </w:r>
      <w:r>
        <w:rPr>
          <w:rFonts w:ascii="Arial" w:cs="Arial" w:eastAsia="Arial" w:hAnsi="Arial"/>
          <w:sz w:val="17"/>
          <w:szCs w:val="17"/>
          <w:color w:val="auto"/>
        </w:rPr>
        <w:t>—Pursuant to certain matching contributions, the Company contributes to employer sponsored defined contribution plans.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contributions amounted to $9,684, $8,409 and $10,316 for the years ended December 31, 2010, 2009 and 2008, respectively, which are included in “compensation and benefits” expense on the consolidated statements of operations.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448" w:right="2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460" w:hanging="456"/>
        <w:spacing w:after="0"/>
        <w:tabs>
          <w:tab w:leader="none" w:pos="460" w:val="left"/>
        </w:tabs>
        <w:numPr>
          <w:ilvl w:val="0"/>
          <w:numId w:val="6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RESTRUCTURING PLANS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each of the first quarters of 2010 and 2009, the Company announced a restructuring plan which included certain staff reductions and realignments of</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personnel (the “2010 Restructuring Plan” and the “2009 Restructuring Plan”, respectively, and collectively the “2010 and 2009 Restructuring Plans”). In connection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with the 2010 Restructuring Plan, the Company recorded a charge in the first quarter of 2010 of $87,108, inclusive of $46,880 relating to the acceleration of RSUs (in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aggregate, the “2010 Restructuring Charge”), and, in connection with the 2009 Restructuring Plan, the Company recorded a charge in the first quarter of 2009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$62,550, inclusive of $24,239 relating to the acceleration of RSUs (in aggregate, the “2009 Restructuring Charge”, and, together with the 2010 Restructuring Charge,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the “2010 and 2009 Restructuring Charges”).</w:t>
      </w:r>
    </w:p>
    <w:p>
      <w:pPr>
        <w:spacing w:after="0" w:line="15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The 2010 and 2009 Restructuring Charges primarily consisted of compensation-related expenses, including the acceleration of unrecognized expenses pertaining to RSUs previously granted to individuals who were terminated pursuant to the restructuring, severance and benefit payments and other costs. As of December 31, 2010, the remaining liability associated with the 2010 Restructuring Plan was $21,381 and, as of December 31, 2010 and 2009, the remaining liability associated with the 2009 Restructuring Plan was $5,427 and $11,500, respectively. During the year ended December 31, 2010, other than cash payments of $18,847 and $6,073 for the 2010 Restructuring Plan and the 2009 Restructuring Plan, respectively, there were no adjustments to the amounts relating to the 2010 and 2009 Restructuring Plans. Liabilities relating to the 2010 and 2009 Restructuring Plans are reported within “accrued compensation and benefits” and “other liabilities” on the accompanying consolidated statements of financial condition.</w:t>
      </w:r>
    </w:p>
    <w:p>
      <w:pPr>
        <w:spacing w:after="0" w:line="123" w:lineRule="exact"/>
        <w:rPr>
          <w:sz w:val="20"/>
          <w:szCs w:val="20"/>
          <w:color w:val="auto"/>
        </w:rPr>
      </w:pPr>
    </w:p>
    <w:p>
      <w:pPr>
        <w:ind w:left="460" w:hanging="456"/>
        <w:spacing w:after="0"/>
        <w:tabs>
          <w:tab w:leader="none" w:pos="460" w:val="left"/>
        </w:tabs>
        <w:numPr>
          <w:ilvl w:val="0"/>
          <w:numId w:val="6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INCOME TAXES</w:t>
      </w:r>
    </w:p>
    <w:p>
      <w:pPr>
        <w:spacing w:after="0" w:line="79" w:lineRule="exact"/>
        <w:rPr>
          <w:sz w:val="20"/>
          <w:szCs w:val="20"/>
          <w:color w:val="auto"/>
        </w:rPr>
      </w:pPr>
    </w:p>
    <w:p>
      <w:pPr>
        <w:ind w:right="160" w:firstLine="457"/>
        <w:spacing w:after="0" w:line="310" w:lineRule="auto"/>
        <w:rPr>
          <w:sz w:val="20"/>
          <w:szCs w:val="20"/>
          <w:color w:val="auto"/>
        </w:rPr>
      </w:pPr>
      <w:r>
        <w:rPr>
          <w:rFonts w:ascii="Arial" w:cs="Arial" w:eastAsia="Arial" w:hAnsi="Arial"/>
          <w:sz w:val="15"/>
          <w:szCs w:val="15"/>
          <w:color w:val="auto"/>
        </w:rPr>
        <w:t>Lazard Ltd is subject to U.S. federal income taxes on its portion of Lazard Group’s operating income.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UBT. UBT is incremental to the U.S. federal statutory tax rate. Outside the U.S., Lazard Group operates principally through subsidiary corporations that are subject to local income taxes.</w:t>
      </w:r>
    </w:p>
    <w:p>
      <w:pPr>
        <w:spacing w:after="0" w:line="88" w:lineRule="exact"/>
        <w:rPr>
          <w:sz w:val="20"/>
          <w:szCs w:val="20"/>
          <w:color w:val="auto"/>
        </w:rPr>
      </w:pPr>
    </w:p>
    <w:p>
      <w:pPr>
        <w:ind w:right="160" w:firstLine="457"/>
        <w:spacing w:after="0" w:line="280" w:lineRule="auto"/>
        <w:rPr>
          <w:sz w:val="20"/>
          <w:szCs w:val="20"/>
          <w:color w:val="auto"/>
        </w:rPr>
      </w:pPr>
      <w:r>
        <w:rPr>
          <w:rFonts w:ascii="Arial" w:cs="Arial" w:eastAsia="Arial" w:hAnsi="Arial"/>
          <w:sz w:val="17"/>
          <w:szCs w:val="17"/>
          <w:color w:val="auto"/>
        </w:rPr>
        <w:t>The components of the Company’s provision for income taxes for the years ended December 31, 2010, 2009 and 2008, and a reconciliation of the U.S. federal statutory income tax rate to the Company’s effective tax rates for such periods are shown below.</w:t>
      </w:r>
    </w:p>
    <w:p>
      <w:pPr>
        <w:spacing w:after="0" w:line="101" w:lineRule="exact"/>
        <w:rPr>
          <w:sz w:val="20"/>
          <w:szCs w:val="20"/>
          <w:color w:val="auto"/>
        </w:rPr>
      </w:pPr>
    </w:p>
    <w:tbl>
      <w:tblPr>
        <w:tblLayout w:type="fixed"/>
        <w:tblInd w:w="14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w w:val="95"/>
              </w:rPr>
              <w:t>Year Ended December 31,</w:t>
            </w: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77"/>
              <w:spacing w:after="0" w:line="137" w:lineRule="exact"/>
              <w:rPr>
                <w:sz w:val="20"/>
                <w:szCs w:val="20"/>
                <w:color w:val="auto"/>
              </w:rPr>
            </w:pPr>
            <w:r>
              <w:rPr>
                <w:rFonts w:ascii="Arial" w:cs="Arial" w:eastAsia="Arial" w:hAnsi="Arial"/>
                <w:sz w:val="13"/>
                <w:szCs w:val="13"/>
                <w:b w:val="1"/>
                <w:bCs w:val="1"/>
                <w:color w:val="auto"/>
              </w:rPr>
              <w:t>2010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97"/>
              <w:spacing w:after="0" w:line="137" w:lineRule="exact"/>
              <w:rPr>
                <w:sz w:val="20"/>
                <w:szCs w:val="20"/>
                <w:color w:val="auto"/>
              </w:rPr>
            </w:pPr>
            <w:r>
              <w:rPr>
                <w:rFonts w:ascii="Arial" w:cs="Arial" w:eastAsia="Arial" w:hAnsi="Arial"/>
                <w:sz w:val="13"/>
                <w:szCs w:val="13"/>
                <w:b w:val="1"/>
                <w:bCs w:val="1"/>
                <w:color w:val="auto"/>
              </w:rPr>
              <w:t>2009</w:t>
            </w:r>
          </w:p>
        </w:tc>
        <w:tc>
          <w:tcPr>
            <w:tcW w:w="460" w:type="dxa"/>
            <w:vAlign w:val="bottom"/>
          </w:tcPr>
          <w:p>
            <w:pPr>
              <w:spacing w:after="0"/>
              <w:rPr>
                <w:sz w:val="11"/>
                <w:szCs w:val="11"/>
                <w:color w:val="auto"/>
              </w:rPr>
            </w:pPr>
          </w:p>
        </w:tc>
        <w:tc>
          <w:tcPr>
            <w:tcW w:w="660" w:type="dxa"/>
            <w:vAlign w:val="bottom"/>
            <w:gridSpan w:val="2"/>
          </w:tcPr>
          <w:p>
            <w:pPr>
              <w:jc w:val="right"/>
              <w:ind w:right="115"/>
              <w:spacing w:after="0" w:line="137"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Federal</w:t>
            </w:r>
          </w:p>
        </w:tc>
        <w:tc>
          <w:tcPr>
            <w:tcW w:w="2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833</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(6,017)</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w w:val="96"/>
              </w:rPr>
              <w:t>$ 12,386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Foreign</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27,626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35,082</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State and local (primarily UBT)</w:t>
            </w:r>
          </w:p>
        </w:tc>
        <w:tc>
          <w:tcPr>
            <w:tcW w:w="2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12,652</w:t>
            </w:r>
          </w:p>
        </w:tc>
        <w:tc>
          <w:tcPr>
            <w:tcW w:w="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Total current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41,111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29,445</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2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Federal</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1"/>
              </w:rPr>
              <w:t>(19,287)</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(14,393)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Foreign</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5,331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(4,147)</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(17,259)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Total deferred</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1"/>
              </w:rPr>
              <w:t>(23,434)</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(31,652)</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60" w:type="dxa"/>
            <w:vAlign w:val="bottom"/>
            <w:gridSpan w:val="2"/>
            <w:vMerge w:val="continue"/>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49,227</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6,011</w:t>
            </w:r>
          </w:p>
        </w:tc>
        <w:tc>
          <w:tcPr>
            <w:tcW w:w="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w w:val="96"/>
              </w:rPr>
              <w:t>$ 25,379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20" w:type="dxa"/>
            <w:vAlign w:val="bottom"/>
            <w:vMerge w:val="restart"/>
          </w:tcPr>
          <w:p>
            <w:pPr>
              <w:jc w:val="right"/>
              <w:ind w:right="1195"/>
              <w:spacing w:after="0"/>
              <w:rPr>
                <w:sz w:val="20"/>
                <w:szCs w:val="20"/>
                <w:color w:val="auto"/>
              </w:rPr>
            </w:pPr>
            <w:r>
              <w:rPr>
                <w:rFonts w:ascii="Arial" w:cs="Arial" w:eastAsia="Arial" w:hAnsi="Arial"/>
                <w:sz w:val="17"/>
                <w:szCs w:val="17"/>
                <w:color w:val="auto"/>
              </w:rPr>
              <w:t>120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48" w:right="27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46" w:lineRule="exact"/>
        <w:rPr>
          <w:sz w:val="20"/>
          <w:szCs w:val="20"/>
          <w:color w:val="auto"/>
        </w:rPr>
      </w:pPr>
    </w:p>
    <w:tbl>
      <w:tblPr>
        <w:tblLayout w:type="fixed"/>
        <w:tblInd w:w="1440" w:type="dxa"/>
        <w:tblCellMar>
          <w:top w:w="0" w:type="dxa"/>
          <w:left w:w="0" w:type="dxa"/>
          <w:bottom w:w="0" w:type="dxa"/>
          <w:right w:w="0" w:type="dxa"/>
        </w:tblCellMar>
      </w:tblPr>
      <w:tr>
        <w:trPr>
          <w:trHeight w:val="156"/>
        </w:trPr>
        <w:tc>
          <w:tcPr>
            <w:tcW w:w="54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w w:val="93"/>
              </w:rPr>
              <w:t>Year Ended December 31,</w:t>
            </w: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460" w:type="dxa"/>
            <w:vAlign w:val="bottom"/>
          </w:tcPr>
          <w:p>
            <w:pPr>
              <w:spacing w:after="0"/>
              <w:rPr>
                <w:sz w:val="11"/>
                <w:szCs w:val="11"/>
                <w:color w:val="auto"/>
              </w:rPr>
            </w:pPr>
          </w:p>
        </w:tc>
        <w:tc>
          <w:tcPr>
            <w:tcW w:w="420" w:type="dxa"/>
            <w:vAlign w:val="bottom"/>
            <w:tcBorders>
              <w:bottom w:val="single" w:sz="8" w:color="auto"/>
            </w:tcBorders>
          </w:tcPr>
          <w:p>
            <w:pPr>
              <w:jc w:val="right"/>
              <w:ind w:right="17"/>
              <w:spacing w:after="0" w:line="137" w:lineRule="exact"/>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Borders>
              <w:bottom w:val="single" w:sz="8" w:color="auto"/>
            </w:tcBorders>
          </w:tcPr>
          <w:p>
            <w:pPr>
              <w:jc w:val="right"/>
              <w:ind w:right="15"/>
              <w:spacing w:after="0" w:line="137" w:lineRule="exact"/>
              <w:rPr>
                <w:sz w:val="20"/>
                <w:szCs w:val="20"/>
                <w:color w:val="auto"/>
              </w:rPr>
            </w:pPr>
            <w:r>
              <w:rPr>
                <w:rFonts w:ascii="Arial" w:cs="Arial" w:eastAsia="Arial" w:hAnsi="Arial"/>
                <w:sz w:val="13"/>
                <w:szCs w:val="13"/>
                <w:b w:val="1"/>
                <w:bCs w:val="1"/>
                <w:color w:val="auto"/>
              </w:rPr>
              <w:t>2009</w:t>
            </w:r>
          </w:p>
        </w:tc>
        <w:tc>
          <w:tcPr>
            <w:tcW w:w="820" w:type="dxa"/>
            <w:vAlign w:val="bottom"/>
          </w:tcPr>
          <w:p>
            <w:pPr>
              <w:spacing w:after="0"/>
              <w:rPr>
                <w:sz w:val="11"/>
                <w:szCs w:val="11"/>
                <w:color w:val="auto"/>
              </w:rPr>
            </w:pPr>
          </w:p>
        </w:tc>
        <w:tc>
          <w:tcPr>
            <w:tcW w:w="500" w:type="dxa"/>
            <w:vAlign w:val="bottom"/>
            <w:tcBorders>
              <w:bottom w:val="single" w:sz="8" w:color="auto"/>
            </w:tcBorders>
          </w:tcPr>
          <w:p>
            <w:pPr>
              <w:jc w:val="right"/>
              <w:ind w:right="37"/>
              <w:spacing w:after="0" w:line="137"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U.S. federal statutory income tax rate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35.0%</w:t>
            </w: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35.0%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7"/>
                <w:szCs w:val="17"/>
                <w:color w:val="auto"/>
              </w:rPr>
              <w:t>Income of noncontrolling interests</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(5.0)</w:t>
            </w:r>
          </w:p>
        </w:tc>
        <w:tc>
          <w:tcPr>
            <w:tcW w:w="1760" w:type="dxa"/>
            <w:vAlign w:val="bottom"/>
            <w:gridSpan w:val="3"/>
          </w:tcPr>
          <w:p>
            <w:pPr>
              <w:jc w:val="right"/>
              <w:ind w:right="760"/>
              <w:spacing w:after="0"/>
              <w:rPr>
                <w:sz w:val="20"/>
                <w:szCs w:val="20"/>
                <w:color w:val="auto"/>
              </w:rPr>
            </w:pPr>
            <w:r>
              <w:rPr>
                <w:rFonts w:ascii="Arial" w:cs="Arial" w:eastAsia="Arial" w:hAnsi="Arial"/>
                <w:sz w:val="17"/>
                <w:szCs w:val="17"/>
                <w:color w:val="auto"/>
              </w:rPr>
              <w:t>(10.8)</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Foreign source (income) loss not subject to U.S. income tax</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(15.1)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(135.9)</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7"/>
                <w:szCs w:val="17"/>
                <w:color w:val="auto"/>
              </w:rPr>
              <w:t>Foreign taxes</w:t>
            </w:r>
          </w:p>
        </w:tc>
        <w:tc>
          <w:tcPr>
            <w:tcW w:w="420" w:type="dxa"/>
            <w:vAlign w:val="bottom"/>
          </w:tcPr>
          <w:p>
            <w:pPr>
              <w:jc w:val="right"/>
              <w:spacing w:after="0"/>
              <w:rPr>
                <w:sz w:val="20"/>
                <w:szCs w:val="20"/>
                <w:color w:val="auto"/>
              </w:rPr>
            </w:pPr>
            <w:r>
              <w:rPr>
                <w:rFonts w:ascii="Arial" w:cs="Arial" w:eastAsia="Arial" w:hAnsi="Arial"/>
                <w:sz w:val="17"/>
                <w:szCs w:val="17"/>
                <w:color w:val="auto"/>
              </w:rPr>
              <w:t>12.0</w:t>
            </w:r>
          </w:p>
        </w:tc>
        <w:tc>
          <w:tcPr>
            <w:tcW w:w="220" w:type="dxa"/>
            <w:vAlign w:val="bottom"/>
          </w:tcPr>
          <w:p>
            <w:pPr>
              <w:spacing w:after="0"/>
              <w:rPr>
                <w:sz w:val="18"/>
                <w:szCs w:val="18"/>
                <w:color w:val="auto"/>
              </w:rPr>
            </w:pPr>
          </w:p>
        </w:tc>
        <w:tc>
          <w:tcPr>
            <w:tcW w:w="1760" w:type="dxa"/>
            <w:vAlign w:val="bottom"/>
            <w:gridSpan w:val="3"/>
          </w:tcPr>
          <w:p>
            <w:pPr>
              <w:jc w:val="right"/>
              <w:ind w:right="760"/>
              <w:spacing w:after="0"/>
              <w:rPr>
                <w:sz w:val="20"/>
                <w:szCs w:val="20"/>
                <w:color w:val="auto"/>
              </w:rPr>
            </w:pPr>
            <w:r>
              <w:rPr>
                <w:rFonts w:ascii="Arial" w:cs="Arial" w:eastAsia="Arial" w:hAnsi="Arial"/>
                <w:sz w:val="17"/>
                <w:szCs w:val="17"/>
                <w:color w:val="auto"/>
              </w:rPr>
              <w:t>(17.0)</w:t>
            </w:r>
          </w:p>
        </w:tc>
        <w:tc>
          <w:tcPr>
            <w:tcW w:w="500" w:type="dxa"/>
            <w:vAlign w:val="bottom"/>
          </w:tcPr>
          <w:p>
            <w:pPr>
              <w:jc w:val="right"/>
              <w:spacing w:after="0"/>
              <w:rPr>
                <w:sz w:val="20"/>
                <w:szCs w:val="20"/>
                <w:color w:val="auto"/>
              </w:rPr>
            </w:pPr>
            <w:r>
              <w:rPr>
                <w:rFonts w:ascii="Arial" w:cs="Arial" w:eastAsia="Arial" w:hAnsi="Arial"/>
                <w:sz w:val="17"/>
                <w:szCs w:val="17"/>
                <w:color w:val="auto"/>
              </w:rPr>
              <w:t>81.2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State and local taxes (primarily UBT)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(0.2)</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6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(10.9)</w:t>
            </w:r>
          </w:p>
        </w:tc>
        <w:tc>
          <w:tcPr>
            <w:tcW w:w="1760" w:type="dxa"/>
            <w:vAlign w:val="bottom"/>
            <w:gridSpan w:val="3"/>
          </w:tcPr>
          <w:p>
            <w:pPr>
              <w:jc w:val="right"/>
              <w:ind w:right="760"/>
              <w:spacing w:after="0"/>
              <w:rPr>
                <w:sz w:val="20"/>
                <w:szCs w:val="20"/>
                <w:color w:val="auto"/>
              </w:rPr>
            </w:pPr>
            <w:r>
              <w:rPr>
                <w:rFonts w:ascii="Arial" w:cs="Arial" w:eastAsia="Arial" w:hAnsi="Arial"/>
                <w:sz w:val="17"/>
                <w:szCs w:val="17"/>
                <w:color w:val="auto"/>
              </w:rPr>
              <w:t>(32.8)</w:t>
            </w:r>
          </w:p>
        </w:tc>
        <w:tc>
          <w:tcPr>
            <w:tcW w:w="500" w:type="dxa"/>
            <w:vAlign w:val="bottom"/>
          </w:tcPr>
          <w:p>
            <w:pPr>
              <w:jc w:val="right"/>
              <w:spacing w:after="0"/>
              <w:rPr>
                <w:sz w:val="20"/>
                <w:szCs w:val="20"/>
                <w:color w:val="auto"/>
              </w:rPr>
            </w:pPr>
            <w:r>
              <w:rPr>
                <w:rFonts w:ascii="Arial" w:cs="Arial" w:eastAsia="Arial" w:hAnsi="Arial"/>
                <w:sz w:val="17"/>
                <w:szCs w:val="17"/>
                <w:color w:val="auto"/>
              </w:rPr>
              <w:t>116.7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Other, net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7"/>
                <w:szCs w:val="17"/>
                <w:color w:val="auto"/>
              </w:rPr>
              <w:t>Effective income tax rate</w:t>
            </w: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60" w:type="dxa"/>
            <w:vAlign w:val="bottom"/>
            <w:vMerge w:val="continue"/>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20.2%</w:t>
            </w:r>
          </w:p>
        </w:tc>
        <w:tc>
          <w:tcPr>
            <w:tcW w:w="1760" w:type="dxa"/>
            <w:vAlign w:val="bottom"/>
            <w:gridSpan w:val="3"/>
          </w:tcPr>
          <w:p>
            <w:pPr>
              <w:jc w:val="right"/>
              <w:ind w:right="620"/>
              <w:spacing w:after="0"/>
              <w:rPr>
                <w:sz w:val="20"/>
                <w:szCs w:val="20"/>
                <w:color w:val="auto"/>
              </w:rPr>
            </w:pPr>
            <w:r>
              <w:rPr>
                <w:rFonts w:ascii="Arial" w:cs="Arial" w:eastAsia="Arial" w:hAnsi="Arial"/>
                <w:sz w:val="17"/>
                <w:szCs w:val="17"/>
                <w:color w:val="auto"/>
              </w:rPr>
              <w:t>(3.3)%</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101.0%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57"/>
        <w:spacing w:after="0" w:line="320" w:lineRule="auto"/>
        <w:rPr>
          <w:sz w:val="20"/>
          <w:szCs w:val="20"/>
          <w:color w:val="auto"/>
        </w:rPr>
      </w:pPr>
      <w:r>
        <w:rPr>
          <w:rFonts w:ascii="Arial" w:cs="Arial" w:eastAsia="Arial" w:hAnsi="Arial"/>
          <w:sz w:val="15"/>
          <w:szCs w:val="15"/>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which are included in “other assets” and “other liabilities”, respectively, on the consolidated statements of financial condition,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rPr>
              <w:t>December 31,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8"/>
              <w:spacing w:after="0" w:line="137" w:lineRule="exact"/>
              <w:rPr>
                <w:sz w:val="20"/>
                <w:szCs w:val="20"/>
                <w:color w:val="auto"/>
              </w:rPr>
            </w:pPr>
            <w:r>
              <w:rPr>
                <w:rFonts w:ascii="Arial" w:cs="Arial" w:eastAsia="Arial" w:hAnsi="Arial"/>
                <w:sz w:val="13"/>
                <w:szCs w:val="13"/>
                <w:b w:val="1"/>
                <w:bCs w:val="1"/>
                <w:color w:val="auto"/>
              </w:rPr>
              <w:t>2010</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7"/>
              <w:spacing w:after="0" w:line="137"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40" w:type="dxa"/>
            <w:vAlign w:val="bottom"/>
          </w:tcPr>
          <w:p>
            <w:pPr>
              <w:ind w:left="420"/>
              <w:spacing w:after="0"/>
              <w:rPr>
                <w:sz w:val="20"/>
                <w:szCs w:val="20"/>
                <w:color w:val="auto"/>
              </w:rPr>
            </w:pPr>
            <w:r>
              <w:rPr>
                <w:rFonts w:ascii="Arial" w:cs="Arial" w:eastAsia="Arial" w:hAnsi="Arial"/>
                <w:sz w:val="17"/>
                <w:szCs w:val="17"/>
                <w:color w:val="auto"/>
                <w:w w:val="97"/>
              </w:rPr>
              <w:t>Basis adjustments (primarily as a result of the separation and recapitalization transactions that occurred during 2005 and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640"/>
              <w:spacing w:after="0"/>
              <w:rPr>
                <w:sz w:val="20"/>
                <w:szCs w:val="20"/>
                <w:color w:val="auto"/>
              </w:rPr>
            </w:pPr>
            <w:r>
              <w:rPr>
                <w:rFonts w:ascii="Arial" w:cs="Arial" w:eastAsia="Arial" w:hAnsi="Arial"/>
                <w:sz w:val="17"/>
                <w:szCs w:val="17"/>
                <w:color w:val="auto"/>
              </w:rPr>
              <w:t>from secondary offerings)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877,143</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599,688</w:t>
            </w: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Compensation and benefits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207,080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172,797</w:t>
            </w:r>
          </w:p>
        </w:tc>
        <w:tc>
          <w:tcPr>
            <w:tcW w:w="0" w:type="dxa"/>
            <w:vAlign w:val="bottom"/>
          </w:tcPr>
          <w:p>
            <w:pPr>
              <w:spacing w:after="0"/>
              <w:rPr>
                <w:sz w:val="1"/>
                <w:szCs w:val="1"/>
                <w:color w:val="auto"/>
              </w:rPr>
            </w:pPr>
          </w:p>
        </w:tc>
      </w:tr>
      <w:tr>
        <w:trPr>
          <w:trHeight w:val="209"/>
        </w:trPr>
        <w:tc>
          <w:tcPr>
            <w:tcW w:w="9240" w:type="dxa"/>
            <w:vAlign w:val="bottom"/>
          </w:tcPr>
          <w:p>
            <w:pPr>
              <w:ind w:left="420"/>
              <w:spacing w:after="0"/>
              <w:rPr>
                <w:sz w:val="20"/>
                <w:szCs w:val="20"/>
                <w:color w:val="auto"/>
              </w:rPr>
            </w:pPr>
            <w:r>
              <w:rPr>
                <w:rFonts w:ascii="Arial" w:cs="Arial" w:eastAsia="Arial" w:hAnsi="Arial"/>
                <w:sz w:val="17"/>
                <w:szCs w:val="17"/>
                <w:color w:val="auto"/>
              </w:rPr>
              <w:t>Net operating loss and tax credit carryforwards</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156,798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95,696</w:t>
            </w:r>
          </w:p>
        </w:tc>
        <w:tc>
          <w:tcPr>
            <w:tcW w:w="0" w:type="dxa"/>
            <w:vAlign w:val="bottom"/>
          </w:tcPr>
          <w:p>
            <w:pPr>
              <w:spacing w:after="0"/>
              <w:rPr>
                <w:sz w:val="1"/>
                <w:szCs w:val="1"/>
                <w:color w:val="auto"/>
              </w:rPr>
            </w:pPr>
          </w:p>
        </w:tc>
      </w:tr>
      <w:tr>
        <w:trPr>
          <w:trHeight w:val="209"/>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14,785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10,720</w:t>
            </w:r>
          </w:p>
        </w:tc>
        <w:tc>
          <w:tcPr>
            <w:tcW w:w="0" w:type="dxa"/>
            <w:vAlign w:val="bottom"/>
          </w:tcPr>
          <w:p>
            <w:pPr>
              <w:spacing w:after="0"/>
              <w:rPr>
                <w:sz w:val="1"/>
                <w:szCs w:val="1"/>
                <w:color w:val="auto"/>
              </w:rPr>
            </w:pPr>
          </w:p>
        </w:tc>
      </w:tr>
      <w:tr>
        <w:trPr>
          <w:trHeight w:val="209"/>
        </w:trPr>
        <w:tc>
          <w:tcPr>
            <w:tcW w:w="9240" w:type="dxa"/>
            <w:vAlign w:val="bottom"/>
          </w:tcPr>
          <w:p>
            <w:pPr>
              <w:ind w:left="42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39,316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33,586</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Gross deferred tax assets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5"/>
              </w:rPr>
              <w:t>1,295,122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912,487</w:t>
            </w:r>
          </w:p>
        </w:tc>
        <w:tc>
          <w:tcPr>
            <w:tcW w:w="0" w:type="dxa"/>
            <w:vAlign w:val="bottom"/>
          </w:tcPr>
          <w:p>
            <w:pPr>
              <w:spacing w:after="0"/>
              <w:rPr>
                <w:sz w:val="1"/>
                <w:szCs w:val="1"/>
                <w:color w:val="auto"/>
              </w:rPr>
            </w:pPr>
          </w:p>
        </w:tc>
      </w:tr>
      <w:tr>
        <w:trPr>
          <w:trHeight w:val="209"/>
        </w:trPr>
        <w:tc>
          <w:tcPr>
            <w:tcW w:w="9240" w:type="dxa"/>
            <w:vAlign w:val="bottom"/>
          </w:tcPr>
          <w:p>
            <w:pPr>
              <w:ind w:left="420"/>
              <w:spacing w:after="0"/>
              <w:rPr>
                <w:sz w:val="20"/>
                <w:szCs w:val="20"/>
                <w:color w:val="auto"/>
              </w:rPr>
            </w:pPr>
            <w:r>
              <w:rPr>
                <w:rFonts w:ascii="Arial" w:cs="Arial" w:eastAsia="Arial" w:hAnsi="Arial"/>
                <w:sz w:val="17"/>
                <w:szCs w:val="17"/>
                <w:color w:val="auto"/>
              </w:rPr>
              <w:t>Valuation allowance</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(1,165,274)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(803,731)</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deferred tax assets (net of valuation allowance)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129,848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108,756</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Deferred Tax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16,469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18,577</w:t>
            </w:r>
          </w:p>
        </w:tc>
        <w:tc>
          <w:tcPr>
            <w:tcW w:w="0" w:type="dxa"/>
            <w:vAlign w:val="bottom"/>
          </w:tcPr>
          <w:p>
            <w:pPr>
              <w:spacing w:after="0"/>
              <w:rPr>
                <w:sz w:val="1"/>
                <w:szCs w:val="1"/>
                <w:color w:val="auto"/>
              </w:rPr>
            </w:pPr>
          </w:p>
        </w:tc>
      </w:tr>
      <w:tr>
        <w:trPr>
          <w:trHeight w:val="209"/>
        </w:trPr>
        <w:tc>
          <w:tcPr>
            <w:tcW w:w="9240" w:type="dxa"/>
            <w:vAlign w:val="bottom"/>
          </w:tcPr>
          <w:p>
            <w:pPr>
              <w:ind w:left="420"/>
              <w:spacing w:after="0"/>
              <w:rPr>
                <w:sz w:val="20"/>
                <w:szCs w:val="20"/>
                <w:color w:val="auto"/>
              </w:rPr>
            </w:pPr>
            <w:r>
              <w:rPr>
                <w:rFonts w:ascii="Arial" w:cs="Arial" w:eastAsia="Arial" w:hAnsi="Arial"/>
                <w:sz w:val="17"/>
                <w:szCs w:val="17"/>
                <w:color w:val="auto"/>
              </w:rPr>
              <w:t>Compensation and benefits</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20,563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10,393</w:t>
            </w:r>
          </w:p>
        </w:tc>
        <w:tc>
          <w:tcPr>
            <w:tcW w:w="0" w:type="dxa"/>
            <w:vAlign w:val="bottom"/>
          </w:tcPr>
          <w:p>
            <w:pPr>
              <w:spacing w:after="0"/>
              <w:rPr>
                <w:sz w:val="1"/>
                <w:szCs w:val="1"/>
                <w:color w:val="auto"/>
              </w:rPr>
            </w:pPr>
          </w:p>
        </w:tc>
      </w:tr>
      <w:tr>
        <w:trPr>
          <w:trHeight w:val="209"/>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Goodwill</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9,839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4,703</w:t>
            </w:r>
          </w:p>
        </w:tc>
        <w:tc>
          <w:tcPr>
            <w:tcW w:w="0" w:type="dxa"/>
            <w:vAlign w:val="bottom"/>
          </w:tcPr>
          <w:p>
            <w:pPr>
              <w:spacing w:after="0"/>
              <w:rPr>
                <w:sz w:val="1"/>
                <w:szCs w:val="1"/>
                <w:color w:val="auto"/>
              </w:rPr>
            </w:pPr>
          </w:p>
        </w:tc>
      </w:tr>
      <w:tr>
        <w:trPr>
          <w:trHeight w:val="209"/>
        </w:trPr>
        <w:tc>
          <w:tcPr>
            <w:tcW w:w="9240" w:type="dxa"/>
            <w:vAlign w:val="bottom"/>
          </w:tcPr>
          <w:p>
            <w:pPr>
              <w:ind w:left="42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35,201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13,284</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deferred tax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82,072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46,957</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basis adjustments recorded as of December 31, 2010 and 2009 are primarily the result of:</w:t>
      </w:r>
    </w:p>
    <w:p>
      <w:pPr>
        <w:spacing w:after="0" w:line="79" w:lineRule="exact"/>
        <w:rPr>
          <w:sz w:val="20"/>
          <w:szCs w:val="20"/>
          <w:color w:val="auto"/>
        </w:rPr>
      </w:pPr>
    </w:p>
    <w:p>
      <w:pPr>
        <w:ind w:left="780" w:right="20" w:hanging="319"/>
        <w:spacing w:after="0" w:line="280" w:lineRule="auto"/>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purchases and redemptions of historical and working member interests consummated in connection with the separation and recapitalization of the Company, which resulted in deferred tax assets of $196,049 and $206,470 at December 31, 2010 and 2009, respectively,</w:t>
      </w:r>
    </w:p>
    <w:p>
      <w:pPr>
        <w:spacing w:after="0" w:line="26" w:lineRule="exact"/>
        <w:rPr>
          <w:rFonts w:ascii="Arial" w:cs="Arial" w:eastAsia="Arial" w:hAnsi="Arial"/>
          <w:sz w:val="17"/>
          <w:szCs w:val="17"/>
          <w:color w:val="auto"/>
        </w:rPr>
      </w:pPr>
    </w:p>
    <w:p>
      <w:pPr>
        <w:ind w:left="780" w:right="200" w:hanging="319"/>
        <w:spacing w:after="0" w:line="280" w:lineRule="auto"/>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basis step-ups resulting from the exchange of LAZ-MD exchangeable interests and from the 2008, 2009 and 2010 Secondary Offerings, which resulted in deferred tax assets of $640,720 and $358,888 at December 31, 2010 and 2009, respectively,</w:t>
      </w:r>
    </w:p>
    <w:p>
      <w:pPr>
        <w:spacing w:after="0" w:line="26" w:lineRule="exact"/>
        <w:rPr>
          <w:rFonts w:ascii="Arial" w:cs="Arial" w:eastAsia="Arial" w:hAnsi="Arial"/>
          <w:sz w:val="17"/>
          <w:szCs w:val="17"/>
          <w:color w:val="auto"/>
        </w:rPr>
      </w:pPr>
    </w:p>
    <w:p>
      <w:pPr>
        <w:ind w:left="780" w:right="200" w:hanging="319"/>
        <w:spacing w:after="0" w:line="280" w:lineRule="auto"/>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tax basis step-up for U.S. income tax purposes on certain U.K. assets, which resulted in deferred tax assets of $32,455 and $28,861 at December 31, 2010 and 2009, respectively,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20"/>
          </w:cols>
          <w:pgMar w:left="240" w:top="448" w:right="23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780" w:hanging="319"/>
        <w:spacing w:after="0"/>
        <w:tabs>
          <w:tab w:leader="none" w:pos="7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basis step-up for payments made under the tax receivable agreement of $7,919 and $5,469 at December 31, 2010 and 2009, respectively.</w:t>
      </w:r>
    </w:p>
    <w:p>
      <w:pPr>
        <w:spacing w:after="0" w:line="183" w:lineRule="exact"/>
        <w:rPr>
          <w:sz w:val="20"/>
          <w:szCs w:val="20"/>
          <w:color w:val="auto"/>
        </w:rPr>
      </w:pPr>
    </w:p>
    <w:p>
      <w:pPr>
        <w:ind w:right="80" w:firstLine="457"/>
        <w:spacing w:after="0" w:line="310" w:lineRule="auto"/>
        <w:rPr>
          <w:sz w:val="20"/>
          <w:szCs w:val="20"/>
          <w:color w:val="auto"/>
        </w:rPr>
      </w:pPr>
      <w:r>
        <w:rPr>
          <w:rFonts w:ascii="Arial" w:cs="Arial" w:eastAsia="Arial" w:hAnsi="Arial"/>
          <w:sz w:val="15"/>
          <w:szCs w:val="15"/>
          <w:color w:val="auto"/>
        </w:rPr>
        <w:t>The deferred tax assets are offset by valuation allowances of $1,165,274 and $803,731 at December 31, 2010 and 2009, respectively, due to the uncertainty of realizing the benefits of the book versus tax basis temporary differences and certain net operating loss carryforwards. The valuation allowance at December 31, 2010 reflects a net increase of $361,543 from the balance of $803,731 at December 31, 2009, and is primarily the result of the basis step-ups relating to the 2010 Secondary Offerings, the tax effect of temporary differences relating to compensation and benefits and net operating loss and tax credit carryforwards.</w:t>
      </w:r>
    </w:p>
    <w:p>
      <w:pPr>
        <w:spacing w:after="0" w:line="88" w:lineRule="exact"/>
        <w:rPr>
          <w:sz w:val="20"/>
          <w:szCs w:val="20"/>
          <w:color w:val="auto"/>
        </w:rPr>
      </w:pPr>
    </w:p>
    <w:p>
      <w:pPr>
        <w:ind w:right="140" w:firstLine="457"/>
        <w:spacing w:after="0" w:line="280" w:lineRule="auto"/>
        <w:rPr>
          <w:sz w:val="20"/>
          <w:szCs w:val="20"/>
          <w:color w:val="auto"/>
        </w:rPr>
      </w:pPr>
      <w:r>
        <w:rPr>
          <w:rFonts w:ascii="Arial" w:cs="Arial" w:eastAsia="Arial" w:hAnsi="Arial"/>
          <w:sz w:val="17"/>
          <w:szCs w:val="17"/>
          <w:color w:val="auto"/>
        </w:rPr>
        <w:t>The Company’s net operating loss and tax credit carryforwards at December 31, 2010 and 2009 primarily relate to carryforwards in (i) the U.K., which may be carried forward indefinitely, subject to various limitations, and (ii) Italy and the U.S., which begin expiring in 2011.</w:t>
      </w:r>
    </w:p>
    <w:p>
      <w:pPr>
        <w:spacing w:after="0" w:line="10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With few exceptions, the Company is no longer subject to income tax examination by foreign tax authorities and by U.S. federal, state and local tax authorities for years prior to 2006. While we are under examination in various tax jurisdictions with respect to certain open years, the Company believes that the result of any final determination related to these examinations is not expected to have a material impact on its financial statements. Developments with respect to such examinations are monitored on an ongoing basis and adjustments to tax liabilities are made as appropriate.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380"/>
          </w:cols>
          <w:pgMar w:left="240" w:top="448" w:right="27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220" w:firstLine="457"/>
        <w:spacing w:after="0" w:line="280" w:lineRule="auto"/>
        <w:rPr>
          <w:sz w:val="20"/>
          <w:szCs w:val="20"/>
          <w:color w:val="auto"/>
        </w:rPr>
      </w:pPr>
      <w:r>
        <w:rPr>
          <w:rFonts w:ascii="Arial" w:cs="Arial" w:eastAsia="Arial" w:hAnsi="Arial"/>
          <w:sz w:val="17"/>
          <w:szCs w:val="17"/>
          <w:color w:val="auto"/>
        </w:rPr>
        <w:t>A reconciliation of the beginning to the ending amount of gross unrecognized tax benefits (excluding interest and penalties) for the years ended December 31, 2010, 2009 and 2008 is as follows:</w:t>
      </w:r>
    </w:p>
    <w:p>
      <w:pPr>
        <w:spacing w:after="0" w:line="101" w:lineRule="exact"/>
        <w:rPr>
          <w:sz w:val="20"/>
          <w:szCs w:val="20"/>
          <w:color w:val="auto"/>
        </w:rPr>
      </w:pPr>
    </w:p>
    <w:tbl>
      <w:tblPr>
        <w:tblLayout w:type="fixed"/>
        <w:tblInd w:w="460" w:type="dxa"/>
        <w:tblCellMar>
          <w:top w:w="0" w:type="dxa"/>
          <w:left w:w="0" w:type="dxa"/>
          <w:bottom w:w="0" w:type="dxa"/>
          <w:right w:w="0" w:type="dxa"/>
        </w:tblCellMar>
      </w:tblPr>
      <w:tr>
        <w:trPr>
          <w:trHeight w:val="156"/>
        </w:trPr>
        <w:tc>
          <w:tcPr>
            <w:tcW w:w="1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3"/>
                <w:szCs w:val="13"/>
                <w:b w:val="1"/>
                <w:bCs w:val="1"/>
                <w:color w:val="auto"/>
                <w:w w:val="91"/>
              </w:rPr>
              <w:t>Year Ended December 31,</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9"/>
              <w:spacing w:after="0" w:line="137" w:lineRule="exact"/>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auto"/>
            </w:tcBorders>
          </w:tcPr>
          <w:p>
            <w:pPr>
              <w:jc w:val="right"/>
              <w:ind w:right="2"/>
              <w:spacing w:after="0" w:line="137" w:lineRule="exact"/>
              <w:rPr>
                <w:sz w:val="20"/>
                <w:szCs w:val="20"/>
                <w:color w:val="auto"/>
              </w:rPr>
            </w:pPr>
            <w:r>
              <w:rPr>
                <w:rFonts w:ascii="Arial" w:cs="Arial" w:eastAsia="Arial" w:hAnsi="Arial"/>
                <w:sz w:val="13"/>
                <w:szCs w:val="13"/>
                <w:b w:val="1"/>
                <w:bCs w:val="1"/>
                <w:color w:val="auto"/>
              </w:rPr>
              <w:t>2009</w:t>
            </w:r>
          </w:p>
        </w:tc>
        <w:tc>
          <w:tcPr>
            <w:tcW w:w="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60"/>
              <w:spacing w:after="0" w:line="137" w:lineRule="exact"/>
              <w:rPr>
                <w:sz w:val="20"/>
                <w:szCs w:val="20"/>
                <w:color w:val="auto"/>
              </w:rPr>
            </w:pPr>
            <w:r>
              <w:rPr>
                <w:rFonts w:ascii="Arial" w:cs="Arial" w:eastAsia="Arial" w:hAnsi="Arial"/>
                <w:sz w:val="13"/>
                <w:szCs w:val="13"/>
                <w:b w:val="1"/>
                <w:bCs w:val="1"/>
                <w:color w:val="auto"/>
              </w:rPr>
              <w:t>2008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w w:val="97"/>
              </w:rPr>
              <w:t>Balance, January 1 (excluding interest and penalties of $7,247, $5,467 and $5,195, respectively)</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60,558</w:t>
            </w:r>
          </w:p>
        </w:tc>
        <w:tc>
          <w:tcPr>
            <w:tcW w:w="4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$46,725</w:t>
            </w:r>
          </w:p>
        </w:tc>
        <w:tc>
          <w:tcPr>
            <w:tcW w:w="5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84"/>
              </w:rPr>
              <w:t>$32,080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7"/>
                <w:szCs w:val="17"/>
                <w:color w:val="auto"/>
              </w:rPr>
              <w:t>Increases in gross unrecognized tax benefits relating to tax positions taken during:</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Prior years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2,184</w:t>
            </w:r>
          </w:p>
        </w:tc>
        <w:tc>
          <w:tcPr>
            <w:tcW w:w="4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5,271</w:t>
            </w: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7"/>
                <w:szCs w:val="17"/>
                <w:color w:val="auto"/>
              </w:rPr>
              <w:t>Current year</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15,756</w:t>
            </w:r>
          </w:p>
        </w:tc>
        <w:tc>
          <w:tcPr>
            <w:tcW w:w="4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18,251</w:t>
            </w:r>
          </w:p>
        </w:tc>
        <w:tc>
          <w:tcPr>
            <w:tcW w:w="52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7"/>
                <w:szCs w:val="17"/>
                <w:color w:val="auto"/>
                <w:w w:val="99"/>
              </w:rPr>
              <w:t>12,897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Decreases in gross unrecognized tax benefits relating to:</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7"/>
                <w:szCs w:val="17"/>
                <w:color w:val="auto"/>
              </w:rPr>
              <w:t>Tax positions taken during prior years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15"/>
              <w:spacing w:after="0"/>
              <w:rPr>
                <w:sz w:val="20"/>
                <w:szCs w:val="20"/>
                <w:color w:val="auto"/>
              </w:rPr>
            </w:pPr>
            <w:r>
              <w:rPr>
                <w:rFonts w:ascii="Arial" w:cs="Arial" w:eastAsia="Arial" w:hAnsi="Arial"/>
                <w:sz w:val="17"/>
                <w:szCs w:val="17"/>
                <w:color w:val="auto"/>
              </w:rPr>
              <w:t>(644)</w:t>
            </w:r>
          </w:p>
        </w:tc>
        <w:tc>
          <w:tcPr>
            <w:tcW w:w="80" w:type="dxa"/>
            <w:vAlign w:val="bottom"/>
          </w:tcPr>
          <w:p>
            <w:pPr>
              <w:spacing w:after="0"/>
              <w:rPr>
                <w:sz w:val="18"/>
                <w:szCs w:val="18"/>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Settlements with tax authorities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15"/>
              <w:spacing w:after="0"/>
              <w:rPr>
                <w:sz w:val="20"/>
                <w:szCs w:val="20"/>
                <w:color w:val="auto"/>
              </w:rPr>
            </w:pPr>
            <w:r>
              <w:rPr>
                <w:rFonts w:ascii="Arial" w:cs="Arial" w:eastAsia="Arial" w:hAnsi="Arial"/>
                <w:sz w:val="17"/>
                <w:szCs w:val="17"/>
                <w:color w:val="auto"/>
              </w:rPr>
              <w:t>(3,805)</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7"/>
                <w:szCs w:val="17"/>
                <w:color w:val="auto"/>
              </w:rPr>
              <w:t>Lapse of the applicable statute of limitations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15"/>
              <w:spacing w:after="0"/>
              <w:rPr>
                <w:sz w:val="20"/>
                <w:szCs w:val="20"/>
                <w:color w:val="auto"/>
              </w:rPr>
            </w:pPr>
            <w:r>
              <w:rPr>
                <w:rFonts w:ascii="Arial" w:cs="Arial" w:eastAsia="Arial" w:hAnsi="Arial"/>
                <w:sz w:val="17"/>
                <w:szCs w:val="17"/>
                <w:color w:val="auto"/>
                <w:w w:val="91"/>
              </w:rPr>
              <w:t>(15,444)</w:t>
            </w:r>
          </w:p>
        </w:tc>
        <w:tc>
          <w:tcPr>
            <w:tcW w:w="1160" w:type="dxa"/>
            <w:vAlign w:val="bottom"/>
            <w:gridSpan w:val="4"/>
          </w:tcPr>
          <w:p>
            <w:pPr>
              <w:jc w:val="right"/>
              <w:ind w:right="460"/>
              <w:spacing w:after="0"/>
              <w:rPr>
                <w:sz w:val="20"/>
                <w:szCs w:val="20"/>
                <w:color w:val="auto"/>
              </w:rPr>
            </w:pPr>
            <w:r>
              <w:rPr>
                <w:rFonts w:ascii="Arial" w:cs="Arial" w:eastAsia="Arial" w:hAnsi="Arial"/>
                <w:sz w:val="17"/>
                <w:szCs w:val="17"/>
                <w:color w:val="auto"/>
              </w:rPr>
              <w:t>(9,689)</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w w:val="92"/>
              </w:rPr>
              <w:t>(3,364)</w:t>
            </w:r>
          </w:p>
        </w:tc>
        <w:tc>
          <w:tcPr>
            <w:tcW w:w="0" w:type="dxa"/>
            <w:vAlign w:val="bottom"/>
          </w:tcPr>
          <w:p>
            <w:pPr>
              <w:spacing w:after="0"/>
              <w:rPr>
                <w:sz w:val="1"/>
                <w:szCs w:val="1"/>
                <w:color w:val="auto"/>
              </w:rPr>
            </w:pPr>
          </w:p>
        </w:tc>
      </w:tr>
      <w:tr>
        <w:trPr>
          <w:trHeight w:val="26"/>
        </w:trPr>
        <w:tc>
          <w:tcPr>
            <w:tcW w:w="1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w w:val="94"/>
              </w:rPr>
              <w:t>Balance, December 31 (excluding interest and penalties of $7,099, $7,247 and $5,467, respectively)</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58,605</w:t>
            </w:r>
          </w:p>
        </w:tc>
        <w:tc>
          <w:tcPr>
            <w:tcW w:w="4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60,558</w:t>
            </w:r>
          </w:p>
        </w:tc>
        <w:tc>
          <w:tcPr>
            <w:tcW w:w="5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46,725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7"/>
                <w:szCs w:val="17"/>
                <w:color w:val="auto"/>
              </w:rPr>
              <w:t>Additional information with respect to unrecognized tax benefits is as follows:</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72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3"/>
                <w:szCs w:val="13"/>
                <w:b w:val="1"/>
                <w:bCs w:val="1"/>
                <w:color w:val="auto"/>
                <w:w w:val="91"/>
              </w:rPr>
              <w:t>Year Ended December 31,</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9"/>
              <w:spacing w:after="0" w:line="137" w:lineRule="exact"/>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Borders>
              <w:bottom w:val="single" w:sz="8" w:color="auto"/>
            </w:tcBorders>
            <w:gridSpan w:val="2"/>
          </w:tcPr>
          <w:p>
            <w:pPr>
              <w:jc w:val="right"/>
              <w:ind w:right="82"/>
              <w:spacing w:after="0" w:line="137" w:lineRule="exact"/>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60"/>
              <w:spacing w:after="0" w:line="137" w:lineRule="exact"/>
              <w:rPr>
                <w:sz w:val="20"/>
                <w:szCs w:val="20"/>
                <w:color w:val="auto"/>
              </w:rPr>
            </w:pPr>
            <w:r>
              <w:rPr>
                <w:rFonts w:ascii="Arial" w:cs="Arial" w:eastAsia="Arial" w:hAnsi="Arial"/>
                <w:sz w:val="13"/>
                <w:szCs w:val="13"/>
                <w:b w:val="1"/>
                <w:bCs w:val="1"/>
                <w:color w:val="auto"/>
              </w:rPr>
              <w:t>2008</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Unrecognized tax benefits at the end of the year that, if recognized, would favorably affect the</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8"/>
              </w:rPr>
              <w:t>effective tax rate (includes interest and penalties of $7,099, $7,247 and $5,467, respectively)</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39,112</w:t>
            </w:r>
          </w:p>
        </w:tc>
        <w:tc>
          <w:tcPr>
            <w:tcW w:w="4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7"/>
              </w:rPr>
              <w:t>$41,405</w:t>
            </w: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27,770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7"/>
                <w:szCs w:val="17"/>
                <w:color w:val="auto"/>
              </w:rPr>
              <w:t>Offset to deferred tax assets for unrecognized tax benefits</w:t>
            </w:r>
          </w:p>
        </w:tc>
        <w:tc>
          <w:tcPr>
            <w:tcW w:w="920" w:type="dxa"/>
            <w:vAlign w:val="bottom"/>
            <w:gridSpan w:val="5"/>
          </w:tcPr>
          <w:p>
            <w:pPr>
              <w:jc w:val="right"/>
              <w:ind w:right="80"/>
              <w:spacing w:after="0"/>
              <w:rPr>
                <w:sz w:val="20"/>
                <w:szCs w:val="20"/>
                <w:color w:val="auto"/>
              </w:rPr>
            </w:pPr>
            <w:r>
              <w:rPr>
                <w:rFonts w:ascii="Arial" w:cs="Arial" w:eastAsia="Arial" w:hAnsi="Arial"/>
                <w:sz w:val="17"/>
                <w:szCs w:val="17"/>
                <w:color w:val="auto"/>
              </w:rPr>
              <w:t>$26,592</w:t>
            </w:r>
          </w:p>
        </w:tc>
        <w:tc>
          <w:tcPr>
            <w:tcW w:w="44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7"/>
                <w:szCs w:val="17"/>
                <w:color w:val="auto"/>
                <w:w w:val="87"/>
              </w:rPr>
              <w:t>$26,400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24,422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w w:val="94"/>
              </w:rPr>
              <w:t>Interest and penalties recognized in current income tax expense (after giving effect to the reversal of</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and penalties of $2,430, $1,223 and $1,730, respectively)</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(148)</w:t>
            </w:r>
          </w:p>
        </w:tc>
        <w:tc>
          <w:tcPr>
            <w:tcW w:w="4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5"/>
              </w:rPr>
              <w:t>$ 1,780</w:t>
            </w: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60" w:firstLine="457"/>
        <w:spacing w:after="0" w:line="280" w:lineRule="auto"/>
        <w:rPr>
          <w:sz w:val="20"/>
          <w:szCs w:val="20"/>
          <w:color w:val="auto"/>
        </w:rPr>
      </w:pPr>
      <w:r>
        <w:rPr>
          <w:rFonts w:ascii="Arial" w:cs="Arial" w:eastAsia="Arial" w:hAnsi="Arial"/>
          <w:sz w:val="17"/>
          <w:szCs w:val="17"/>
          <w:color w:val="auto"/>
        </w:rPr>
        <w:t>The Company anticipates that it is reasonably possible that the total amount of unrecognized tax benefits recorded at December 31, 2010 will decrease within 12 months by an amount up to approximately $9,500 as a result of the lapse of the statute of limitations in various tax jurisdictions.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79"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The redemption of historical partner interests in connection with the Company’s separation and recapitalization that occurred in May 2005 and the subsequent exchanges through December 31, 2010 of LAZ-MD Holdings exchangeable interests for shares of Class A common stock have resulted, and future exchanges of LAZ-MD Holdings exchangeable interests for shares of Class A common stock may result, in increases in the tax basis of the tangible and/or intangible assets of Lazard Group. The tax receivable agreement dated as of May 10, 2005 with LFCM Holdings requires the Company to pay LFCM Holdings 85% of the cash savings, if any, in U.S. federal, state and local income tax or franchise tax that the Company actually realizes as a result of the above-mentioned increases in tax basis. During the years ended December 31, 2010, 2009 and 2008, the Company recorded a “provision (benefit) pursuant to tax receivable agreement” on the consolidated statements of operations of $2,361, $(1,258) and $17,084, respectively, with the liability related thereto at December 31, 2010 and 2009 of $2,361 and $15,684, respectively, included within “related party payables” on the consolidated statements of financial condition (see Note 21 of Notes to Consolidated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448" w:right="2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540"/>
        <w:spacing w:after="0" w:line="280" w:lineRule="auto"/>
        <w:rPr>
          <w:sz w:val="20"/>
          <w:szCs w:val="20"/>
          <w:color w:val="auto"/>
        </w:rPr>
      </w:pPr>
      <w:r>
        <w:rPr>
          <w:rFonts w:ascii="Arial" w:cs="Arial" w:eastAsia="Arial" w:hAnsi="Arial"/>
          <w:sz w:val="17"/>
          <w:szCs w:val="17"/>
          <w:color w:val="auto"/>
        </w:rPr>
        <w:t>Financial Statements). During the year ended December 31, 2009, the Company recorded a benefit related to the tax receivable agreement as a result of certain adjustments to previously recorded estimated provisions.</w:t>
      </w:r>
    </w:p>
    <w:p>
      <w:pPr>
        <w:spacing w:after="0" w:line="105" w:lineRule="exact"/>
        <w:rPr>
          <w:sz w:val="20"/>
          <w:szCs w:val="20"/>
          <w:color w:val="auto"/>
        </w:rPr>
      </w:pPr>
    </w:p>
    <w:p>
      <w:pPr>
        <w:ind w:left="460" w:hanging="456"/>
        <w:spacing w:after="0"/>
        <w:tabs>
          <w:tab w:leader="none" w:pos="460" w:val="left"/>
        </w:tabs>
        <w:numPr>
          <w:ilvl w:val="0"/>
          <w:numId w:val="6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NET INCOME (LOSS) PER SHARE OF CLASS A COMMON STOCK</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Company’s basic and diluted net income (loss) per share calculations for the years ended December 31, 2010, 2009 and 2008 are computed as described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Basic Net Income (Loss) Per Share</w:t>
      </w:r>
    </w:p>
    <w:p>
      <w:pPr>
        <w:spacing w:after="0" w:line="79" w:lineRule="exact"/>
        <w:rPr>
          <w:sz w:val="20"/>
          <w:szCs w:val="20"/>
          <w:color w:val="auto"/>
        </w:rPr>
      </w:pPr>
    </w:p>
    <w:p>
      <w:pPr>
        <w:ind w:right="60" w:firstLine="457"/>
        <w:spacing w:after="0" w:line="280" w:lineRule="auto"/>
        <w:rPr>
          <w:sz w:val="20"/>
          <w:szCs w:val="20"/>
          <w:color w:val="auto"/>
        </w:rPr>
      </w:pPr>
      <w:r>
        <w:rPr>
          <w:rFonts w:ascii="Arial" w:cs="Arial" w:eastAsia="Arial" w:hAnsi="Arial"/>
          <w:sz w:val="17"/>
          <w:szCs w:val="17"/>
          <w:i w:val="1"/>
          <w:iCs w:val="1"/>
          <w:color w:val="auto"/>
        </w:rPr>
        <w:t>Numerator</w:t>
      </w:r>
      <w:r>
        <w:rPr>
          <w:rFonts w:ascii="Arial" w:cs="Arial" w:eastAsia="Arial" w:hAnsi="Arial"/>
          <w:sz w:val="17"/>
          <w:szCs w:val="17"/>
          <w:color w:val="auto"/>
        </w:rPr>
        <w:t>—utilizes net income (loss) attributable to Lazard Ltd for the respective years, plus applicable adjustments to such net income (loss)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inclusion of shares of Class A common stock issuable on a non-contingent basis.</w:t>
      </w:r>
    </w:p>
    <w:p>
      <w:pPr>
        <w:spacing w:after="0" w:line="105" w:lineRule="exact"/>
        <w:rPr>
          <w:sz w:val="20"/>
          <w:szCs w:val="20"/>
          <w:color w:val="auto"/>
        </w:rPr>
      </w:pPr>
    </w:p>
    <w:p>
      <w:pPr>
        <w:ind w:right="220" w:firstLine="457"/>
        <w:spacing w:after="0" w:line="280" w:lineRule="auto"/>
        <w:rPr>
          <w:sz w:val="20"/>
          <w:szCs w:val="20"/>
          <w:color w:val="auto"/>
        </w:rPr>
      </w:pPr>
      <w:r>
        <w:rPr>
          <w:rFonts w:ascii="Arial" w:cs="Arial" w:eastAsia="Arial" w:hAnsi="Arial"/>
          <w:sz w:val="17"/>
          <w:szCs w:val="17"/>
          <w:i w:val="1"/>
          <w:iCs w:val="1"/>
          <w:color w:val="auto"/>
        </w:rPr>
        <w:t>Denominator</w:t>
      </w:r>
      <w:r>
        <w:rPr>
          <w:rFonts w:ascii="Arial" w:cs="Arial" w:eastAsia="Arial" w:hAnsi="Arial"/>
          <w:sz w:val="17"/>
          <w:szCs w:val="17"/>
          <w:color w:val="auto"/>
        </w:rPr>
        <w:t>—utilizes the weighted average number of shares of Class A common stock outstanding for the respective years, plus applicable adjustments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such shares associated with shares of Class A common stock issuable on a non-contingent basis.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Diluted Net Income (Loss) Per Share</w:t>
      </w:r>
    </w:p>
    <w:p>
      <w:pPr>
        <w:spacing w:after="0" w:line="7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(loss) attributable to Lazard Ltd for the respective years as in the basic net income (loss) per share calculation described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plus, to the extent applicable and dilutive, (i) interest expense on convertible debt, (ii) changes in net income (loss) attributable to noncontrolling interests resulting from assumed Class A common stock issuances in connection with share-based incentive compensation, convertible debt and convertible preferred stock and, on an “as-if-exchanged” basis, amounts applicable to LAZ-MD Holdings exchangeable interests and (iii) income tax related to (i) and (ii) above.</w:t>
      </w:r>
    </w:p>
    <w:p>
      <w:pPr>
        <w:spacing w:after="0" w:line="105"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i w:val="1"/>
          <w:iCs w:val="1"/>
          <w:color w:val="auto"/>
        </w:rPr>
        <w:t>Denominator</w:t>
      </w:r>
      <w:r>
        <w:rPr>
          <w:rFonts w:ascii="Arial" w:cs="Arial" w:eastAsia="Arial" w:hAnsi="Arial"/>
          <w:sz w:val="17"/>
          <w:szCs w:val="17"/>
          <w:color w:val="auto"/>
        </w:rPr>
        <w:t>—utilizes the weighted average number of shares of Class A common stock outstanding for the respective years as in the basic net income (loss)</w:t>
      </w:r>
      <w:r>
        <w:rPr>
          <w:rFonts w:ascii="Arial" w:cs="Arial" w:eastAsia="Arial" w:hAnsi="Arial"/>
          <w:sz w:val="17"/>
          <w:szCs w:val="17"/>
          <w:i w:val="1"/>
          <w:iCs w:val="1"/>
          <w:color w:val="auto"/>
        </w:rPr>
        <w:t xml:space="preserve"> </w:t>
      </w:r>
      <w:r>
        <w:rPr>
          <w:rFonts w:ascii="Arial" w:cs="Arial" w:eastAsia="Arial" w:hAnsi="Arial"/>
          <w:sz w:val="17"/>
          <w:szCs w:val="17"/>
          <w:color w:val="auto"/>
        </w:rPr>
        <w:t>per share calculation described above, plus, to the extent dilutive, the incremental number of shares of Class A common stock to settle share-based incentive compensation, convertible debt, convertible preferred stock and LAZ-MD Holdings exchangeable interests, using the “treasury stock” method, the “if converted” method or the “as-if-exchanged” basis, as applicable.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320"/>
          </w:cols>
          <w:pgMar w:left="240" w:top="448" w:right="33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380" w:firstLine="457"/>
        <w:spacing w:after="0" w:line="280" w:lineRule="auto"/>
        <w:rPr>
          <w:sz w:val="20"/>
          <w:szCs w:val="20"/>
          <w:color w:val="auto"/>
        </w:rPr>
      </w:pPr>
      <w:r>
        <w:rPr>
          <w:rFonts w:ascii="Arial" w:cs="Arial" w:eastAsia="Arial" w:hAnsi="Arial"/>
          <w:sz w:val="17"/>
          <w:szCs w:val="17"/>
          <w:color w:val="auto"/>
        </w:rPr>
        <w:t>The calculations of the Company’s basic and diluted net income (loss) per share and weighted average shares outstanding for the years ended December 31, 2010, 2009 and 2008 are presented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0"/>
              </w:rPr>
              <w:t>Year Ended December 31,</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000" w:type="dxa"/>
            <w:vAlign w:val="bottom"/>
            <w:tcBorders>
              <w:bottom w:val="single" w:sz="8" w:color="auto"/>
            </w:tcBorders>
          </w:tcPr>
          <w:p>
            <w:pPr>
              <w:jc w:val="right"/>
              <w:ind w:right="297"/>
              <w:spacing w:after="0" w:line="137" w:lineRule="exact"/>
              <w:rPr>
                <w:sz w:val="20"/>
                <w:szCs w:val="20"/>
                <w:color w:val="auto"/>
              </w:rPr>
            </w:pPr>
            <w:r>
              <w:rPr>
                <w:rFonts w:ascii="Arial" w:cs="Arial" w:eastAsia="Arial" w:hAnsi="Arial"/>
                <w:sz w:val="13"/>
                <w:szCs w:val="13"/>
                <w:b w:val="1"/>
                <w:bCs w:val="1"/>
                <w:color w:val="auto"/>
              </w:rPr>
              <w:t>2010</w:t>
            </w:r>
          </w:p>
        </w:tc>
        <w:tc>
          <w:tcPr>
            <w:tcW w:w="440" w:type="dxa"/>
            <w:vAlign w:val="bottom"/>
          </w:tcPr>
          <w:p>
            <w:pPr>
              <w:spacing w:after="0"/>
              <w:rPr>
                <w:sz w:val="11"/>
                <w:szCs w:val="11"/>
                <w:color w:val="auto"/>
              </w:rPr>
            </w:pPr>
          </w:p>
        </w:tc>
        <w:tc>
          <w:tcPr>
            <w:tcW w:w="920" w:type="dxa"/>
            <w:vAlign w:val="bottom"/>
            <w:tcBorders>
              <w:bottom w:val="single" w:sz="8" w:color="auto"/>
            </w:tcBorders>
          </w:tcPr>
          <w:p>
            <w:pPr>
              <w:jc w:val="right"/>
              <w:ind w:right="238"/>
              <w:spacing w:after="0" w:line="137" w:lineRule="exact"/>
              <w:rPr>
                <w:sz w:val="20"/>
                <w:szCs w:val="20"/>
                <w:color w:val="auto"/>
              </w:rPr>
            </w:pPr>
            <w:r>
              <w:rPr>
                <w:rFonts w:ascii="Arial" w:cs="Arial" w:eastAsia="Arial" w:hAnsi="Arial"/>
                <w:sz w:val="13"/>
                <w:szCs w:val="13"/>
                <w:b w:val="1"/>
                <w:bCs w:val="1"/>
                <w:color w:val="auto"/>
              </w:rPr>
              <w:t>2009</w:t>
            </w:r>
          </w:p>
        </w:tc>
        <w:tc>
          <w:tcPr>
            <w:tcW w:w="460" w:type="dxa"/>
            <w:vAlign w:val="bottom"/>
          </w:tcPr>
          <w:p>
            <w:pPr>
              <w:spacing w:after="0"/>
              <w:rPr>
                <w:sz w:val="11"/>
                <w:szCs w:val="11"/>
                <w:color w:val="auto"/>
              </w:rPr>
            </w:pPr>
          </w:p>
        </w:tc>
        <w:tc>
          <w:tcPr>
            <w:tcW w:w="940" w:type="dxa"/>
            <w:vAlign w:val="bottom"/>
            <w:tcBorders>
              <w:bottom w:val="single" w:sz="8" w:color="auto"/>
            </w:tcBorders>
          </w:tcPr>
          <w:p>
            <w:pPr>
              <w:jc w:val="right"/>
              <w:ind w:right="257"/>
              <w:spacing w:after="0" w:line="137" w:lineRule="exact"/>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Lazard Ltd</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$174,979</w:t>
            </w: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$(130,242)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7"/>
                <w:szCs w:val="17"/>
                <w:color w:val="auto"/>
                <w:w w:val="98"/>
              </w:rPr>
              <w:t>Add (deduct) - adjustment associated with Class A common stock issuable on a non-contingent basis</w:t>
            </w:r>
          </w:p>
        </w:tc>
        <w:tc>
          <w:tcPr>
            <w:tcW w:w="1000" w:type="dxa"/>
            <w:vAlign w:val="bottom"/>
          </w:tcPr>
          <w:p>
            <w:pPr>
              <w:jc w:val="right"/>
              <w:spacing w:after="0"/>
              <w:rPr>
                <w:sz w:val="20"/>
                <w:szCs w:val="20"/>
                <w:color w:val="auto"/>
              </w:rPr>
            </w:pPr>
            <w:r>
              <w:rPr>
                <w:rFonts w:ascii="Arial" w:cs="Arial" w:eastAsia="Arial" w:hAnsi="Arial"/>
                <w:sz w:val="17"/>
                <w:szCs w:val="17"/>
                <w:color w:val="auto"/>
              </w:rPr>
              <w:t>251</w:t>
            </w:r>
          </w:p>
        </w:tc>
        <w:tc>
          <w:tcPr>
            <w:tcW w:w="4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7"/>
                <w:szCs w:val="17"/>
                <w:color w:val="auto"/>
              </w:rPr>
              <w:t>(1,292)</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Lazard Ltd - basic</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175,230</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(131,534)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Add - dilutive effect, as applicable, of:</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5"/>
              </w:rPr>
              <w:t>Adjustments to income relating to interest expense and changes in net income (loss) attributable to</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5"/>
              </w:rPr>
              <w:t>noncontrolling interests resulting from assumed Class A common stock issuances in connection</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with share-based incentive compensation, convertible debt, convertible preferred stock and</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exchangeable interests, net of tax</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13,689</w:t>
            </w:r>
          </w:p>
        </w:tc>
        <w:tc>
          <w:tcPr>
            <w:tcW w:w="4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40" w:type="dxa"/>
            <w:vAlign w:val="bottom"/>
            <w:gridSpan w:val="2"/>
          </w:tcPr>
          <w:p>
            <w:pPr>
              <w:spacing w:after="0"/>
              <w:rPr>
                <w:sz w:val="20"/>
                <w:szCs w:val="20"/>
                <w:color w:val="auto"/>
              </w:rPr>
            </w:pPr>
            <w:r>
              <w:rPr>
                <w:rFonts w:ascii="Arial" w:cs="Arial" w:eastAsia="Arial" w:hAnsi="Arial"/>
                <w:sz w:val="17"/>
                <w:szCs w:val="17"/>
                <w:color w:val="auto"/>
              </w:rPr>
              <w:t>Net income (loss) attributable to Lazard Ltd - diluted</w:t>
            </w:r>
          </w:p>
        </w:tc>
        <w:tc>
          <w:tcPr>
            <w:tcW w:w="1000" w:type="dxa"/>
            <w:vAlign w:val="bottom"/>
          </w:tcPr>
          <w:p>
            <w:pPr>
              <w:jc w:val="right"/>
              <w:spacing w:after="0"/>
              <w:rPr>
                <w:sz w:val="20"/>
                <w:szCs w:val="20"/>
                <w:color w:val="auto"/>
              </w:rPr>
            </w:pPr>
            <w:r>
              <w:rPr>
                <w:rFonts w:ascii="Arial" w:cs="Arial" w:eastAsia="Arial" w:hAnsi="Arial"/>
                <w:sz w:val="17"/>
                <w:szCs w:val="17"/>
                <w:color w:val="auto"/>
              </w:rPr>
              <w:t>$188,919</w:t>
            </w:r>
          </w:p>
        </w:tc>
        <w:tc>
          <w:tcPr>
            <w:tcW w:w="1820" w:type="dxa"/>
            <w:vAlign w:val="bottom"/>
            <w:gridSpan w:val="3"/>
          </w:tcPr>
          <w:p>
            <w:pPr>
              <w:jc w:val="right"/>
              <w:ind w:right="400"/>
              <w:spacing w:after="0"/>
              <w:rPr>
                <w:sz w:val="20"/>
                <w:szCs w:val="20"/>
                <w:color w:val="auto"/>
              </w:rPr>
            </w:pPr>
            <w:r>
              <w:rPr>
                <w:rFonts w:ascii="Arial" w:cs="Arial" w:eastAsia="Arial" w:hAnsi="Arial"/>
                <w:sz w:val="17"/>
                <w:szCs w:val="17"/>
                <w:color w:val="auto"/>
              </w:rPr>
              <w:t>$(131,534)</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vMerge w:val="restart"/>
          </w:tcPr>
          <w:p>
            <w:pPr>
              <w:spacing w:after="0"/>
              <w:rPr>
                <w:sz w:val="5"/>
                <w:szCs w:val="5"/>
                <w:color w:val="auto"/>
              </w:rPr>
            </w:pPr>
          </w:p>
        </w:tc>
        <w:tc>
          <w:tcPr>
            <w:tcW w:w="7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shares of Class A common stock outstanding</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101,607,301</w:t>
            </w:r>
          </w:p>
        </w:tc>
        <w:tc>
          <w:tcPr>
            <w:tcW w:w="18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75,220,897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59,178,407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Add - adjustment for shares of Class A common stock issuable on a non-contingent basis</w:t>
            </w:r>
          </w:p>
        </w:tc>
        <w:tc>
          <w:tcPr>
            <w:tcW w:w="1000" w:type="dxa"/>
            <w:vAlign w:val="bottom"/>
          </w:tcPr>
          <w:p>
            <w:pPr>
              <w:jc w:val="right"/>
              <w:spacing w:after="0"/>
              <w:rPr>
                <w:sz w:val="20"/>
                <w:szCs w:val="20"/>
                <w:color w:val="auto"/>
              </w:rPr>
            </w:pPr>
            <w:r>
              <w:rPr>
                <w:rFonts w:ascii="Arial" w:cs="Arial" w:eastAsia="Arial" w:hAnsi="Arial"/>
                <w:sz w:val="17"/>
                <w:szCs w:val="17"/>
                <w:color w:val="auto"/>
              </w:rPr>
              <w:t>2,803,952</w:t>
            </w:r>
          </w:p>
        </w:tc>
        <w:tc>
          <w:tcPr>
            <w:tcW w:w="4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7"/>
                <w:szCs w:val="17"/>
                <w:color w:val="auto"/>
              </w:rPr>
              <w:t>3,091,050</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1,696,327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shares of Class A common stock outstanding - basic</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104,411,253</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78,311,947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60,874,734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Add - dilutive effect, as applicable, of:</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8"/>
              </w:rPr>
              <w:t>Weighted average number of incremental shares of Class A common stock issuable from share-</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6"/>
              </w:rPr>
              <w:t>based incentive compensation, convertible debt, convertible preferred stock and exchangeable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interests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34,058,401</w:t>
            </w:r>
          </w:p>
        </w:tc>
        <w:tc>
          <w:tcPr>
            <w:tcW w:w="4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40" w:type="dxa"/>
            <w:vAlign w:val="bottom"/>
            <w:gridSpan w:val="2"/>
          </w:tcPr>
          <w:p>
            <w:pPr>
              <w:spacing w:after="0"/>
              <w:rPr>
                <w:sz w:val="20"/>
                <w:szCs w:val="20"/>
                <w:color w:val="auto"/>
              </w:rPr>
            </w:pPr>
            <w:r>
              <w:rPr>
                <w:rFonts w:ascii="Arial" w:cs="Arial" w:eastAsia="Arial" w:hAnsi="Arial"/>
                <w:sz w:val="17"/>
                <w:szCs w:val="17"/>
                <w:color w:val="auto"/>
              </w:rPr>
              <w:t>Weighted average number of shares of Class A common stock outstanding - diluted</w:t>
            </w:r>
          </w:p>
        </w:tc>
        <w:tc>
          <w:tcPr>
            <w:tcW w:w="1000" w:type="dxa"/>
            <w:vAlign w:val="bottom"/>
          </w:tcPr>
          <w:p>
            <w:pPr>
              <w:jc w:val="right"/>
              <w:spacing w:after="0"/>
              <w:rPr>
                <w:sz w:val="20"/>
                <w:szCs w:val="20"/>
                <w:color w:val="auto"/>
              </w:rPr>
            </w:pPr>
            <w:r>
              <w:rPr>
                <w:rFonts w:ascii="Arial" w:cs="Arial" w:eastAsia="Arial" w:hAnsi="Arial"/>
                <w:sz w:val="17"/>
                <w:szCs w:val="17"/>
                <w:color w:val="auto"/>
              </w:rPr>
              <w:t>138,469,654</w:t>
            </w:r>
          </w:p>
        </w:tc>
        <w:tc>
          <w:tcPr>
            <w:tcW w:w="1820" w:type="dxa"/>
            <w:vAlign w:val="bottom"/>
            <w:gridSpan w:val="3"/>
          </w:tcPr>
          <w:p>
            <w:pPr>
              <w:jc w:val="right"/>
              <w:ind w:right="460"/>
              <w:spacing w:after="0"/>
              <w:rPr>
                <w:sz w:val="20"/>
                <w:szCs w:val="20"/>
                <w:color w:val="auto"/>
              </w:rPr>
            </w:pPr>
            <w:r>
              <w:rPr>
                <w:rFonts w:ascii="Arial" w:cs="Arial" w:eastAsia="Arial" w:hAnsi="Arial"/>
                <w:sz w:val="17"/>
                <w:szCs w:val="17"/>
                <w:color w:val="auto"/>
              </w:rPr>
              <w:t>78,311,947</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60,874,734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Lazard Ltd per share of Class A common stock:</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tcPr>
          <w:p>
            <w:pPr>
              <w:ind w:left="400"/>
              <w:spacing w:after="0"/>
              <w:rPr>
                <w:sz w:val="20"/>
                <w:szCs w:val="20"/>
                <w:color w:val="auto"/>
              </w:rPr>
            </w:pPr>
            <w:r>
              <w:rPr>
                <w:rFonts w:ascii="Arial" w:cs="Arial" w:eastAsia="Arial" w:hAnsi="Arial"/>
                <w:sz w:val="17"/>
                <w:szCs w:val="17"/>
                <w:color w:val="auto"/>
              </w:rPr>
              <w:t>Basic</w:t>
            </w:r>
          </w:p>
        </w:tc>
        <w:tc>
          <w:tcPr>
            <w:tcW w:w="1000" w:type="dxa"/>
            <w:vAlign w:val="bottom"/>
          </w:tcPr>
          <w:p>
            <w:pPr>
              <w:jc w:val="right"/>
              <w:spacing w:after="0"/>
              <w:rPr>
                <w:sz w:val="20"/>
                <w:szCs w:val="20"/>
                <w:color w:val="auto"/>
              </w:rPr>
            </w:pPr>
            <w:r>
              <w:rPr>
                <w:rFonts w:ascii="Arial" w:cs="Arial" w:eastAsia="Arial" w:hAnsi="Arial"/>
                <w:sz w:val="17"/>
                <w:szCs w:val="17"/>
                <w:color w:val="auto"/>
              </w:rPr>
              <w:t>$1.68</w:t>
            </w:r>
          </w:p>
        </w:tc>
        <w:tc>
          <w:tcPr>
            <w:tcW w:w="1820" w:type="dxa"/>
            <w:vAlign w:val="bottom"/>
            <w:gridSpan w:val="3"/>
          </w:tcPr>
          <w:p>
            <w:pPr>
              <w:jc w:val="right"/>
              <w:ind w:right="400"/>
              <w:spacing w:after="0"/>
              <w:rPr>
                <w:sz w:val="20"/>
                <w:szCs w:val="20"/>
                <w:color w:val="auto"/>
              </w:rPr>
            </w:pPr>
            <w:r>
              <w:rPr>
                <w:rFonts w:ascii="Arial" w:cs="Arial" w:eastAsia="Arial" w:hAnsi="Arial"/>
                <w:sz w:val="17"/>
                <w:szCs w:val="17"/>
                <w:color w:val="auto"/>
              </w:rPr>
              <w:t>$(1.68)</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Diluted</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$(1.68)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jc w:val="right"/>
              <w:ind w:right="1615"/>
              <w:spacing w:after="0"/>
              <w:rPr>
                <w:sz w:val="20"/>
                <w:szCs w:val="20"/>
                <w:color w:val="auto"/>
              </w:rPr>
            </w:pPr>
            <w:r>
              <w:rPr>
                <w:rFonts w:ascii="Arial" w:cs="Arial" w:eastAsia="Arial" w:hAnsi="Arial"/>
                <w:sz w:val="17"/>
                <w:szCs w:val="17"/>
                <w:color w:val="auto"/>
              </w:rPr>
              <w:t>125</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75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460" w:hanging="456"/>
        <w:spacing w:after="0"/>
        <w:tabs>
          <w:tab w:leader="none" w:pos="460" w:val="left"/>
        </w:tabs>
        <w:numPr>
          <w:ilvl w:val="0"/>
          <w:numId w:val="7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RELATED PARTIES</w:t>
      </w:r>
    </w:p>
    <w:p>
      <w:pPr>
        <w:spacing w:after="0" w:line="78" w:lineRule="exact"/>
        <w:rPr>
          <w:rFonts w:ascii="Arial" w:cs="Arial" w:eastAsia="Arial" w:hAnsi="Arial"/>
          <w:sz w:val="17"/>
          <w:szCs w:val="17"/>
          <w:b w:val="1"/>
          <w:bCs w:val="1"/>
          <w:i w:val="1"/>
          <w:iCs w:val="1"/>
          <w:color w:val="auto"/>
        </w:rPr>
      </w:pPr>
    </w:p>
    <w:p>
      <w:pPr>
        <w:ind w:left="46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Amounts receivable from, and payable to, related parties as of December 31, 2010 and 2009 are set forth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ind w:left="320"/>
              <w:spacing w:after="0"/>
              <w:rPr>
                <w:sz w:val="20"/>
                <w:szCs w:val="20"/>
                <w:color w:val="auto"/>
              </w:rPr>
            </w:pPr>
            <w:r>
              <w:rPr>
                <w:rFonts w:ascii="Arial" w:cs="Arial" w:eastAsia="Arial" w:hAnsi="Arial"/>
                <w:sz w:val="13"/>
                <w:szCs w:val="13"/>
                <w:b w:val="1"/>
                <w:bCs w:val="1"/>
                <w:color w:val="auto"/>
              </w:rPr>
              <w:t>December 31,</w:t>
            </w:r>
          </w:p>
        </w:tc>
      </w:tr>
      <w:tr>
        <w:trPr>
          <w:trHeight w:val="66"/>
        </w:trPr>
        <w:tc>
          <w:tcPr>
            <w:tcW w:w="97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161"/>
        </w:trPr>
        <w:tc>
          <w:tcPr>
            <w:tcW w:w="9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3"/>
                <w:szCs w:val="13"/>
                <w:b w:val="1"/>
                <w:bCs w:val="1"/>
                <w:color w:val="auto"/>
              </w:rPr>
              <w:t>2010</w:t>
            </w:r>
          </w:p>
        </w:tc>
        <w:tc>
          <w:tcPr>
            <w:tcW w:w="1000" w:type="dxa"/>
            <w:vAlign w:val="bottom"/>
            <w:gridSpan w:val="2"/>
          </w:tcPr>
          <w:p>
            <w:pPr>
              <w:jc w:val="right"/>
              <w:ind w:right="75"/>
              <w:spacing w:after="0"/>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4"/>
                <w:szCs w:val="14"/>
                <w:color w:val="auto"/>
              </w:rPr>
            </w:pPr>
          </w:p>
        </w:tc>
      </w:tr>
      <w:tr>
        <w:trPr>
          <w:trHeight w:val="54"/>
        </w:trPr>
        <w:tc>
          <w:tcPr>
            <w:tcW w:w="97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02"/>
        </w:trPr>
        <w:tc>
          <w:tcPr>
            <w:tcW w:w="9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Receivables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9780" w:type="dxa"/>
            <w:vAlign w:val="bottom"/>
          </w:tcPr>
          <w:p>
            <w:pPr>
              <w:spacing w:after="0"/>
              <w:rPr>
                <w:sz w:val="20"/>
                <w:szCs w:val="20"/>
                <w:color w:val="auto"/>
              </w:rPr>
            </w:pPr>
            <w:r>
              <w:rPr>
                <w:rFonts w:ascii="Arial" w:cs="Arial" w:eastAsia="Arial" w:hAnsi="Arial"/>
                <w:sz w:val="17"/>
                <w:szCs w:val="17"/>
                <w:color w:val="auto"/>
              </w:rPr>
              <w:t>LFCM Holdings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24,785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$14,212</w:t>
            </w:r>
          </w:p>
        </w:tc>
        <w:tc>
          <w:tcPr>
            <w:tcW w:w="80" w:type="dxa"/>
            <w:vAlign w:val="bottom"/>
          </w:tcPr>
          <w:p>
            <w:pPr>
              <w:spacing w:after="0"/>
              <w:rPr>
                <w:sz w:val="18"/>
                <w:szCs w:val="18"/>
                <w:color w:val="auto"/>
              </w:rPr>
            </w:pPr>
          </w:p>
        </w:tc>
      </w:tr>
      <w:tr>
        <w:trPr>
          <w:trHeight w:val="209"/>
        </w:trPr>
        <w:tc>
          <w:tcPr>
            <w:tcW w:w="97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4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80" w:type="dxa"/>
            <w:vAlign w:val="bottom"/>
            <w:shd w:val="clear" w:color="auto" w:fill="CCEEFF"/>
          </w:tcPr>
          <w:p>
            <w:pPr>
              <w:spacing w:after="0"/>
              <w:rPr>
                <w:sz w:val="18"/>
                <w:szCs w:val="18"/>
                <w:color w:val="auto"/>
              </w:rPr>
            </w:pPr>
          </w:p>
        </w:tc>
      </w:tr>
      <w:tr>
        <w:trPr>
          <w:trHeight w:val="214"/>
        </w:trPr>
        <w:tc>
          <w:tcPr>
            <w:tcW w:w="9780" w:type="dxa"/>
            <w:vAlign w:val="bottom"/>
          </w:tcPr>
          <w:p>
            <w:pPr>
              <w:ind w:left="420"/>
              <w:spacing w:after="0"/>
              <w:rPr>
                <w:sz w:val="20"/>
                <w:szCs w:val="20"/>
                <w:color w:val="auto"/>
              </w:rPr>
            </w:pPr>
            <w:r>
              <w:rPr>
                <w:rFonts w:ascii="Arial" w:cs="Arial" w:eastAsia="Arial" w:hAnsi="Arial"/>
                <w:sz w:val="17"/>
                <w:szCs w:val="17"/>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24,874</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14,415</w:t>
            </w:r>
          </w:p>
        </w:tc>
        <w:tc>
          <w:tcPr>
            <w:tcW w:w="80" w:type="dxa"/>
            <w:vAlign w:val="bottom"/>
          </w:tcPr>
          <w:p>
            <w:pPr>
              <w:spacing w:after="0"/>
              <w:rPr>
                <w:sz w:val="18"/>
                <w:szCs w:val="18"/>
                <w:color w:val="auto"/>
              </w:rPr>
            </w:pPr>
          </w:p>
        </w:tc>
      </w:tr>
      <w:tr>
        <w:trPr>
          <w:trHeight w:val="20"/>
        </w:trPr>
        <w:tc>
          <w:tcPr>
            <w:tcW w:w="9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2"/>
        </w:trPr>
        <w:tc>
          <w:tcPr>
            <w:tcW w:w="9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Payables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9780" w:type="dxa"/>
            <w:vAlign w:val="bottom"/>
          </w:tcPr>
          <w:p>
            <w:pPr>
              <w:spacing w:after="0"/>
              <w:rPr>
                <w:sz w:val="20"/>
                <w:szCs w:val="20"/>
                <w:color w:val="auto"/>
              </w:rPr>
            </w:pPr>
            <w:r>
              <w:rPr>
                <w:rFonts w:ascii="Arial" w:cs="Arial" w:eastAsia="Arial" w:hAnsi="Arial"/>
                <w:sz w:val="17"/>
                <w:szCs w:val="17"/>
                <w:color w:val="auto"/>
              </w:rPr>
              <w:t>LFCM Holdings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2,819</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$17,431</w:t>
            </w:r>
          </w:p>
        </w:tc>
        <w:tc>
          <w:tcPr>
            <w:tcW w:w="80" w:type="dxa"/>
            <w:vAlign w:val="bottom"/>
          </w:tcPr>
          <w:p>
            <w:pPr>
              <w:spacing w:after="0"/>
              <w:rPr>
                <w:sz w:val="18"/>
                <w:szCs w:val="18"/>
                <w:color w:val="auto"/>
              </w:rPr>
            </w:pPr>
          </w:p>
        </w:tc>
      </w:tr>
      <w:tr>
        <w:trPr>
          <w:trHeight w:val="209"/>
        </w:trPr>
        <w:tc>
          <w:tcPr>
            <w:tcW w:w="97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8"/>
                <w:szCs w:val="18"/>
                <w:color w:val="auto"/>
              </w:rPr>
            </w:pPr>
          </w:p>
        </w:tc>
      </w:tr>
      <w:tr>
        <w:trPr>
          <w:trHeight w:val="214"/>
        </w:trPr>
        <w:tc>
          <w:tcPr>
            <w:tcW w:w="9780" w:type="dxa"/>
            <w:vAlign w:val="bottom"/>
          </w:tcPr>
          <w:p>
            <w:pPr>
              <w:ind w:left="420"/>
              <w:spacing w:after="0"/>
              <w:rPr>
                <w:sz w:val="20"/>
                <w:szCs w:val="20"/>
                <w:color w:val="auto"/>
              </w:rPr>
            </w:pPr>
            <w:r>
              <w:rPr>
                <w:rFonts w:ascii="Arial" w:cs="Arial" w:eastAsia="Arial" w:hAnsi="Arial"/>
                <w:sz w:val="17"/>
                <w:szCs w:val="17"/>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2,819</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17,450</w:t>
            </w:r>
          </w:p>
        </w:tc>
        <w:tc>
          <w:tcPr>
            <w:tcW w:w="80" w:type="dxa"/>
            <w:vAlign w:val="bottom"/>
          </w:tcPr>
          <w:p>
            <w:pPr>
              <w:spacing w:after="0"/>
              <w:rPr>
                <w:sz w:val="18"/>
                <w:szCs w:val="18"/>
                <w:color w:val="auto"/>
              </w:rPr>
            </w:pPr>
          </w:p>
        </w:tc>
      </w:tr>
      <w:tr>
        <w:trPr>
          <w:trHeight w:val="20"/>
        </w:trPr>
        <w:tc>
          <w:tcPr>
            <w:tcW w:w="9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LFCM Holdings</w:t>
      </w:r>
    </w:p>
    <w:p>
      <w:pPr>
        <w:spacing w:after="0" w:line="83"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our executive officers) who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an insurance matters agreement and a license agreement that addressed various business matters associated with the separation, as well as several other agreements discussed below.</w:t>
      </w:r>
    </w:p>
    <w:p>
      <w:pPr>
        <w:spacing w:after="0" w:line="94" w:lineRule="exact"/>
        <w:rPr>
          <w:sz w:val="20"/>
          <w:szCs w:val="20"/>
          <w:color w:val="auto"/>
        </w:rPr>
      </w:pPr>
    </w:p>
    <w:p>
      <w:pPr>
        <w:jc w:val="both"/>
        <w:ind w:right="160" w:firstLine="457"/>
        <w:spacing w:after="0" w:line="264" w:lineRule="auto"/>
        <w:rPr>
          <w:sz w:val="20"/>
          <w:szCs w:val="20"/>
          <w:color w:val="auto"/>
        </w:rPr>
      </w:pPr>
      <w:r>
        <w:rPr>
          <w:rFonts w:ascii="Arial" w:cs="Arial" w:eastAsia="Arial" w:hAnsi="Arial"/>
          <w:sz w:val="17"/>
          <w:szCs w:val="17"/>
          <w:color w:val="auto"/>
        </w:rPr>
        <w:t>Under the employee benefits agreement, dated as of May 10, 2005, by and among Lazard Ltd, Lazard Group, LAZ-MD Holdings and LFCM Holdings, LFCM Holdings generally assumed, as of the completion of the separation and recapitalization transactions, all outstanding and future liabilities in respect of the current and former employees of the separated businesses. The Company retained all accrued liabilities under, and assets of, the pension plans in the U.S. and the U.K. as well as the 401(k) plan accounts of the inactive employees of LFCM Holdings and its subsidiaries.</w:t>
      </w:r>
    </w:p>
    <w:p>
      <w:pPr>
        <w:spacing w:after="0" w:line="119" w:lineRule="exact"/>
        <w:rPr>
          <w:sz w:val="20"/>
          <w:szCs w:val="20"/>
          <w:color w:val="auto"/>
        </w:rPr>
      </w:pPr>
    </w:p>
    <w:p>
      <w:pPr>
        <w:ind w:right="300" w:firstLine="457"/>
        <w:spacing w:after="0" w:line="282" w:lineRule="auto"/>
        <w:rPr>
          <w:sz w:val="20"/>
          <w:szCs w:val="20"/>
          <w:color w:val="auto"/>
        </w:rPr>
      </w:pPr>
      <w:r>
        <w:rPr>
          <w:rFonts w:ascii="Arial" w:cs="Arial" w:eastAsia="Arial" w:hAnsi="Arial"/>
          <w:sz w:val="16"/>
          <w:szCs w:val="16"/>
          <w:color w:val="auto"/>
        </w:rPr>
        <w:t>Pursuant to the administrative services agreement, dated as of May 10, 2005, by and among LAZ-MD Holdings, LFCM Holdings and Lazard Group (the “administrative services agreement”), Lazard Group provides selected administrative and support services to LAZ-MD Holdings and LFCM Holdings, such as cash management and debt service administration, accounting and financing activities, tax, payroll, human resources administration, financial transaction support, information technology, public communications, data processing, procurement, real estate management and other general administrative functions. Lazard Group charges for these services based on Lazard Group’s cost allocation methodology.</w:t>
      </w:r>
    </w:p>
    <w:p>
      <w:pPr>
        <w:spacing w:after="0" w:line="107"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The services provided pursuant to the administrative services agreement by Lazard Group to LFCM Holdings, and by LFCM Holdings to Lazard Group, are subject to automatic annual renewal, unless either party gives 180 days’ notice of termination. LFCM Holdings and Lazard Group have a right to terminate the services earlier if there is a change of control of either party or the business alliance provided in the business alliance agreement (described below) expires or is terminated. The party receiving a service may also terminate a service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20"/>
          </w:cols>
          <w:pgMar w:left="240" w:top="448" w:right="2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earlier upon 180 days’ notice as long as the receiving party pays the service provider an additional three months of service fee for the terminated service. In addition, in connection with the various agreements entered into regarding the CP II MgmtCo Spin-Off described below, Lazard Group agreed to provide certain specified services to LFCM Holdings (which, in turn, LFCM Holdings may provide to its subsidiary, CP II MgmtCo (“CP II MgmtCo”)).</w:t>
      </w:r>
    </w:p>
    <w:p>
      <w:pPr>
        <w:spacing w:after="0" w:line="98"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business alliance agreement provides, among other matters, that Lazard Group will refer to LFCM Holdings selected opportunities for underwriting and distribution of securities. In addition, Lazard Group will provide assistance in the execution of any such referred business. In exchange for the referral obligation and assistance, Lazard Group will receive a referral fee from LFCM Holdings equal to approximately one-half of the revenue obtained by LFCM Holdings in respect of any underwriting or distribution opportunity. In addition, LFCM Holdings will refer opportunities in the Financial Advisory and Asset Management businesses to Lazard Group. In exchange for this referral, LFCM Holdings will be entitled to a customary finders’ fee from Lazard Group. The business alliance agreement further provides that, during the term of the business alliance, LFNY and Lazard Asset Management Securities LLC, an indirect wholly-owned subsidiary of LFNY, will introduce execution and settlement transactions to broker-dealer entities affiliated with LFCM Holdings. The business alliance agreement is subject to periodic automatic renewal, unless Lazard Group or LCM Holdings elects to terminate the agreement in connection with any such renewal or elects to terminate on account of a change of control of either party.</w:t>
      </w:r>
    </w:p>
    <w:p>
      <w:pPr>
        <w:spacing w:after="0" w:line="124" w:lineRule="exact"/>
        <w:rPr>
          <w:sz w:val="20"/>
          <w:szCs w:val="20"/>
          <w:color w:val="auto"/>
        </w:rPr>
      </w:pPr>
    </w:p>
    <w:p>
      <w:pPr>
        <w:ind w:right="80" w:firstLine="457"/>
        <w:spacing w:after="0" w:line="282" w:lineRule="auto"/>
        <w:rPr>
          <w:sz w:val="20"/>
          <w:szCs w:val="20"/>
          <w:color w:val="auto"/>
        </w:rPr>
      </w:pPr>
      <w:r>
        <w:rPr>
          <w:rFonts w:ascii="Arial" w:cs="Arial" w:eastAsia="Arial" w:hAnsi="Arial"/>
          <w:sz w:val="16"/>
          <w:szCs w:val="16"/>
          <w:color w:val="auto"/>
        </w:rPr>
        <w:t>For the years ended December 31, 2010, 2009 and 2008, amounts recorded by Lazard Group relating to the administrative services agreement amounted to $12,110, $9,717 and $7,138, respectively, and net referral fees for underwriting, private placement, M&amp;A and restructuring transactions under the business alliance agreement amounted to $11,506, $12,301 and $26,472,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7"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Receivables from LFCM Holdings and its subsidiaries as of December 31, 2010 and 2009 primarily include $12,775 and $5,891, respectively, related to administrative and support services and reimbursement of expenses incurred on behalf of LFCM Holdings, $11,413 and $6,202, respectively, related to referral fees for underwriting and private placement transactions and, at December 31, 2009, a $1,180 lease indemnity receivable pertaining to certain liabilities relating to an abandoned lease space in the U.K. Payables to LFCM Holdings and its subsidiaries at December 31, 2010 and 2009 relate primarily to obligations pursuant to the tax receivable agreement of $2,361 and $15,684, respectively (see Note 19 of Notes to Consolidated Financial Statements) and $458 and $1,747, respectively, principally relating to referral fees for Financial Advisory transactions.</w:t>
      </w:r>
    </w:p>
    <w:p>
      <w:pPr>
        <w:spacing w:after="0" w:line="121" w:lineRule="exact"/>
        <w:rPr>
          <w:sz w:val="20"/>
          <w:szCs w:val="20"/>
          <w:color w:val="auto"/>
        </w:rPr>
      </w:pPr>
    </w:p>
    <w:p>
      <w:pPr>
        <w:ind w:right="600" w:firstLine="457"/>
        <w:spacing w:after="0" w:line="280" w:lineRule="auto"/>
        <w:rPr>
          <w:sz w:val="20"/>
          <w:szCs w:val="20"/>
          <w:color w:val="auto"/>
        </w:rPr>
      </w:pPr>
      <w:r>
        <w:rPr>
          <w:rFonts w:ascii="Arial" w:cs="Arial" w:eastAsia="Arial" w:hAnsi="Arial"/>
          <w:sz w:val="17"/>
          <w:szCs w:val="17"/>
          <w:color w:val="auto"/>
        </w:rPr>
        <w:t>See Notes 5 and 15 of Notes to Consolidated Financial Statements for information regarding Sapphire and the 2008 Secondary Offering for which LCM participated as an underwriter, respectively.</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LAZ-MD Holdings</w:t>
      </w:r>
    </w:p>
    <w:p>
      <w:pPr>
        <w:spacing w:after="0" w:line="83"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years ended December 31, 2010, 2009 and 2008, such charges amounted to $750 in each year.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00"/>
          </w:cols>
          <w:pgMar w:left="240" w:top="448" w:right="25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Lazard Alternative Investments</w:t>
      </w:r>
    </w:p>
    <w:p>
      <w:pPr>
        <w:spacing w:after="0" w:line="83"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The business alliance agreement, among other things, granted Lazard Group the option to acquire the North American and European fund management activities of Lazard Alternative Investments Holdings LLC (“LAI”), the subsidiary of LFCM Holdings that owns and operates LFCM Holdings’ alternative investment (including private equity) activities, for an aggregate purchase price of $8,000 and $2,000, respectively. On December 15, 2009, Lazard Group exercised its option to acquire the European fund management activities of LAI for a purchase price of $2,000. The remaining option to purchase the North American fund management activities is currently exercisable at any time prior to May 10, 2014, for a purchase price of $2,500. The reduced price for the North American option reflects (i) a reduction of $1,500 due to the payment of a like amount in February 2008 to LFCM Holdings in connection with the Sapphire IPO, whereby LFCM Holdings agreed not to assert certain claims that it may believe that it had under the business alliance agreement and (ii) a reduction of $4,000 due to the payment of a like amount in February 2009 to LFCM Holdings in connection with the spin-off of the management company of CP II and the amendments to the business alliance agreement described below. LAI’s fund management activities consist of the fund management and general partner entities, together with Lazard Group’s direct investments in related funds that were transferred to LFCM Holdings pursuant to or in anticipation of the May 10, 2005 separation (the “separation”) from the Company of its former Capital Markets and Other business segment.</w:t>
      </w:r>
    </w:p>
    <w:p>
      <w:pPr>
        <w:spacing w:after="0" w:line="113" w:lineRule="exact"/>
        <w:rPr>
          <w:sz w:val="20"/>
          <w:szCs w:val="20"/>
          <w:color w:val="auto"/>
        </w:rPr>
      </w:pPr>
    </w:p>
    <w:p>
      <w:pPr>
        <w:ind w:right="140" w:firstLine="457"/>
        <w:spacing w:after="0" w:line="305" w:lineRule="auto"/>
        <w:rPr>
          <w:sz w:val="20"/>
          <w:szCs w:val="20"/>
          <w:color w:val="auto"/>
        </w:rPr>
      </w:pPr>
      <w:r>
        <w:rPr>
          <w:rFonts w:ascii="Arial" w:cs="Arial" w:eastAsia="Arial" w:hAnsi="Arial"/>
          <w:sz w:val="15"/>
          <w:szCs w:val="15"/>
          <w:color w:val="auto"/>
        </w:rPr>
        <w:t>The business alliance agreement provides Lazard Group with certain governance rights with respect to LAI and provides for support by LFCM Holdings of the business of LAI. With respect to historical investments and funds transferred to LFCM Holdings as part of the separation, profits realized prior to the exercise of the option are for the account of LFCM Holdings, whereas profits realized after the exercise of the option are for the account of Lazard Group. The master separation agreement and business alliance agreement provide for Lazard Group (i) to invest capital in future funds to be managed by LFCM Holdings’ subsidiaries and (ii) to receive incentive distributions from such funds, as well as profits related to such investments, if any, irrespective of whether it exercises its purchase option.</w:t>
      </w:r>
    </w:p>
    <w:p>
      <w:pPr>
        <w:spacing w:after="0" w:line="92" w:lineRule="exact"/>
        <w:rPr>
          <w:sz w:val="20"/>
          <w:szCs w:val="20"/>
          <w:color w:val="auto"/>
        </w:rPr>
      </w:pPr>
    </w:p>
    <w:p>
      <w:pPr>
        <w:ind w:right="120" w:firstLine="457"/>
        <w:spacing w:after="0" w:line="282" w:lineRule="auto"/>
        <w:rPr>
          <w:sz w:val="20"/>
          <w:szCs w:val="20"/>
          <w:color w:val="auto"/>
        </w:rPr>
      </w:pPr>
      <w:r>
        <w:rPr>
          <w:rFonts w:ascii="Arial" w:cs="Arial" w:eastAsia="Arial" w:hAnsi="Arial"/>
          <w:sz w:val="16"/>
          <w:szCs w:val="16"/>
          <w:color w:val="auto"/>
        </w:rPr>
        <w:t>In February 2005, Lazard Group formed CP II, with institutional and Lazard Group capital commitments which required funding at any time through 2010, except for potential follow-on investments and/or CP II expenses. As of December 31, 2010, Lazard Group’s investment in CP II amounted to $31,950, which is recorded within “investments - private equity investments owned” on the consolidated statement of financial condition. Pursuant to the master separation agreement and business alliance agreement, CP II was managed by CP II MgmtCo, and Lazard Group is entitled to receive the carried interest distributions made by CP II (other than the carried interest distributions made to investment professionals who manage the fund).</w:t>
      </w:r>
    </w:p>
    <w:p>
      <w:pPr>
        <w:spacing w:after="0" w:line="107"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In February 2009, pursuant to agreements entered into by the Company with a subsidiary of LAI (“LAI North America”), LFCM Holdings and the investment professionals who manage CP II, equity ownership of CP II MgmtCo was transferred from LAI North America to the investment professionals who manage CP II (the “CP II MgmtCo Spin-Off”). Concurrently with the CP II MgmtCo Spin-Off, CP II MgmtCo became a standalone entity. In addition, in connection with the above-mentioned $4,000 cash payment from Lazard Group to LFCM Holdings, the business alliance agreement was amended to remove any restriction on the Company engaging in private equity businesses in North America other than certain investments in real estate and technology and information services. Such amendment reduced the then purchase price relating to our option to acquire the fund management activities of LAI in North America from $6,500 to $2,500. As part of the CP II MgmtCo Spin-Off, we retained our entitlement to receive a slightly reduced portion of the carried interest distributions made by CP II.</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00"/>
          </w:cols>
          <w:pgMar w:left="240" w:top="448" w:right="25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Other</w:t>
      </w:r>
    </w:p>
    <w:p>
      <w:pPr>
        <w:spacing w:after="0" w:line="83" w:lineRule="exact"/>
        <w:rPr>
          <w:sz w:val="20"/>
          <w:szCs w:val="20"/>
          <w:color w:val="auto"/>
        </w:rPr>
      </w:pPr>
    </w:p>
    <w:p>
      <w:pPr>
        <w:ind w:right="20" w:firstLine="457"/>
        <w:spacing w:after="0" w:line="280" w:lineRule="auto"/>
        <w:rPr>
          <w:sz w:val="20"/>
          <w:szCs w:val="20"/>
          <w:color w:val="auto"/>
        </w:rPr>
      </w:pPr>
      <w:r>
        <w:rPr>
          <w:rFonts w:ascii="Arial" w:cs="Arial" w:eastAsia="Arial" w:hAnsi="Arial"/>
          <w:sz w:val="17"/>
          <w:szCs w:val="17"/>
          <w:color w:val="auto"/>
        </w:rPr>
        <w:t>For the years ended December 31, 2010 and 2008, expenses recorded by Lazard Group relating to referral fees for restructuring transactions and fee sharing with MBA amounted to $128 and $2,397, respectively. There was no such expense for the year ended December 31, 2009.</w:t>
      </w:r>
    </w:p>
    <w:p>
      <w:pPr>
        <w:spacing w:after="0" w:line="105" w:lineRule="exact"/>
        <w:rPr>
          <w:sz w:val="20"/>
          <w:szCs w:val="20"/>
          <w:color w:val="auto"/>
        </w:rPr>
      </w:pPr>
    </w:p>
    <w:p>
      <w:pPr>
        <w:ind w:left="460" w:hanging="456"/>
        <w:spacing w:after="0"/>
        <w:tabs>
          <w:tab w:leader="none" w:pos="460" w:val="left"/>
        </w:tabs>
        <w:numPr>
          <w:ilvl w:val="0"/>
          <w:numId w:val="7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REGULATORY AUTHORITIES</w:t>
      </w:r>
    </w:p>
    <w:p>
      <w:pPr>
        <w:spacing w:after="0" w:line="79" w:lineRule="exact"/>
        <w:rPr>
          <w:sz w:val="20"/>
          <w:szCs w:val="20"/>
          <w:color w:val="auto"/>
        </w:rPr>
      </w:pPr>
    </w:p>
    <w:p>
      <w:pPr>
        <w:jc w:val="both"/>
        <w:ind w:right="20" w:firstLine="457"/>
        <w:spacing w:after="0" w:line="264" w:lineRule="auto"/>
        <w:rPr>
          <w:sz w:val="20"/>
          <w:szCs w:val="20"/>
          <w:color w:val="auto"/>
        </w:rPr>
      </w:pPr>
      <w:r>
        <w:rPr>
          <w:rFonts w:ascii="Arial" w:cs="Arial" w:eastAsia="Arial" w:hAnsi="Arial"/>
          <w:sz w:val="17"/>
          <w:szCs w:val="17"/>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December 31, 2010, LFNY’s regulatory net capital was $222,229, which exceeded the minimum requirement by $212,556.</w:t>
      </w:r>
    </w:p>
    <w:p>
      <w:pPr>
        <w:spacing w:after="0" w:line="119" w:lineRule="exact"/>
        <w:rPr>
          <w:sz w:val="20"/>
          <w:szCs w:val="20"/>
          <w:color w:val="auto"/>
        </w:rPr>
      </w:pPr>
    </w:p>
    <w:p>
      <w:pPr>
        <w:ind w:right="60" w:firstLine="457"/>
        <w:spacing w:after="0" w:line="268" w:lineRule="auto"/>
        <w:rPr>
          <w:sz w:val="20"/>
          <w:szCs w:val="20"/>
          <w:color w:val="auto"/>
        </w:rPr>
      </w:pPr>
      <w:r>
        <w:rPr>
          <w:rFonts w:ascii="Arial" w:cs="Arial" w:eastAsia="Arial" w:hAnsi="Arial"/>
          <w:sz w:val="17"/>
          <w:szCs w:val="17"/>
          <w:color w:val="auto"/>
        </w:rPr>
        <w:t>Certain U.K. subsidiaries of the Company, including LCL, Lazard Fund Managers Limited and Lazard Asset Management Limited (the “U.K. Subsidiaries”) are regulated by the Financial Services Authority. At December 31, 2010, the aggregate regulatory net capital of the U.K. Subsidiaries was $143,055, which exceeded the minimum requirement by $100,587.</w:t>
      </w:r>
    </w:p>
    <w:p>
      <w:pPr>
        <w:spacing w:after="0" w:line="11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December 31, 2010, the consolidated regulatory net capital of CFLF was $195,108, which exceeded the minimum requirement set for regulatory capital levels by $97,331.</w:t>
      </w:r>
    </w:p>
    <w:p>
      <w:pPr>
        <w:spacing w:after="0" w:line="105" w:lineRule="exact"/>
        <w:rPr>
          <w:sz w:val="20"/>
          <w:szCs w:val="20"/>
          <w:color w:val="auto"/>
        </w:rPr>
      </w:pPr>
    </w:p>
    <w:p>
      <w:pPr>
        <w:jc w:val="both"/>
        <w:ind w:right="40" w:firstLine="457"/>
        <w:spacing w:after="0" w:line="268" w:lineRule="auto"/>
        <w:rPr>
          <w:sz w:val="20"/>
          <w:szCs w:val="20"/>
          <w:color w:val="auto"/>
        </w:rPr>
      </w:pPr>
      <w:r>
        <w:rPr>
          <w:rFonts w:ascii="Arial" w:cs="Arial" w:eastAsia="Arial" w:hAnsi="Arial"/>
          <w:sz w:val="17"/>
          <w:szCs w:val="17"/>
          <w:color w:val="auto"/>
        </w:rPr>
        <w:t>Certain other U.S. and non-U.S. subsidiaries are subject to various capital adequacy requirements promulgated by various regulatory and exchange authorities in the countries in which they operate. At December 31, 2010, for those subsidiaries with regulatory capital requirements, their aggregate net capital was $116,748, which exceeded the minimum required capital by $93,439.</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2010, each of these subsidiaries individually was in compliance with its regulatory capital requirements.</w:t>
      </w:r>
    </w:p>
    <w:p>
      <w:pPr>
        <w:spacing w:after="0" w:line="157"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However, the Dodd-Frank Wall Street Reform and Consumer Protection Act (the “Dodd-Frank Act”), provides for the elimination of the SEC’s SIBHC program on July 21, 2011. Following this elimination, we will be required to be regulated on a comprehensive basis by another regulatory body, either in the U.S. or Europe, pursuant to relevant rules in Europe. The Dodd-Frank Act allows certain securities holding companies seeking consolidated supervision to elect to be regulated by the Board of Governors of the Federal Reserve. The Dodd-Frank Act could have other effects on us, which we are currently in the process of examining, including the impact of the elimination of the SIBHC program and the effects of various new regulations mandated by the Dodd-Frank Act.</w:t>
      </w:r>
    </w:p>
    <w:p>
      <w:pPr>
        <w:spacing w:after="0" w:line="108" w:lineRule="exact"/>
        <w:rPr>
          <w:sz w:val="20"/>
          <w:szCs w:val="20"/>
          <w:color w:val="auto"/>
        </w:rPr>
      </w:pPr>
    </w:p>
    <w:p>
      <w:pPr>
        <w:ind w:left="460" w:hanging="456"/>
        <w:spacing w:after="0"/>
        <w:tabs>
          <w:tab w:leader="none" w:pos="460" w:val="left"/>
        </w:tabs>
        <w:numPr>
          <w:ilvl w:val="0"/>
          <w:numId w:val="7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SEGMENT INFORMATION</w:t>
      </w:r>
    </w:p>
    <w:p>
      <w:pPr>
        <w:spacing w:after="0" w:line="79" w:lineRule="exact"/>
        <w:rPr>
          <w:sz w:val="20"/>
          <w:szCs w:val="20"/>
          <w:color w:val="auto"/>
        </w:rPr>
      </w:pPr>
    </w:p>
    <w:p>
      <w:pPr>
        <w:ind w:right="260" w:firstLine="457"/>
        <w:spacing w:after="0" w:line="280"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20"/>
          </w:cols>
          <w:pgMar w:left="240" w:top="448" w:right="23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to determine the allocation of resources and to assess its performance. The Company’s principal operating activities are included in two business segments: Financial Advisory (which includes providing general strategic and transaction-specific advice on M&amp;A and other strategic matters, restructurings, capital structure, capital raising and various other corporate finance matters),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segment information for the years ended December 31, 2010, 2009 and 2008 is prepared using the following methodology:</w:t>
      </w:r>
    </w:p>
    <w:p>
      <w:pPr>
        <w:spacing w:after="0" w:line="79" w:lineRule="exact"/>
        <w:rPr>
          <w:sz w:val="20"/>
          <w:szCs w:val="20"/>
          <w:color w:val="auto"/>
        </w:rPr>
      </w:pPr>
    </w:p>
    <w:p>
      <w:pPr>
        <w:ind w:left="780" w:hanging="319"/>
        <w:spacing w:after="0"/>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Revenue and expenses directly associated with each segment are included in determining operating income.</w:t>
      </w:r>
    </w:p>
    <w:p>
      <w:pPr>
        <w:spacing w:after="0" w:line="104" w:lineRule="exact"/>
        <w:rPr>
          <w:rFonts w:ascii="Arial" w:cs="Arial" w:eastAsia="Arial" w:hAnsi="Arial"/>
          <w:sz w:val="17"/>
          <w:szCs w:val="17"/>
          <w:color w:val="auto"/>
        </w:rPr>
      </w:pPr>
    </w:p>
    <w:p>
      <w:pPr>
        <w:ind w:left="780" w:right="60" w:hanging="319"/>
        <w:spacing w:after="0" w:line="280" w:lineRule="auto"/>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Expenses not directly associated with specific segments are allocated based on the most relevant measures applicable, including headcount, square footage and other factors.</w:t>
      </w:r>
    </w:p>
    <w:p>
      <w:pPr>
        <w:spacing w:after="0" w:line="26" w:lineRule="exact"/>
        <w:rPr>
          <w:rFonts w:ascii="Arial" w:cs="Arial" w:eastAsia="Arial" w:hAnsi="Arial"/>
          <w:sz w:val="17"/>
          <w:szCs w:val="17"/>
          <w:color w:val="auto"/>
        </w:rPr>
      </w:pPr>
    </w:p>
    <w:p>
      <w:pPr>
        <w:ind w:left="780" w:right="80" w:hanging="319"/>
        <w:spacing w:after="0" w:line="280" w:lineRule="auto"/>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05" w:lineRule="exact"/>
        <w:rPr>
          <w:sz w:val="20"/>
          <w:szCs w:val="20"/>
          <w:color w:val="auto"/>
        </w:rPr>
      </w:pPr>
    </w:p>
    <w:p>
      <w:pPr>
        <w:ind w:right="460" w:firstLine="457"/>
        <w:spacing w:after="0" w:line="280" w:lineRule="auto"/>
        <w:rPr>
          <w:sz w:val="20"/>
          <w:szCs w:val="20"/>
          <w:color w:val="auto"/>
        </w:rPr>
      </w:pPr>
      <w:r>
        <w:rPr>
          <w:rFonts w:ascii="Arial" w:cs="Arial" w:eastAsia="Arial" w:hAnsi="Arial"/>
          <w:sz w:val="17"/>
          <w:szCs w:val="17"/>
          <w:color w:val="auto"/>
        </w:rPr>
        <w:t>The Company allocates investment gains and losses, interest income and interest expense among the various segments based on the segment in which the underlying asset or liability is reported.</w:t>
      </w:r>
    </w:p>
    <w:p>
      <w:pPr>
        <w:spacing w:after="0" w:line="105"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88" w:lineRule="exact"/>
        <w:rPr>
          <w:sz w:val="20"/>
          <w:szCs w:val="20"/>
          <w:color w:val="auto"/>
        </w:rPr>
      </w:pPr>
    </w:p>
    <w:p>
      <w:pPr>
        <w:ind w:right="280" w:firstLine="457"/>
        <w:spacing w:after="0" w:line="280" w:lineRule="auto"/>
        <w:rPr>
          <w:sz w:val="20"/>
          <w:szCs w:val="20"/>
          <w:color w:val="auto"/>
        </w:rPr>
      </w:pPr>
      <w:r>
        <w:rPr>
          <w:rFonts w:ascii="Arial" w:cs="Arial" w:eastAsia="Arial" w:hAnsi="Arial"/>
          <w:sz w:val="17"/>
          <w:szCs w:val="17"/>
          <w:color w:val="auto"/>
        </w:rPr>
        <w:t>There were no clients for the years ended December 31, 2010, 2009 and 2008 that individually constituted more than 10% of the net revenue of either of the Company’s business segments.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340"/>
          </w:cols>
          <w:pgMar w:left="240" w:top="448" w:right="31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right="840" w:firstLine="457"/>
        <w:spacing w:after="0" w:line="280" w:lineRule="auto"/>
        <w:rPr>
          <w:sz w:val="20"/>
          <w:szCs w:val="20"/>
          <w:color w:val="auto"/>
        </w:rPr>
      </w:pPr>
      <w:r>
        <w:rPr>
          <w:rFonts w:ascii="Arial" w:cs="Arial" w:eastAsia="Arial" w:hAnsi="Arial"/>
          <w:sz w:val="17"/>
          <w:szCs w:val="17"/>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40" w:type="dxa"/>
            <w:vAlign w:val="bottom"/>
            <w:gridSpan w:val="9"/>
          </w:tcPr>
          <w:p>
            <w:pPr>
              <w:jc w:val="center"/>
              <w:ind w:right="220"/>
              <w:spacing w:after="0"/>
              <w:rPr>
                <w:sz w:val="20"/>
                <w:szCs w:val="20"/>
                <w:color w:val="auto"/>
              </w:rPr>
            </w:pPr>
            <w:r>
              <w:rPr>
                <w:rFonts w:ascii="Arial" w:cs="Arial" w:eastAsia="Arial" w:hAnsi="Arial"/>
                <w:sz w:val="13"/>
                <w:szCs w:val="13"/>
                <w:b w:val="1"/>
                <w:bCs w:val="1"/>
                <w:color w:val="auto"/>
                <w:w w:val="92"/>
              </w:rPr>
              <w:t>As Of Or For The Year Ended 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7"/>
              <w:spacing w:after="0" w:line="137" w:lineRule="exact"/>
              <w:rPr>
                <w:sz w:val="20"/>
                <w:szCs w:val="20"/>
                <w:color w:val="auto"/>
              </w:rPr>
            </w:pPr>
            <w:r>
              <w:rPr>
                <w:rFonts w:ascii="Arial" w:cs="Arial" w:eastAsia="Arial" w:hAnsi="Arial"/>
                <w:sz w:val="13"/>
                <w:szCs w:val="13"/>
                <w:b w:val="1"/>
                <w:bCs w:val="1"/>
                <w:color w:val="auto"/>
              </w:rPr>
              <w:t>2010</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6"/>
              <w:spacing w:after="0" w:line="137" w:lineRule="exact"/>
              <w:rPr>
                <w:sz w:val="20"/>
                <w:szCs w:val="20"/>
                <w:color w:val="auto"/>
              </w:rPr>
            </w:pPr>
            <w:r>
              <w:rPr>
                <w:rFonts w:ascii="Arial" w:cs="Arial" w:eastAsia="Arial" w:hAnsi="Arial"/>
                <w:sz w:val="13"/>
                <w:szCs w:val="13"/>
                <w:b w:val="1"/>
                <w:bCs w:val="1"/>
                <w:color w:val="auto"/>
              </w:rPr>
              <w:t>2009</w:t>
            </w: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6"/>
              <w:spacing w:after="0" w:line="137" w:lineRule="exact"/>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Financial Advisory</w:t>
            </w:r>
          </w:p>
        </w:tc>
        <w:tc>
          <w:tcPr>
            <w:tcW w:w="524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1,119,867</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986,820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1,022,913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40" w:type="dxa"/>
            <w:vAlign w:val="bottom"/>
          </w:tcPr>
          <w:p>
            <w:pPr>
              <w:ind w:left="1360"/>
              <w:spacing w:after="0"/>
              <w:rPr>
                <w:sz w:val="20"/>
                <w:szCs w:val="20"/>
                <w:color w:val="auto"/>
              </w:rPr>
            </w:pPr>
            <w:r>
              <w:rPr>
                <w:rFonts w:ascii="Arial" w:cs="Arial" w:eastAsia="Arial" w:hAnsi="Arial"/>
                <w:sz w:val="17"/>
                <w:szCs w:val="17"/>
                <w:color w:val="auto"/>
              </w:rPr>
              <w:t>Operating Expenses (a)</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950,968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998,727</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796,970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24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168,899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(11,907)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225,943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40" w:type="dxa"/>
            <w:vAlign w:val="bottom"/>
            <w:vMerge w:val="restart"/>
          </w:tcPr>
          <w:p>
            <w:pPr>
              <w:ind w:left="136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799,090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706,785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739,444</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 Management</w:t>
            </w:r>
          </w:p>
        </w:tc>
        <w:tc>
          <w:tcPr>
            <w:tcW w:w="524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849,662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601,652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614,781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40" w:type="dxa"/>
            <w:vAlign w:val="bottom"/>
          </w:tcPr>
          <w:p>
            <w:pPr>
              <w:ind w:left="1360"/>
              <w:spacing w:after="0"/>
              <w:rPr>
                <w:sz w:val="20"/>
                <w:szCs w:val="20"/>
                <w:color w:val="auto"/>
              </w:rPr>
            </w:pPr>
            <w:r>
              <w:rPr>
                <w:rFonts w:ascii="Arial" w:cs="Arial" w:eastAsia="Arial" w:hAnsi="Arial"/>
                <w:sz w:val="17"/>
                <w:szCs w:val="17"/>
                <w:color w:val="auto"/>
              </w:rPr>
              <w:t>Operating Expenses (a)</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584,348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504,452</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678,170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24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265,314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97,200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40" w:type="dxa"/>
            <w:vAlign w:val="bottom"/>
            <w:vMerge w:val="restart"/>
          </w:tcPr>
          <w:p>
            <w:pPr>
              <w:ind w:left="136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687,323</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702,775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419,858</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Corporate</w:t>
            </w:r>
          </w:p>
        </w:tc>
        <w:tc>
          <w:tcPr>
            <w:tcW w:w="524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(64,161)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(57,954)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(80,487)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40" w:type="dxa"/>
            <w:vAlign w:val="bottom"/>
          </w:tcPr>
          <w:p>
            <w:pPr>
              <w:ind w:left="1360"/>
              <w:spacing w:after="0"/>
              <w:rPr>
                <w:sz w:val="20"/>
                <w:szCs w:val="20"/>
                <w:color w:val="auto"/>
              </w:rPr>
            </w:pPr>
            <w:r>
              <w:rPr>
                <w:rFonts w:ascii="Arial" w:cs="Arial" w:eastAsia="Arial" w:hAnsi="Arial"/>
                <w:sz w:val="17"/>
                <w:szCs w:val="17"/>
                <w:color w:val="auto"/>
              </w:rPr>
              <w:t>Operating Expenses (a)</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126,402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209,573</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56,927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24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Operating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(190,563)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(267,527)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(137,414)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40" w:type="dxa"/>
            <w:vAlign w:val="bottom"/>
            <w:vMerge w:val="restart"/>
          </w:tcPr>
          <w:p>
            <w:pPr>
              <w:ind w:left="136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1,936,119</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w w:val="89"/>
              </w:rPr>
              <w:t>1,738,202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1,703,629</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524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1,905,368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89"/>
              </w:rPr>
              <w:t>1,530,518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1,557,207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40" w:type="dxa"/>
            <w:vAlign w:val="bottom"/>
          </w:tcPr>
          <w:p>
            <w:pPr>
              <w:ind w:left="1360"/>
              <w:spacing w:after="0"/>
              <w:rPr>
                <w:sz w:val="20"/>
                <w:szCs w:val="20"/>
                <w:color w:val="auto"/>
              </w:rPr>
            </w:pPr>
            <w:r>
              <w:rPr>
                <w:rFonts w:ascii="Arial" w:cs="Arial" w:eastAsia="Arial" w:hAnsi="Arial"/>
                <w:sz w:val="17"/>
                <w:szCs w:val="17"/>
                <w:color w:val="auto"/>
              </w:rPr>
              <w:t>Operating Expenses (a)</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1,661,718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w w:val="89"/>
              </w:rPr>
              <w:t>1,712,752</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1,532,067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24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243,650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(182,234)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40" w:type="dxa"/>
            <w:vAlign w:val="bottom"/>
            <w:vMerge w:val="restart"/>
          </w:tcPr>
          <w:p>
            <w:pPr>
              <w:ind w:left="1360"/>
              <w:spacing w:after="0"/>
              <w:rPr>
                <w:sz w:val="20"/>
                <w:szCs w:val="20"/>
                <w:color w:val="auto"/>
              </w:rPr>
            </w:pPr>
            <w:r>
              <w:rPr>
                <w:rFonts w:ascii="Arial" w:cs="Arial" w:eastAsia="Arial" w:hAnsi="Arial"/>
                <w:sz w:val="17"/>
                <w:szCs w:val="17"/>
                <w:color w:val="auto"/>
              </w:rPr>
              <w:t>Total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3,422,532</w:t>
            </w:r>
          </w:p>
        </w:tc>
        <w:tc>
          <w:tcPr>
            <w:tcW w:w="24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w w:val="89"/>
              </w:rPr>
              <w:t>3,147,762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2,862,931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hanging="456"/>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Operating expenses include depreciation and amortization of property as set forth in table below.</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56"/>
        </w:trPr>
        <w:tc>
          <w:tcPr>
            <w:tcW w:w="30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w w:val="90"/>
              </w:rPr>
              <w:t>Year Ended December 31,</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9"/>
              <w:spacing w:after="0" w:line="137" w:lineRule="exact"/>
              <w:rPr>
                <w:sz w:val="20"/>
                <w:szCs w:val="20"/>
                <w:color w:val="auto"/>
              </w:rPr>
            </w:pPr>
            <w:r>
              <w:rPr>
                <w:rFonts w:ascii="Arial" w:cs="Arial" w:eastAsia="Arial" w:hAnsi="Arial"/>
                <w:sz w:val="13"/>
                <w:szCs w:val="13"/>
                <w:b w:val="1"/>
                <w:bCs w:val="1"/>
                <w:color w:val="auto"/>
              </w:rPr>
              <w:t>2010</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9"/>
              <w:spacing w:after="0" w:line="137" w:lineRule="exact"/>
              <w:rPr>
                <w:sz w:val="20"/>
                <w:szCs w:val="20"/>
                <w:color w:val="auto"/>
              </w:rPr>
            </w:pPr>
            <w:r>
              <w:rPr>
                <w:rFonts w:ascii="Arial" w:cs="Arial" w:eastAsia="Arial" w:hAnsi="Arial"/>
                <w:sz w:val="13"/>
                <w:szCs w:val="13"/>
                <w:b w:val="1"/>
                <w:bCs w:val="1"/>
                <w:color w:val="auto"/>
              </w:rPr>
              <w:t>2009</w:t>
            </w: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9"/>
              <w:spacing w:after="0" w:line="137" w:lineRule="exact"/>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Financial Advisory</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6,718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5,933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5,583</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Arial" w:cs="Arial" w:eastAsia="Arial" w:hAnsi="Arial"/>
                <w:sz w:val="17"/>
                <w:szCs w:val="17"/>
                <w:color w:val="auto"/>
              </w:rPr>
              <w:t>Asset Management</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3,693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7"/>
                <w:szCs w:val="17"/>
                <w:color w:val="auto"/>
              </w:rPr>
              <w:t>3,557</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3,451</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Corporate</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12,301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88"/>
              </w:rPr>
              <w:t>13,051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11,791</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20" w:type="dxa"/>
            <w:vAlign w:val="bottom"/>
            <w:vMerge w:val="continue"/>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22,712</w:t>
            </w:r>
          </w:p>
        </w:tc>
        <w:tc>
          <w:tcPr>
            <w:tcW w:w="5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7"/>
                <w:szCs w:val="17"/>
                <w:color w:val="auto"/>
                <w:w w:val="88"/>
              </w:rPr>
              <w:t>22,541</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20,825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960" w:type="dxa"/>
            <w:vAlign w:val="bottom"/>
            <w:vMerge w:val="restart"/>
          </w:tcPr>
          <w:p>
            <w:pPr>
              <w:jc w:val="right"/>
              <w:ind w:right="1915"/>
              <w:spacing w:after="0"/>
              <w:rPr>
                <w:sz w:val="20"/>
                <w:szCs w:val="20"/>
                <w:color w:val="auto"/>
              </w:rPr>
            </w:pPr>
            <w:r>
              <w:rPr>
                <w:rFonts w:ascii="Arial" w:cs="Arial" w:eastAsia="Arial" w:hAnsi="Arial"/>
                <w:sz w:val="17"/>
                <w:szCs w:val="17"/>
                <w:color w:val="auto"/>
              </w:rPr>
              <w:t>131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51" w:lineRule="exact"/>
        <w:rPr>
          <w:sz w:val="20"/>
          <w:szCs w:val="20"/>
          <w:color w:val="auto"/>
        </w:rPr>
      </w:pPr>
    </w:p>
    <w:p>
      <w:pPr>
        <w:ind w:left="460" w:right="240" w:hanging="456"/>
        <w:spacing w:after="0" w:line="280"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Operating income (loss) in 2010, 2009 and 2008 was significantly impacted by certain charges. Such impact, including the amounts attributable to each of the Company’s business segments, is described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3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w w:val="90"/>
              </w:rPr>
              <w:t>Year Ended December 31,</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700" w:type="dxa"/>
            <w:vAlign w:val="bottom"/>
            <w:tcBorders>
              <w:bottom w:val="single" w:sz="8" w:color="auto"/>
            </w:tcBorders>
          </w:tcPr>
          <w:p>
            <w:pPr>
              <w:jc w:val="right"/>
              <w:ind w:right="136"/>
              <w:spacing w:after="0" w:line="137" w:lineRule="exact"/>
              <w:rPr>
                <w:sz w:val="20"/>
                <w:szCs w:val="20"/>
                <w:color w:val="auto"/>
              </w:rPr>
            </w:pPr>
            <w:r>
              <w:rPr>
                <w:rFonts w:ascii="Arial" w:cs="Arial" w:eastAsia="Arial" w:hAnsi="Arial"/>
                <w:sz w:val="13"/>
                <w:szCs w:val="13"/>
                <w:b w:val="1"/>
                <w:bCs w:val="1"/>
                <w:color w:val="auto"/>
              </w:rPr>
              <w:t>2010</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6"/>
              <w:spacing w:after="0" w:line="137" w:lineRule="exact"/>
              <w:rPr>
                <w:sz w:val="20"/>
                <w:szCs w:val="20"/>
                <w:color w:val="auto"/>
              </w:rPr>
            </w:pPr>
            <w:r>
              <w:rPr>
                <w:rFonts w:ascii="Arial" w:cs="Arial" w:eastAsia="Arial" w:hAnsi="Arial"/>
                <w:sz w:val="13"/>
                <w:szCs w:val="13"/>
                <w:b w:val="1"/>
                <w:bCs w:val="1"/>
                <w:color w:val="auto"/>
              </w:rPr>
              <w:t>2009</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7"/>
              <w:spacing w:after="0" w:line="137"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Financial Advisory</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7"/>
                <w:szCs w:val="17"/>
                <w:color w:val="auto"/>
              </w:rPr>
              <w:t>Operating income (loss), as reported above</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$ 168,899</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(11,907)</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225,943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Special items:</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300" w:type="dxa"/>
            <w:vAlign w:val="bottom"/>
          </w:tcPr>
          <w:p>
            <w:pPr>
              <w:ind w:left="400"/>
              <w:spacing w:after="0"/>
              <w:rPr>
                <w:sz w:val="20"/>
                <w:szCs w:val="20"/>
                <w:color w:val="auto"/>
              </w:rPr>
            </w:pPr>
            <w:r>
              <w:rPr>
                <w:rFonts w:ascii="Arial" w:cs="Arial" w:eastAsia="Arial" w:hAnsi="Arial"/>
                <w:sz w:val="17"/>
                <w:szCs w:val="17"/>
                <w:color w:val="auto"/>
                <w:w w:val="96"/>
              </w:rPr>
              <w:t>Acceleration of amortization expense pertaining to the amendment of Lazard’s retirement policy with respect</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20"/>
              <w:spacing w:after="0"/>
              <w:rPr>
                <w:sz w:val="20"/>
                <w:szCs w:val="20"/>
                <w:color w:val="auto"/>
              </w:rPr>
            </w:pPr>
            <w:r>
              <w:rPr>
                <w:rFonts w:ascii="Arial" w:cs="Arial" w:eastAsia="Arial" w:hAnsi="Arial"/>
                <w:sz w:val="17"/>
                <w:szCs w:val="17"/>
                <w:color w:val="auto"/>
              </w:rPr>
              <w:t>to RSU awards</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19,571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Acceleration of amortization expense related to previously awarded deferred cash incentive awards</w:t>
            </w: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48,533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20" w:type="dxa"/>
            <w:vAlign w:val="bottom"/>
            <w:gridSpan w:val="2"/>
          </w:tcPr>
          <w:p>
            <w:pPr>
              <w:spacing w:after="0"/>
              <w:rPr>
                <w:sz w:val="20"/>
                <w:szCs w:val="20"/>
                <w:color w:val="auto"/>
              </w:rPr>
            </w:pPr>
            <w:r>
              <w:rPr>
                <w:rFonts w:ascii="Arial" w:cs="Arial" w:eastAsia="Arial" w:hAnsi="Arial"/>
                <w:sz w:val="17"/>
                <w:szCs w:val="17"/>
                <w:color w:val="auto"/>
              </w:rPr>
              <w:t>Operating income, excluding impact of special items</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$ 188,470</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36,626</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225,943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 Management</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7"/>
                <w:szCs w:val="17"/>
                <w:color w:val="auto"/>
              </w:rPr>
              <w:t>Operating income (loss), as reported above</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$ 265,314</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97,200</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(63,389)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Special items:</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7"/>
                <w:szCs w:val="17"/>
                <w:color w:val="auto"/>
              </w:rPr>
              <w:t>Impact of the LAM Merger</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197,550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6"/>
              </w:rPr>
              <w:t>Acceleration of amortization expense pertaining to the amendment of Lazard’s retirement policy with respect</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 RSU awards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7"/>
                <w:szCs w:val="17"/>
                <w:color w:val="auto"/>
              </w:rPr>
              <w:t>Acceleration of amortization expense related to previously awarded deferred cash incentive awards</w:t>
            </w: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excluding impact of special items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$ 268,216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7"/>
              </w:rPr>
              <w:t>104,708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134,161</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Corporate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3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Operating loss, as reported above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$(190,563)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7"/>
              </w:rPr>
              <w:t>(267,527)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(137,414)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7"/>
                <w:szCs w:val="17"/>
                <w:color w:val="auto"/>
              </w:rPr>
              <w:t>Special items:</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Impact of the LAM Merger</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7"/>
                <w:szCs w:val="17"/>
                <w:color w:val="auto"/>
              </w:rPr>
              <w:t>Restructuring expense</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87,108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62,550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6"/>
              </w:rPr>
              <w:t>Acceleration of amortization expense pertaining to the amendment of Lazard’s retirement policy with respect</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 RSU awards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300" w:type="dxa"/>
            <w:vAlign w:val="bottom"/>
          </w:tcPr>
          <w:p>
            <w:pPr>
              <w:ind w:left="400"/>
              <w:spacing w:after="0"/>
              <w:rPr>
                <w:sz w:val="20"/>
                <w:szCs w:val="20"/>
                <w:color w:val="auto"/>
              </w:rPr>
            </w:pPr>
            <w:r>
              <w:rPr>
                <w:rFonts w:ascii="Arial" w:cs="Arial" w:eastAsia="Arial" w:hAnsi="Arial"/>
                <w:sz w:val="17"/>
                <w:szCs w:val="17"/>
                <w:color w:val="auto"/>
                <w:w w:val="98"/>
              </w:rPr>
              <w:t>Acceleration of amortization expense related to the vesting of RSUs held by Lazard’s former Chairman and</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20"/>
              <w:spacing w:after="0"/>
              <w:rPr>
                <w:sz w:val="20"/>
                <w:szCs w:val="20"/>
                <w:color w:val="auto"/>
              </w:rPr>
            </w:pPr>
            <w:r>
              <w:rPr>
                <w:rFonts w:ascii="Arial" w:cs="Arial" w:eastAsia="Arial" w:hAnsi="Arial"/>
                <w:sz w:val="17"/>
                <w:szCs w:val="17"/>
                <w:color w:val="auto"/>
              </w:rPr>
              <w:t>Chief Executive Officer</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86,514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Acceleration of amortization expense related to previously awarded deferred cash incentive awards</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4,471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7"/>
                <w:szCs w:val="17"/>
                <w:color w:val="auto"/>
              </w:rPr>
              <w:t>Benefit pursuant to tax receivable agreement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(8,834)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Operating loss, excluding impact of special items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(109,902)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7"/>
              </w:rPr>
              <w:t>(113,992)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(135,414)</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Consolidated</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3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 as reported above</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$ 243,650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7"/>
              </w:rPr>
              <w:t>(182,234)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25,140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7"/>
                <w:szCs w:val="17"/>
                <w:color w:val="auto"/>
              </w:rPr>
              <w:t>Special items:</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Impact of the LAM Merger</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199,550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7"/>
                <w:szCs w:val="17"/>
                <w:color w:val="auto"/>
              </w:rPr>
              <w:t>Restructuring expense</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87,108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62,550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6"/>
              </w:rPr>
              <w:t>Acceleration of amortization expense pertaining to the amendment of Lazard’s retirement policy with respect</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 RSU awards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24,860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300" w:type="dxa"/>
            <w:vAlign w:val="bottom"/>
          </w:tcPr>
          <w:p>
            <w:pPr>
              <w:ind w:left="400"/>
              <w:spacing w:after="0"/>
              <w:rPr>
                <w:sz w:val="20"/>
                <w:szCs w:val="20"/>
                <w:color w:val="auto"/>
              </w:rPr>
            </w:pPr>
            <w:r>
              <w:rPr>
                <w:rFonts w:ascii="Arial" w:cs="Arial" w:eastAsia="Arial" w:hAnsi="Arial"/>
                <w:sz w:val="17"/>
                <w:szCs w:val="17"/>
                <w:color w:val="auto"/>
                <w:w w:val="98"/>
              </w:rPr>
              <w:t>Acceleration of amortization expense related to the vesting of RSUs held by Lazard’s former Chairman and</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20"/>
              <w:spacing w:after="0"/>
              <w:rPr>
                <w:sz w:val="20"/>
                <w:szCs w:val="20"/>
                <w:color w:val="auto"/>
              </w:rPr>
            </w:pPr>
            <w:r>
              <w:rPr>
                <w:rFonts w:ascii="Arial" w:cs="Arial" w:eastAsia="Arial" w:hAnsi="Arial"/>
                <w:sz w:val="17"/>
                <w:szCs w:val="17"/>
                <w:color w:val="auto"/>
              </w:rPr>
              <w:t>Chief Executive Officer</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86,514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Acceleration of amortization expense related to previously awarded deferred cash incentive awards</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60,512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7"/>
                <w:szCs w:val="17"/>
                <w:color w:val="auto"/>
              </w:rPr>
              <w:t>Benefit pursuant to tax receivable agreement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(8,834)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excluding impact of special items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$ 346,784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27,342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224,690</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jc w:val="right"/>
              <w:ind w:right="2395"/>
              <w:spacing w:after="0"/>
              <w:rPr>
                <w:sz w:val="20"/>
                <w:szCs w:val="20"/>
                <w:color w:val="auto"/>
              </w:rPr>
            </w:pPr>
            <w:r>
              <w:rPr>
                <w:rFonts w:ascii="Arial" w:cs="Arial" w:eastAsia="Arial" w:hAnsi="Arial"/>
                <w:sz w:val="17"/>
                <w:szCs w:val="17"/>
                <w:color w:val="auto"/>
              </w:rPr>
              <w:t>132</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83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(dollars in thousands, except for per share data, unless otherwise noted)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 Information</w:t>
      </w:r>
    </w:p>
    <w:p>
      <w:pPr>
        <w:spacing w:after="0" w:line="83" w:lineRule="exact"/>
        <w:rPr>
          <w:sz w:val="20"/>
          <w:szCs w:val="20"/>
          <w:color w:val="auto"/>
        </w:rPr>
      </w:pPr>
    </w:p>
    <w:p>
      <w:pPr>
        <w:jc w:val="both"/>
        <w:ind w:right="40" w:firstLine="457"/>
        <w:spacing w:after="0" w:line="268" w:lineRule="auto"/>
        <w:rPr>
          <w:sz w:val="20"/>
          <w:szCs w:val="20"/>
          <w:color w:val="auto"/>
        </w:rPr>
      </w:pPr>
      <w:r>
        <w:rPr>
          <w:rFonts w:ascii="Arial" w:cs="Arial" w:eastAsia="Arial" w:hAnsi="Arial"/>
          <w:sz w:val="17"/>
          <w:szCs w:val="17"/>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15" w:lineRule="exact"/>
        <w:rPr>
          <w:sz w:val="20"/>
          <w:szCs w:val="20"/>
          <w:color w:val="auto"/>
        </w:rPr>
      </w:pPr>
    </w:p>
    <w:p>
      <w:pPr>
        <w:ind w:firstLine="457"/>
        <w:spacing w:after="0" w:line="280" w:lineRule="auto"/>
        <w:rPr>
          <w:sz w:val="20"/>
          <w:szCs w:val="20"/>
          <w:color w:val="auto"/>
        </w:rPr>
      </w:pPr>
      <w:r>
        <w:rPr>
          <w:rFonts w:ascii="Arial" w:cs="Arial" w:eastAsia="Arial" w:hAnsi="Arial"/>
          <w:sz w:val="17"/>
          <w:szCs w:val="17"/>
          <w:color w:val="auto"/>
        </w:rPr>
        <w:t>The following table sets forth the net revenue from, and identifiable assets for, the Company and its consolidated subsidiaries by geographic region allocated on the basis described above.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gridSpan w:val="10"/>
          </w:tcPr>
          <w:p>
            <w:pPr>
              <w:jc w:val="center"/>
              <w:ind w:right="200"/>
              <w:spacing w:after="0"/>
              <w:rPr>
                <w:sz w:val="20"/>
                <w:szCs w:val="20"/>
                <w:color w:val="auto"/>
              </w:rPr>
            </w:pPr>
            <w:r>
              <w:rPr>
                <w:rFonts w:ascii="Arial" w:cs="Arial" w:eastAsia="Arial" w:hAnsi="Arial"/>
                <w:sz w:val="13"/>
                <w:szCs w:val="13"/>
                <w:b w:val="1"/>
                <w:bCs w:val="1"/>
                <w:color w:val="auto"/>
                <w:w w:val="91"/>
              </w:rPr>
              <w:t>As Of Or For The Year Ended December 31,</w:t>
            </w:r>
          </w:p>
        </w:tc>
        <w:tc>
          <w:tcPr>
            <w:tcW w:w="0" w:type="dxa"/>
            <w:vAlign w:val="bottom"/>
          </w:tcPr>
          <w:p>
            <w:pPr>
              <w:spacing w:after="0"/>
              <w:rPr>
                <w:sz w:val="1"/>
                <w:szCs w:val="1"/>
                <w:color w:val="auto"/>
              </w:rPr>
            </w:pPr>
          </w:p>
        </w:tc>
      </w:tr>
      <w:tr>
        <w:trPr>
          <w:trHeight w:val="137"/>
        </w:trPr>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7"/>
              <w:spacing w:after="0" w:line="137" w:lineRule="exact"/>
              <w:rPr>
                <w:sz w:val="20"/>
                <w:szCs w:val="20"/>
                <w:color w:val="auto"/>
              </w:rPr>
            </w:pPr>
            <w:r>
              <w:rPr>
                <w:rFonts w:ascii="Arial" w:cs="Arial" w:eastAsia="Arial" w:hAnsi="Arial"/>
                <w:sz w:val="13"/>
                <w:szCs w:val="13"/>
                <w:b w:val="1"/>
                <w:bCs w:val="1"/>
                <w:color w:val="auto"/>
              </w:rPr>
              <w:t>2010</w:t>
            </w: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6"/>
              <w:spacing w:after="0" w:line="137" w:lineRule="exact"/>
              <w:rPr>
                <w:sz w:val="20"/>
                <w:szCs w:val="20"/>
                <w:color w:val="auto"/>
              </w:rPr>
            </w:pPr>
            <w:r>
              <w:rPr>
                <w:rFonts w:ascii="Arial" w:cs="Arial" w:eastAsia="Arial" w:hAnsi="Arial"/>
                <w:sz w:val="13"/>
                <w:szCs w:val="13"/>
                <w:b w:val="1"/>
                <w:bCs w:val="1"/>
                <w:color w:val="auto"/>
              </w:rPr>
              <w:t>2009</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6"/>
              <w:spacing w:after="0" w:line="137"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Revenue: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United States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1,161,071</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803,859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793,023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Kingdom</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215,243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191,521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France</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261,085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247,510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257,381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Western Europe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141,343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175,231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Rest of World</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126,626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112,397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124,087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7"/>
              </w:rPr>
              <w:t>1,905,368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7"/>
              </w:rPr>
              <w:t>1,530,518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1,557,207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Operating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0" w:type="dxa"/>
            <w:vAlign w:val="bottom"/>
          </w:tcPr>
          <w:p>
            <w:pPr>
              <w:spacing w:after="0"/>
              <w:rPr>
                <w:sz w:val="17"/>
                <w:szCs w:val="17"/>
                <w:color w:val="auto"/>
              </w:rPr>
            </w:pPr>
          </w:p>
        </w:tc>
        <w:tc>
          <w:tcPr>
            <w:tcW w:w="6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223,341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(155,645)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(52,658)</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United Kingdom</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4,867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(11,485)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France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23,092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Other Western Europe</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(9,838)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(3,071)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 of World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60" w:type="dxa"/>
            <w:vAlign w:val="bottom"/>
            <w:vMerge w:val="restart"/>
          </w:tcPr>
          <w:p>
            <w:pPr>
              <w:ind w:left="120"/>
              <w:spacing w:after="0"/>
              <w:rPr>
                <w:sz w:val="20"/>
                <w:szCs w:val="20"/>
                <w:color w:val="auto"/>
              </w:rPr>
            </w:pPr>
            <w:r>
              <w:rPr>
                <w:rFonts w:ascii="Arial" w:cs="Arial" w:eastAsia="Arial" w:hAnsi="Arial"/>
                <w:sz w:val="17"/>
                <w:szCs w:val="17"/>
                <w:color w:val="auto"/>
              </w:rPr>
              <w:t>Total (c)</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243,650</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(182,234)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25,140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0" w:type="dxa"/>
            <w:vAlign w:val="bottom"/>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Identifiable Assets: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United States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1,821,992</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1,589,720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1,145,737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Kingdom</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324,309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277,751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France</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883,932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908,137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1,128,714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Western Europe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141,216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159,525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Rest of World</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251,083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212,629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164,964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7"/>
              </w:rPr>
              <w:t>3,422,532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7"/>
              </w:rPr>
              <w:t>3,147,762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2,862,931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5580" w:right="1020" w:hanging="5576"/>
        <w:spacing w:after="0" w:line="456" w:lineRule="auto"/>
        <w:tabs>
          <w:tab w:leader="none" w:pos="454" w:val="left"/>
        </w:tabs>
        <w:numPr>
          <w:ilvl w:val="0"/>
          <w:numId w:val="76"/>
        </w:numPr>
        <w:rPr>
          <w:rFonts w:ascii="Arial" w:cs="Arial" w:eastAsia="Arial" w:hAnsi="Arial"/>
          <w:sz w:val="17"/>
          <w:szCs w:val="17"/>
          <w:color w:val="auto"/>
        </w:rPr>
      </w:pPr>
      <w:r>
        <w:rPr>
          <w:rFonts w:ascii="Arial" w:cs="Arial" w:eastAsia="Arial" w:hAnsi="Arial"/>
          <w:sz w:val="17"/>
          <w:szCs w:val="17"/>
          <w:color w:val="auto"/>
        </w:rPr>
        <w:t>As described in Note (b) above, operating income (loss) in 2010, 2009 and 2008 was significantly impacted by certain charges described therein. 133</w:t>
      </w:r>
    </w:p>
    <w:p>
      <w:pPr>
        <w:sectPr>
          <w:pgSz w:w="11900" w:h="16838" w:orient="portrait"/>
          <w:cols w:equalWidth="0" w:num="1">
            <w:col w:w="11320"/>
          </w:cols>
          <w:pgMar w:left="240" w:top="448" w:right="3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FINANCIAL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QUARTERLY RESULTS (UNAUDITED)</w:t>
      </w:r>
    </w:p>
    <w:p>
      <w:pPr>
        <w:spacing w:after="0" w:line="79" w:lineRule="exact"/>
        <w:rPr>
          <w:sz w:val="20"/>
          <w:szCs w:val="20"/>
          <w:color w:val="auto"/>
        </w:rPr>
      </w:pPr>
    </w:p>
    <w:p>
      <w:pPr>
        <w:ind w:right="160" w:firstLine="457"/>
        <w:spacing w:after="0" w:line="268" w:lineRule="auto"/>
        <w:rPr>
          <w:sz w:val="20"/>
          <w:szCs w:val="20"/>
          <w:color w:val="auto"/>
        </w:rPr>
      </w:pPr>
      <w:r>
        <w:rPr>
          <w:rFonts w:ascii="Arial" w:cs="Arial" w:eastAsia="Arial" w:hAnsi="Arial"/>
          <w:sz w:val="17"/>
          <w:szCs w:val="17"/>
          <w:color w:val="auto"/>
        </w:rPr>
        <w:t>The following represents the Company’s unaudited quarterly results for the years ended December 31, 2010 and 2009.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2010 Fiscal Quarter</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Borders>
              <w:bottom w:val="single" w:sz="8" w:color="auto"/>
            </w:tcBorders>
          </w:tcPr>
          <w:p>
            <w:pPr>
              <w:jc w:val="right"/>
              <w:ind w:right="119"/>
              <w:spacing w:after="0" w:line="137" w:lineRule="exact"/>
              <w:rPr>
                <w:sz w:val="20"/>
                <w:szCs w:val="20"/>
                <w:color w:val="auto"/>
              </w:rPr>
            </w:pPr>
            <w:r>
              <w:rPr>
                <w:rFonts w:ascii="Arial" w:cs="Arial" w:eastAsia="Arial" w:hAnsi="Arial"/>
                <w:sz w:val="13"/>
                <w:szCs w:val="13"/>
                <w:b w:val="1"/>
                <w:bCs w:val="1"/>
                <w:color w:val="auto"/>
              </w:rPr>
              <w:t>First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7" w:lineRule="exact"/>
              <w:rPr>
                <w:sz w:val="20"/>
                <w:szCs w:val="20"/>
                <w:color w:val="auto"/>
              </w:rPr>
            </w:pPr>
            <w:r>
              <w:rPr>
                <w:rFonts w:ascii="Arial" w:cs="Arial" w:eastAsia="Arial" w:hAnsi="Arial"/>
                <w:sz w:val="13"/>
                <w:szCs w:val="13"/>
                <w:b w:val="1"/>
                <w:bCs w:val="1"/>
                <w:color w:val="auto"/>
                <w:w w:val="85"/>
              </w:rPr>
              <w:t>Second</w:t>
            </w: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7"/>
              <w:spacing w:after="0" w:line="137" w:lineRule="exact"/>
              <w:rPr>
                <w:sz w:val="20"/>
                <w:szCs w:val="20"/>
                <w:color w:val="auto"/>
              </w:rPr>
            </w:pPr>
            <w:r>
              <w:rPr>
                <w:rFonts w:ascii="Arial" w:cs="Arial" w:eastAsia="Arial" w:hAnsi="Arial"/>
                <w:sz w:val="13"/>
                <w:szCs w:val="13"/>
                <w:b w:val="1"/>
                <w:bCs w:val="1"/>
                <w:color w:val="auto"/>
              </w:rPr>
              <w:t>Third</w:t>
            </w: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8"/>
              <w:spacing w:after="0" w:line="137" w:lineRule="exact"/>
              <w:rPr>
                <w:sz w:val="20"/>
                <w:szCs w:val="20"/>
                <w:color w:val="auto"/>
              </w:rPr>
            </w:pPr>
            <w:r>
              <w:rPr>
                <w:rFonts w:ascii="Arial" w:cs="Arial" w:eastAsia="Arial" w:hAnsi="Arial"/>
                <w:sz w:val="13"/>
                <w:szCs w:val="13"/>
                <w:b w:val="1"/>
                <w:bCs w:val="1"/>
                <w:color w:val="auto"/>
                <w:w w:val="97"/>
              </w:rPr>
              <w:t>Fourth</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160"/>
              <w:spacing w:after="0" w:line="137" w:lineRule="exact"/>
              <w:rPr>
                <w:sz w:val="20"/>
                <w:szCs w:val="20"/>
                <w:color w:val="auto"/>
              </w:rPr>
            </w:pPr>
            <w:r>
              <w:rPr>
                <w:rFonts w:ascii="Arial" w:cs="Arial" w:eastAsia="Arial" w:hAnsi="Arial"/>
                <w:sz w:val="13"/>
                <w:szCs w:val="13"/>
                <w:b w:val="1"/>
                <w:bCs w:val="1"/>
                <w:color w:val="auto"/>
              </w:rPr>
              <w:t>Year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(dollars</w:t>
            </w:r>
          </w:p>
        </w:tc>
        <w:tc>
          <w:tcPr>
            <w:tcW w:w="2500" w:type="dxa"/>
            <w:vAlign w:val="bottom"/>
            <w:gridSpan w:val="7"/>
          </w:tcPr>
          <w:p>
            <w:pPr>
              <w:jc w:val="right"/>
              <w:ind w:right="420"/>
              <w:spacing w:after="0" w:line="137" w:lineRule="exact"/>
              <w:rPr>
                <w:sz w:val="20"/>
                <w:szCs w:val="20"/>
                <w:color w:val="auto"/>
              </w:rPr>
            </w:pPr>
            <w:r>
              <w:rPr>
                <w:rFonts w:ascii="Arial" w:cs="Arial" w:eastAsia="Arial" w:hAnsi="Arial"/>
                <w:sz w:val="13"/>
                <w:szCs w:val="13"/>
                <w:b w:val="1"/>
                <w:bCs w:val="1"/>
                <w:color w:val="auto"/>
                <w:w w:val="91"/>
              </w:rPr>
              <w:t>in thousands, except per share data)</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Net revenue</w:t>
            </w:r>
          </w:p>
        </w:tc>
        <w:tc>
          <w:tcPr>
            <w:tcW w:w="20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$ 438,211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$ 419,035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$ 453,237</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w w:val="92"/>
              </w:rPr>
              <w:t>$ 594,885</w:t>
            </w: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$ 1,905,368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Operating expenses</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472,692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351,984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373,770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463,272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1,661,718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1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0"/>
              </w:rPr>
              <w:t>$ (34,481)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67,051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79,467</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w w:val="92"/>
              </w:rPr>
              <w:t>$ 131,613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243,650</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Net income (loss)</w:t>
            </w:r>
          </w:p>
        </w:tc>
        <w:tc>
          <w:tcPr>
            <w:tcW w:w="1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20" w:type="dxa"/>
            <w:vAlign w:val="bottom"/>
            <w:gridSpan w:val="2"/>
            <w:vMerge w:val="continue"/>
          </w:tcPr>
          <w:p>
            <w:pPr>
              <w:spacing w:after="0"/>
              <w:rPr>
                <w:sz w:val="17"/>
                <w:szCs w:val="17"/>
                <w:color w:val="auto"/>
              </w:rPr>
            </w:pPr>
          </w:p>
        </w:tc>
        <w:tc>
          <w:tcPr>
            <w:tcW w:w="2040" w:type="dxa"/>
            <w:vAlign w:val="bottom"/>
            <w:gridSpan w:val="3"/>
          </w:tcPr>
          <w:p>
            <w:pPr>
              <w:jc w:val="right"/>
              <w:ind w:right="200"/>
              <w:spacing w:after="0"/>
              <w:rPr>
                <w:sz w:val="20"/>
                <w:szCs w:val="20"/>
                <w:color w:val="auto"/>
              </w:rPr>
            </w:pPr>
            <w:r>
              <w:rPr>
                <w:rFonts w:ascii="Arial" w:cs="Arial" w:eastAsia="Arial" w:hAnsi="Arial"/>
                <w:sz w:val="17"/>
                <w:szCs w:val="17"/>
                <w:color w:val="auto"/>
              </w:rPr>
              <w:t>$ (40,894)</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53,528</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70,354</w:t>
            </w:r>
          </w:p>
        </w:tc>
        <w:tc>
          <w:tcPr>
            <w:tcW w:w="4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111,435</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194,423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Less - net income (loss) attributable to noncontrolling interests</w:t>
            </w:r>
          </w:p>
        </w:tc>
        <w:tc>
          <w:tcPr>
            <w:tcW w:w="1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11,585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19,444</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Net income (loss) attributable to Lazard Ltd</w:t>
            </w: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w w:val="90"/>
              </w:rPr>
              <w:t>$ (33,534)</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44,572</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64,091</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99,850</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174,979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Attributable to Lazard Ltd Class A common stockholders:</w:t>
            </w: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Net income (loss) per share of common stock:</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820"/>
              <w:spacing w:after="0"/>
              <w:rPr>
                <w:sz w:val="20"/>
                <w:szCs w:val="20"/>
                <w:color w:val="auto"/>
              </w:rPr>
            </w:pPr>
            <w:r>
              <w:rPr>
                <w:rFonts w:ascii="Arial" w:cs="Arial" w:eastAsia="Arial" w:hAnsi="Arial"/>
                <w:sz w:val="17"/>
                <w:szCs w:val="17"/>
                <w:color w:val="auto"/>
              </w:rPr>
              <w:t>Basic</w:t>
            </w:r>
          </w:p>
        </w:tc>
        <w:tc>
          <w:tcPr>
            <w:tcW w:w="2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$(0.38)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820"/>
              <w:spacing w:after="0"/>
              <w:rPr>
                <w:sz w:val="20"/>
                <w:szCs w:val="20"/>
                <w:color w:val="auto"/>
              </w:rPr>
            </w:pPr>
            <w:r>
              <w:rPr>
                <w:rFonts w:ascii="Arial" w:cs="Arial" w:eastAsia="Arial" w:hAnsi="Arial"/>
                <w:sz w:val="17"/>
                <w:szCs w:val="17"/>
                <w:color w:val="auto"/>
              </w:rPr>
              <w:t>Diluted</w:t>
            </w:r>
          </w:p>
        </w:tc>
        <w:tc>
          <w:tcPr>
            <w:tcW w:w="2040" w:type="dxa"/>
            <w:vAlign w:val="bottom"/>
            <w:gridSpan w:val="3"/>
          </w:tcPr>
          <w:p>
            <w:pPr>
              <w:jc w:val="right"/>
              <w:ind w:right="200"/>
              <w:spacing w:after="0"/>
              <w:rPr>
                <w:sz w:val="20"/>
                <w:szCs w:val="20"/>
                <w:color w:val="auto"/>
              </w:rPr>
            </w:pPr>
            <w:r>
              <w:rPr>
                <w:rFonts w:ascii="Arial" w:cs="Arial" w:eastAsia="Arial" w:hAnsi="Arial"/>
                <w:sz w:val="17"/>
                <w:szCs w:val="17"/>
                <w:color w:val="auto"/>
              </w:rPr>
              <w:t>$(0.38)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$0.51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$0.77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per share of common stock</w:t>
            </w:r>
          </w:p>
        </w:tc>
        <w:tc>
          <w:tcPr>
            <w:tcW w:w="20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$0.125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2009 Fiscal Quarter</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Borders>
              <w:bottom w:val="single" w:sz="8" w:color="auto"/>
            </w:tcBorders>
          </w:tcPr>
          <w:p>
            <w:pPr>
              <w:jc w:val="right"/>
              <w:ind w:right="119"/>
              <w:spacing w:after="0" w:line="137" w:lineRule="exact"/>
              <w:rPr>
                <w:sz w:val="20"/>
                <w:szCs w:val="20"/>
                <w:color w:val="auto"/>
              </w:rPr>
            </w:pPr>
            <w:r>
              <w:rPr>
                <w:rFonts w:ascii="Arial" w:cs="Arial" w:eastAsia="Arial" w:hAnsi="Arial"/>
                <w:sz w:val="13"/>
                <w:szCs w:val="13"/>
                <w:b w:val="1"/>
                <w:bCs w:val="1"/>
                <w:color w:val="auto"/>
              </w:rPr>
              <w:t>First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7" w:lineRule="exact"/>
              <w:rPr>
                <w:sz w:val="20"/>
                <w:szCs w:val="20"/>
                <w:color w:val="auto"/>
              </w:rPr>
            </w:pPr>
            <w:r>
              <w:rPr>
                <w:rFonts w:ascii="Arial" w:cs="Arial" w:eastAsia="Arial" w:hAnsi="Arial"/>
                <w:sz w:val="13"/>
                <w:szCs w:val="13"/>
                <w:b w:val="1"/>
                <w:bCs w:val="1"/>
                <w:color w:val="auto"/>
                <w:w w:val="85"/>
              </w:rPr>
              <w:t>Second</w:t>
            </w: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7"/>
              <w:spacing w:after="0" w:line="137" w:lineRule="exact"/>
              <w:rPr>
                <w:sz w:val="20"/>
                <w:szCs w:val="20"/>
                <w:color w:val="auto"/>
              </w:rPr>
            </w:pPr>
            <w:r>
              <w:rPr>
                <w:rFonts w:ascii="Arial" w:cs="Arial" w:eastAsia="Arial" w:hAnsi="Arial"/>
                <w:sz w:val="13"/>
                <w:szCs w:val="13"/>
                <w:b w:val="1"/>
                <w:bCs w:val="1"/>
                <w:color w:val="auto"/>
              </w:rPr>
              <w:t>Third</w:t>
            </w: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8"/>
              <w:spacing w:after="0" w:line="137" w:lineRule="exact"/>
              <w:rPr>
                <w:sz w:val="20"/>
                <w:szCs w:val="20"/>
                <w:color w:val="auto"/>
              </w:rPr>
            </w:pPr>
            <w:r>
              <w:rPr>
                <w:rFonts w:ascii="Arial" w:cs="Arial" w:eastAsia="Arial" w:hAnsi="Arial"/>
                <w:sz w:val="13"/>
                <w:szCs w:val="13"/>
                <w:b w:val="1"/>
                <w:bCs w:val="1"/>
                <w:color w:val="auto"/>
                <w:w w:val="97"/>
              </w:rPr>
              <w:t>Fourth</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160"/>
              <w:spacing w:after="0" w:line="137" w:lineRule="exact"/>
              <w:rPr>
                <w:sz w:val="20"/>
                <w:szCs w:val="20"/>
                <w:color w:val="auto"/>
              </w:rPr>
            </w:pPr>
            <w:r>
              <w:rPr>
                <w:rFonts w:ascii="Arial" w:cs="Arial" w:eastAsia="Arial" w:hAnsi="Arial"/>
                <w:sz w:val="13"/>
                <w:szCs w:val="13"/>
                <w:b w:val="1"/>
                <w:bCs w:val="1"/>
                <w:color w:val="auto"/>
              </w:rPr>
              <w:t>Year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(dollars</w:t>
            </w:r>
          </w:p>
        </w:tc>
        <w:tc>
          <w:tcPr>
            <w:tcW w:w="2500" w:type="dxa"/>
            <w:vAlign w:val="bottom"/>
            <w:gridSpan w:val="7"/>
          </w:tcPr>
          <w:p>
            <w:pPr>
              <w:jc w:val="right"/>
              <w:ind w:right="420"/>
              <w:spacing w:after="0" w:line="137" w:lineRule="exact"/>
              <w:rPr>
                <w:sz w:val="20"/>
                <w:szCs w:val="20"/>
                <w:color w:val="auto"/>
              </w:rPr>
            </w:pPr>
            <w:r>
              <w:rPr>
                <w:rFonts w:ascii="Arial" w:cs="Arial" w:eastAsia="Arial" w:hAnsi="Arial"/>
                <w:sz w:val="13"/>
                <w:szCs w:val="13"/>
                <w:b w:val="1"/>
                <w:bCs w:val="1"/>
                <w:color w:val="auto"/>
                <w:w w:val="91"/>
              </w:rPr>
              <w:t>in thousands, except per share data)</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Net revenue</w:t>
            </w:r>
          </w:p>
        </w:tc>
        <w:tc>
          <w:tcPr>
            <w:tcW w:w="20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$ 248,395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$ 375,625</w:t>
            </w:r>
          </w:p>
        </w:tc>
        <w:tc>
          <w:tcPr>
            <w:tcW w:w="1520" w:type="dxa"/>
            <w:vAlign w:val="bottom"/>
            <w:gridSpan w:val="4"/>
            <w:shd w:val="clear" w:color="auto" w:fill="CCEEFF"/>
          </w:tcPr>
          <w:p>
            <w:pPr>
              <w:jc w:val="right"/>
              <w:ind w:right="420"/>
              <w:spacing w:after="0"/>
              <w:rPr>
                <w:sz w:val="20"/>
                <w:szCs w:val="20"/>
                <w:color w:val="auto"/>
              </w:rPr>
            </w:pPr>
            <w:r>
              <w:rPr>
                <w:rFonts w:ascii="Arial" w:cs="Arial" w:eastAsia="Arial" w:hAnsi="Arial"/>
                <w:sz w:val="17"/>
                <w:szCs w:val="17"/>
                <w:color w:val="auto"/>
              </w:rPr>
              <w:t>$ 411,715</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w w:val="92"/>
              </w:rPr>
              <w:t>$ 494,783</w:t>
            </w: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$ 1,530,518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Operating expenses</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339,164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318,679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338,550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716,359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1,712,752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1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0"/>
              </w:rPr>
              <w:t>$ (90,769)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56,946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73,165</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87"/>
              </w:rPr>
              <w:t>$ (221,576)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(182,234)</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Net income (loss)</w:t>
            </w:r>
          </w:p>
        </w:tc>
        <w:tc>
          <w:tcPr>
            <w:tcW w:w="1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20" w:type="dxa"/>
            <w:vAlign w:val="bottom"/>
            <w:gridSpan w:val="2"/>
            <w:vMerge w:val="continue"/>
          </w:tcPr>
          <w:p>
            <w:pPr>
              <w:spacing w:after="0"/>
              <w:rPr>
                <w:sz w:val="17"/>
                <w:szCs w:val="17"/>
                <w:color w:val="auto"/>
              </w:rPr>
            </w:pPr>
          </w:p>
        </w:tc>
        <w:tc>
          <w:tcPr>
            <w:tcW w:w="2040" w:type="dxa"/>
            <w:vAlign w:val="bottom"/>
            <w:gridSpan w:val="3"/>
          </w:tcPr>
          <w:p>
            <w:pPr>
              <w:jc w:val="right"/>
              <w:ind w:right="200"/>
              <w:spacing w:after="0"/>
              <w:rPr>
                <w:sz w:val="20"/>
                <w:szCs w:val="20"/>
                <w:color w:val="auto"/>
              </w:rPr>
            </w:pPr>
            <w:r>
              <w:rPr>
                <w:rFonts w:ascii="Arial" w:cs="Arial" w:eastAsia="Arial" w:hAnsi="Arial"/>
                <w:sz w:val="17"/>
                <w:szCs w:val="17"/>
                <w:color w:val="auto"/>
              </w:rPr>
              <w:t>$ (86,594)</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43,427</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53,197</w:t>
            </w:r>
          </w:p>
        </w:tc>
        <w:tc>
          <w:tcPr>
            <w:tcW w:w="42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w w:val="87"/>
              </w:rPr>
              <w:t>$ (198,275)</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(188,245)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Less - net income (loss) attributable to noncontrolling interests</w:t>
            </w:r>
          </w:p>
        </w:tc>
        <w:tc>
          <w:tcPr>
            <w:tcW w:w="1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(33,098)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(55,924)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(58,003)</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Net income (loss) attributable to Lazard Ltd</w:t>
            </w: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w w:val="90"/>
              </w:rPr>
              <w:t>$ (53,496)</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28,187</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37,418</w:t>
            </w:r>
          </w:p>
        </w:tc>
        <w:tc>
          <w:tcPr>
            <w:tcW w:w="42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w w:val="87"/>
              </w:rPr>
              <w:t>$ (142,351)</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(130,242)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Attributable to Lazard Ltd Class A common stockholders:</w:t>
            </w: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Net income (loss) per share of common stock:</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820"/>
              <w:spacing w:after="0"/>
              <w:rPr>
                <w:sz w:val="20"/>
                <w:szCs w:val="20"/>
                <w:color w:val="auto"/>
              </w:rPr>
            </w:pPr>
            <w:r>
              <w:rPr>
                <w:rFonts w:ascii="Arial" w:cs="Arial" w:eastAsia="Arial" w:hAnsi="Arial"/>
                <w:sz w:val="17"/>
                <w:szCs w:val="17"/>
                <w:color w:val="auto"/>
              </w:rPr>
              <w:t>Basic</w:t>
            </w:r>
          </w:p>
        </w:tc>
        <w:tc>
          <w:tcPr>
            <w:tcW w:w="2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$(0.77)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820"/>
              <w:spacing w:after="0"/>
              <w:rPr>
                <w:sz w:val="20"/>
                <w:szCs w:val="20"/>
                <w:color w:val="auto"/>
              </w:rPr>
            </w:pPr>
            <w:r>
              <w:rPr>
                <w:rFonts w:ascii="Arial" w:cs="Arial" w:eastAsia="Arial" w:hAnsi="Arial"/>
                <w:sz w:val="17"/>
                <w:szCs w:val="17"/>
                <w:color w:val="auto"/>
              </w:rPr>
              <w:t>Diluted</w:t>
            </w:r>
          </w:p>
        </w:tc>
        <w:tc>
          <w:tcPr>
            <w:tcW w:w="2040" w:type="dxa"/>
            <w:vAlign w:val="bottom"/>
            <w:gridSpan w:val="3"/>
          </w:tcPr>
          <w:p>
            <w:pPr>
              <w:jc w:val="right"/>
              <w:ind w:right="200"/>
              <w:spacing w:after="0"/>
              <w:rPr>
                <w:sz w:val="20"/>
                <w:szCs w:val="20"/>
                <w:color w:val="auto"/>
              </w:rPr>
            </w:pPr>
            <w:r>
              <w:rPr>
                <w:rFonts w:ascii="Arial" w:cs="Arial" w:eastAsia="Arial" w:hAnsi="Arial"/>
                <w:sz w:val="17"/>
                <w:szCs w:val="17"/>
                <w:color w:val="auto"/>
              </w:rPr>
              <w:t>$(0.77)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$0.41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per share of common stock</w:t>
            </w:r>
          </w:p>
        </w:tc>
        <w:tc>
          <w:tcPr>
            <w:tcW w:w="20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$ 0.10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$ 0.45</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134</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were no changes in or disagreements with accountants on accounting and financial disclosure during the last two fiscal years.</w:t>
      </w:r>
    </w:p>
    <w:p>
      <w:pPr>
        <w:spacing w:after="0" w:line="153"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2010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8" w:lineRule="exact"/>
        <w:rPr>
          <w:sz w:val="20"/>
          <w:szCs w:val="20"/>
          <w:color w:val="auto"/>
        </w:rPr>
      </w:pPr>
    </w:p>
    <w:p>
      <w:pPr>
        <w:ind w:right="300" w:firstLine="457"/>
        <w:spacing w:after="0" w:line="280" w:lineRule="auto"/>
        <w:rPr>
          <w:sz w:val="20"/>
          <w:szCs w:val="20"/>
          <w:color w:val="auto"/>
        </w:rPr>
      </w:pPr>
      <w:r>
        <w:rPr>
          <w:rFonts w:ascii="Arial" w:cs="Arial" w:eastAsia="Arial" w:hAnsi="Arial"/>
          <w:sz w:val="17"/>
          <w:szCs w:val="17"/>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05" w:lineRule="exact"/>
        <w:rPr>
          <w:sz w:val="20"/>
          <w:szCs w:val="20"/>
          <w:color w:val="auto"/>
        </w:rPr>
      </w:pPr>
    </w:p>
    <w:p>
      <w:pPr>
        <w:ind w:firstLine="457"/>
        <w:spacing w:after="0" w:line="349" w:lineRule="auto"/>
        <w:rPr>
          <w:sz w:val="20"/>
          <w:szCs w:val="20"/>
          <w:color w:val="auto"/>
        </w:rPr>
      </w:pPr>
      <w:r>
        <w:rPr>
          <w:rFonts w:ascii="Arial" w:cs="Arial" w:eastAsia="Arial" w:hAnsi="Arial"/>
          <w:sz w:val="15"/>
          <w:szCs w:val="15"/>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5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right="40" w:firstLine="457"/>
        <w:spacing w:after="0" w:line="310" w:lineRule="auto"/>
        <w:rPr>
          <w:sz w:val="20"/>
          <w:szCs w:val="20"/>
          <w:color w:val="auto"/>
        </w:rPr>
      </w:pPr>
      <w:r>
        <w:rPr>
          <w:rFonts w:ascii="Arial" w:cs="Arial" w:eastAsia="Arial" w:hAnsi="Arial"/>
          <w:sz w:val="15"/>
          <w:szCs w:val="15"/>
          <w:color w:val="auto"/>
        </w:rPr>
        <w:t>On February 23, 2011, the Compensation Committee of the Board of Directors of Lazard Ltd approved the extension of the term of the First Amendment, dated as of May 7, 2008, to the Agreement Relating to Retention and Noncompetition and Other Covenants, dated as of May 4, 2005, among Lazard Ltd, Lazard Group and Scott D. Hoffman from its scheduled expiration date of March 31, 2011 to March 23, 2013, which is the date that the retention agreements with Kenneth M. Jacobs and Alexander F. Stern are scheduled to expire. No other changes were made to Mr. Hoffman’s retention agreement in connection with the extension of its term.</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420"/>
          </w:cols>
          <w:pgMar w:left="240" w:top="448" w:right="2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15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83"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Information regarding members of the Board of Directors, including its audit committee and audit committee financial experts, as well as information regarding our Code of Business Conduct and Ethics that applies to our chief executive officer and senior financial officers, will be presented in Lazard Ltd’s definitive proxy statement for its 2011 annual general meeting of shareholders, which will be held on April 26, 2011, and is incorporated herein by reference. Information regarding our executive officers is included in Part I of this Annual Report on Form 10-K under the caption “Executive Officers of the Registrant.”</w:t>
      </w:r>
    </w:p>
    <w:p>
      <w:pPr>
        <w:spacing w:after="0" w:line="105" w:lineRule="exact"/>
        <w:rPr>
          <w:sz w:val="20"/>
          <w:szCs w:val="20"/>
          <w:color w:val="auto"/>
        </w:rPr>
      </w:pPr>
    </w:p>
    <w:p>
      <w:pPr>
        <w:ind w:right="180" w:firstLine="457"/>
        <w:spacing w:after="0" w:line="268" w:lineRule="auto"/>
        <w:rPr>
          <w:sz w:val="20"/>
          <w:szCs w:val="20"/>
          <w:color w:val="auto"/>
        </w:rPr>
      </w:pPr>
      <w:r>
        <w:rPr>
          <w:rFonts w:ascii="Arial" w:cs="Arial" w:eastAsia="Arial" w:hAnsi="Arial"/>
          <w:sz w:val="17"/>
          <w:szCs w:val="17"/>
          <w:color w:val="auto"/>
        </w:rPr>
        <w:t>The information required to be furnished pursuant to this item with respect to compliance with Section 16(a) of the Exchange Act will be set forth under the caption “Section 16(a) Beneficial Ownership Reporting Compliance” in Lazard Ltd’s definitive proxy statement for its 2010 annual general meeting of shareholders, and is incorporated herein by reference.</w:t>
      </w:r>
    </w:p>
    <w:p>
      <w:pPr>
        <w:spacing w:after="0" w:line="11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ind w:right="440" w:firstLine="457"/>
        <w:spacing w:after="0" w:line="280" w:lineRule="auto"/>
        <w:rPr>
          <w:sz w:val="20"/>
          <w:szCs w:val="20"/>
          <w:color w:val="auto"/>
        </w:rPr>
      </w:pPr>
      <w:r>
        <w:rPr>
          <w:rFonts w:ascii="Arial" w:cs="Arial" w:eastAsia="Arial" w:hAnsi="Arial"/>
          <w:sz w:val="17"/>
          <w:szCs w:val="17"/>
          <w:color w:val="auto"/>
        </w:rPr>
        <w:t>Information regarding executive officer and director compensation will be presented in Lazard Ltd’s definitive proxy statement for its 2011 annual general meeting of shareholders, which will be held on April 26, 2011, and is incorporated herein by reference.</w:t>
      </w:r>
    </w:p>
    <w:p>
      <w:pPr>
        <w:spacing w:after="0" w:line="10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83" w:lineRule="exact"/>
        <w:rPr>
          <w:sz w:val="20"/>
          <w:szCs w:val="20"/>
          <w:color w:val="auto"/>
        </w:rPr>
      </w:pPr>
    </w:p>
    <w:p>
      <w:pPr>
        <w:ind w:right="520" w:firstLine="457"/>
        <w:spacing w:after="0" w:line="349" w:lineRule="auto"/>
        <w:rPr>
          <w:sz w:val="20"/>
          <w:szCs w:val="20"/>
          <w:color w:val="auto"/>
        </w:rPr>
      </w:pPr>
      <w:r>
        <w:rPr>
          <w:rFonts w:ascii="Arial" w:cs="Arial" w:eastAsia="Arial" w:hAnsi="Arial"/>
          <w:sz w:val="15"/>
          <w:szCs w:val="15"/>
          <w:color w:val="auto"/>
        </w:rPr>
        <w:t>Information regarding security ownership of certain beneficial owners and management and related shareholder matters will be presented in Lazard Ltd’s definitive proxy statement for its 2011 annual general meeting of shareholders, which will be held on April 26, 2011, and is incorporated herein by reference.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83" w:lineRule="exact"/>
        <w:rPr>
          <w:sz w:val="20"/>
          <w:szCs w:val="20"/>
          <w:color w:val="auto"/>
        </w:rPr>
      </w:pPr>
    </w:p>
    <w:p>
      <w:pPr>
        <w:ind w:right="600" w:firstLine="457"/>
        <w:spacing w:after="0" w:line="280" w:lineRule="auto"/>
        <w:rPr>
          <w:sz w:val="20"/>
          <w:szCs w:val="20"/>
          <w:color w:val="auto"/>
        </w:rPr>
      </w:pPr>
      <w:r>
        <w:rPr>
          <w:rFonts w:ascii="Arial" w:cs="Arial" w:eastAsia="Arial" w:hAnsi="Arial"/>
          <w:sz w:val="17"/>
          <w:szCs w:val="17"/>
          <w:color w:val="auto"/>
        </w:rPr>
        <w:t>The following table provides information as of December 31, 2010 regarding securities issued under our 2005 Equity Incentive Plan and 2008 Incentive Compensation Plan.</w:t>
      </w:r>
    </w:p>
    <w:p>
      <w:pPr>
        <w:sectPr>
          <w:pgSz w:w="11900" w:h="16838" w:orient="portrait"/>
          <w:cols w:equalWidth="0" w:num="1">
            <w:col w:w="11380"/>
          </w:cols>
          <w:pgMar w:left="240" w:top="44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right="540" w:hanging="208"/>
        <w:spacing w:after="0" w:line="280" w:lineRule="auto"/>
        <w:rPr>
          <w:sz w:val="20"/>
          <w:szCs w:val="20"/>
          <w:color w:val="auto"/>
        </w:rPr>
      </w:pPr>
      <w:r>
        <w:rPr>
          <w:rFonts w:ascii="Arial" w:cs="Arial" w:eastAsia="Arial" w:hAnsi="Arial"/>
          <w:sz w:val="17"/>
          <w:szCs w:val="17"/>
          <w:color w:val="auto"/>
        </w:rPr>
        <w:t>Equity compensation plans approved by security holders</w:t>
      </w:r>
    </w:p>
    <w:p>
      <w:pPr>
        <w:spacing w:after="0" w:line="183" w:lineRule="exact"/>
        <w:rPr>
          <w:sz w:val="20"/>
          <w:szCs w:val="20"/>
          <w:color w:val="auto"/>
        </w:rPr>
      </w:pPr>
    </w:p>
    <w:p>
      <w:pPr>
        <w:ind w:left="220" w:right="280" w:hanging="208"/>
        <w:spacing w:after="0" w:line="272" w:lineRule="auto"/>
        <w:rPr>
          <w:sz w:val="20"/>
          <w:szCs w:val="20"/>
          <w:color w:val="auto"/>
        </w:rPr>
      </w:pPr>
      <w:r>
        <w:rPr>
          <w:rFonts w:ascii="Arial" w:cs="Arial" w:eastAsia="Arial" w:hAnsi="Arial"/>
          <w:sz w:val="17"/>
          <w:szCs w:val="17"/>
          <w:color w:val="auto"/>
        </w:rPr>
        <w:t>Equity compensation plans not approved by security holders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Number of Securities</w:t>
            </w:r>
          </w:p>
        </w:tc>
      </w:tr>
      <w:tr>
        <w:trPr>
          <w:trHeight w:val="144"/>
        </w:trPr>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1"/>
              </w:rPr>
              <w:t>Remaining Available</w:t>
            </w:r>
          </w:p>
        </w:tc>
      </w:tr>
      <w:tr>
        <w:trPr>
          <w:trHeight w:val="144"/>
        </w:trPr>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for Future Issuance</w:t>
            </w:r>
          </w:p>
        </w:tc>
      </w:tr>
      <w:tr>
        <w:trPr>
          <w:trHeight w:val="144"/>
        </w:trPr>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20" w:type="dxa"/>
            <w:vAlign w:val="bottom"/>
            <w:gridSpan w:val="2"/>
          </w:tcPr>
          <w:p>
            <w:pPr>
              <w:jc w:val="center"/>
              <w:ind w:right="900"/>
              <w:spacing w:after="0" w:line="144" w:lineRule="exact"/>
              <w:rPr>
                <w:sz w:val="20"/>
                <w:szCs w:val="20"/>
                <w:color w:val="auto"/>
              </w:rPr>
            </w:pPr>
            <w:r>
              <w:rPr>
                <w:rFonts w:ascii="Arial" w:cs="Arial" w:eastAsia="Arial" w:hAnsi="Arial"/>
                <w:sz w:val="13"/>
                <w:szCs w:val="13"/>
                <w:b w:val="1"/>
                <w:bCs w:val="1"/>
                <w:color w:val="auto"/>
                <w:w w:val="90"/>
              </w:rPr>
              <w:t>Number of Securities</w:t>
            </w:r>
          </w:p>
        </w:tc>
        <w:tc>
          <w:tcPr>
            <w:tcW w:w="2080" w:type="dxa"/>
            <w:vAlign w:val="bottom"/>
            <w:gridSpan w:val="2"/>
          </w:tcPr>
          <w:p>
            <w:pPr>
              <w:jc w:val="center"/>
              <w:ind w:right="900"/>
              <w:spacing w:after="0" w:line="144" w:lineRule="exact"/>
              <w:rPr>
                <w:sz w:val="20"/>
                <w:szCs w:val="20"/>
                <w:color w:val="auto"/>
              </w:rPr>
            </w:pPr>
            <w:r>
              <w:rPr>
                <w:rFonts w:ascii="Arial" w:cs="Arial" w:eastAsia="Arial" w:hAnsi="Arial"/>
                <w:sz w:val="13"/>
                <w:szCs w:val="13"/>
                <w:b w:val="1"/>
                <w:bCs w:val="1"/>
                <w:color w:val="auto"/>
                <w:w w:val="89"/>
              </w:rPr>
              <w:t>Weighted-Average</w:t>
            </w:r>
          </w:p>
        </w:tc>
        <w:tc>
          <w:tcPr>
            <w:tcW w:w="13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3"/>
              </w:rPr>
              <w:t>Under Equity</w:t>
            </w:r>
          </w:p>
        </w:tc>
      </w:tr>
      <w:tr>
        <w:trPr>
          <w:trHeight w:val="144"/>
        </w:trPr>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20" w:type="dxa"/>
            <w:vAlign w:val="bottom"/>
            <w:gridSpan w:val="2"/>
          </w:tcPr>
          <w:p>
            <w:pPr>
              <w:jc w:val="center"/>
              <w:ind w:right="900"/>
              <w:spacing w:after="0" w:line="144" w:lineRule="exact"/>
              <w:rPr>
                <w:sz w:val="20"/>
                <w:szCs w:val="20"/>
                <w:color w:val="auto"/>
              </w:rPr>
            </w:pPr>
            <w:r>
              <w:rPr>
                <w:rFonts w:ascii="Arial" w:cs="Arial" w:eastAsia="Arial" w:hAnsi="Arial"/>
                <w:sz w:val="13"/>
                <w:szCs w:val="13"/>
                <w:b w:val="1"/>
                <w:bCs w:val="1"/>
                <w:color w:val="auto"/>
                <w:w w:val="86"/>
              </w:rPr>
              <w:t>to be Issued</w:t>
            </w:r>
          </w:p>
        </w:tc>
        <w:tc>
          <w:tcPr>
            <w:tcW w:w="2080" w:type="dxa"/>
            <w:vAlign w:val="bottom"/>
            <w:gridSpan w:val="2"/>
          </w:tcPr>
          <w:p>
            <w:pPr>
              <w:jc w:val="center"/>
              <w:ind w:right="900"/>
              <w:spacing w:after="0" w:line="144" w:lineRule="exact"/>
              <w:rPr>
                <w:sz w:val="20"/>
                <w:szCs w:val="20"/>
                <w:color w:val="auto"/>
              </w:rPr>
            </w:pPr>
            <w:r>
              <w:rPr>
                <w:rFonts w:ascii="Arial" w:cs="Arial" w:eastAsia="Arial" w:hAnsi="Arial"/>
                <w:sz w:val="13"/>
                <w:szCs w:val="13"/>
                <w:b w:val="1"/>
                <w:bCs w:val="1"/>
                <w:color w:val="auto"/>
                <w:w w:val="89"/>
              </w:rPr>
              <w:t>Exercise Price of</w:t>
            </w:r>
          </w:p>
        </w:tc>
        <w:tc>
          <w:tcPr>
            <w:tcW w:w="13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Compensation Plans</w:t>
            </w:r>
          </w:p>
        </w:tc>
      </w:tr>
      <w:tr>
        <w:trPr>
          <w:trHeight w:val="144"/>
        </w:trPr>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20" w:type="dxa"/>
            <w:vAlign w:val="bottom"/>
            <w:gridSpan w:val="2"/>
          </w:tcPr>
          <w:p>
            <w:pPr>
              <w:jc w:val="center"/>
              <w:ind w:right="900"/>
              <w:spacing w:after="0" w:line="144" w:lineRule="exact"/>
              <w:rPr>
                <w:sz w:val="20"/>
                <w:szCs w:val="20"/>
                <w:color w:val="auto"/>
              </w:rPr>
            </w:pPr>
            <w:r>
              <w:rPr>
                <w:rFonts w:ascii="Arial" w:cs="Arial" w:eastAsia="Arial" w:hAnsi="Arial"/>
                <w:sz w:val="13"/>
                <w:szCs w:val="13"/>
                <w:b w:val="1"/>
                <w:bCs w:val="1"/>
                <w:color w:val="auto"/>
                <w:w w:val="88"/>
              </w:rPr>
              <w:t>Upon Exercise of</w:t>
            </w:r>
          </w:p>
        </w:tc>
        <w:tc>
          <w:tcPr>
            <w:tcW w:w="2080" w:type="dxa"/>
            <w:vAlign w:val="bottom"/>
            <w:gridSpan w:val="2"/>
          </w:tcPr>
          <w:p>
            <w:pPr>
              <w:jc w:val="center"/>
              <w:ind w:right="900"/>
              <w:spacing w:after="0" w:line="144" w:lineRule="exact"/>
              <w:rPr>
                <w:sz w:val="20"/>
                <w:szCs w:val="20"/>
                <w:color w:val="auto"/>
              </w:rPr>
            </w:pPr>
            <w:r>
              <w:rPr>
                <w:rFonts w:ascii="Arial" w:cs="Arial" w:eastAsia="Arial" w:hAnsi="Arial"/>
                <w:sz w:val="13"/>
                <w:szCs w:val="13"/>
                <w:b w:val="1"/>
                <w:bCs w:val="1"/>
                <w:color w:val="auto"/>
                <w:w w:val="91"/>
              </w:rPr>
              <w:t>Outstanding</w:t>
            </w:r>
          </w:p>
        </w:tc>
        <w:tc>
          <w:tcPr>
            <w:tcW w:w="13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(Excluding Securities</w:t>
            </w:r>
          </w:p>
        </w:tc>
      </w:tr>
      <w:tr>
        <w:trPr>
          <w:trHeight w:val="144"/>
        </w:trPr>
        <w:tc>
          <w:tcPr>
            <w:tcW w:w="1060" w:type="dxa"/>
            <w:vAlign w:val="bottom"/>
          </w:tcPr>
          <w:p>
            <w:pPr>
              <w:ind w:left="400"/>
              <w:spacing w:after="0" w:line="144" w:lineRule="exact"/>
              <w:rPr>
                <w:sz w:val="20"/>
                <w:szCs w:val="20"/>
                <w:color w:val="auto"/>
              </w:rPr>
            </w:pPr>
            <w:r>
              <w:rPr>
                <w:rFonts w:ascii="Arial" w:cs="Arial" w:eastAsia="Arial" w:hAnsi="Arial"/>
                <w:sz w:val="13"/>
                <w:szCs w:val="13"/>
                <w:b w:val="1"/>
                <w:bCs w:val="1"/>
                <w:color w:val="auto"/>
              </w:rPr>
              <w:t>Plan</w:t>
            </w:r>
          </w:p>
        </w:tc>
        <w:tc>
          <w:tcPr>
            <w:tcW w:w="820" w:type="dxa"/>
            <w:vAlign w:val="bottom"/>
          </w:tcPr>
          <w:p>
            <w:pPr>
              <w:spacing w:after="0"/>
              <w:rPr>
                <w:sz w:val="12"/>
                <w:szCs w:val="12"/>
                <w:color w:val="auto"/>
              </w:rPr>
            </w:pPr>
          </w:p>
        </w:tc>
        <w:tc>
          <w:tcPr>
            <w:tcW w:w="2120" w:type="dxa"/>
            <w:vAlign w:val="bottom"/>
            <w:gridSpan w:val="2"/>
          </w:tcPr>
          <w:p>
            <w:pPr>
              <w:jc w:val="center"/>
              <w:ind w:right="900"/>
              <w:spacing w:after="0" w:line="144" w:lineRule="exact"/>
              <w:rPr>
                <w:sz w:val="20"/>
                <w:szCs w:val="20"/>
                <w:color w:val="auto"/>
              </w:rPr>
            </w:pPr>
            <w:r>
              <w:rPr>
                <w:rFonts w:ascii="Arial" w:cs="Arial" w:eastAsia="Arial" w:hAnsi="Arial"/>
                <w:sz w:val="13"/>
                <w:szCs w:val="13"/>
                <w:b w:val="1"/>
                <w:bCs w:val="1"/>
                <w:color w:val="auto"/>
                <w:w w:val="91"/>
              </w:rPr>
              <w:t>Outstanding Options,</w:t>
            </w:r>
          </w:p>
        </w:tc>
        <w:tc>
          <w:tcPr>
            <w:tcW w:w="2080" w:type="dxa"/>
            <w:vAlign w:val="bottom"/>
            <w:gridSpan w:val="2"/>
          </w:tcPr>
          <w:p>
            <w:pPr>
              <w:jc w:val="center"/>
              <w:ind w:right="900"/>
              <w:spacing w:after="0" w:line="144" w:lineRule="exact"/>
              <w:rPr>
                <w:sz w:val="20"/>
                <w:szCs w:val="20"/>
                <w:color w:val="auto"/>
              </w:rPr>
            </w:pPr>
            <w:r>
              <w:rPr>
                <w:rFonts w:ascii="Arial" w:cs="Arial" w:eastAsia="Arial" w:hAnsi="Arial"/>
                <w:sz w:val="13"/>
                <w:szCs w:val="13"/>
                <w:b w:val="1"/>
                <w:bCs w:val="1"/>
                <w:color w:val="auto"/>
                <w:w w:val="87"/>
              </w:rPr>
              <w:t>Options,</w:t>
            </w:r>
          </w:p>
        </w:tc>
        <w:tc>
          <w:tcPr>
            <w:tcW w:w="13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Reflected in the</w:t>
            </w:r>
          </w:p>
        </w:tc>
      </w:tr>
      <w:tr>
        <w:trPr>
          <w:trHeight w:val="156"/>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Category</w:t>
            </w:r>
          </w:p>
        </w:tc>
        <w:tc>
          <w:tcPr>
            <w:tcW w:w="820" w:type="dxa"/>
            <w:vAlign w:val="bottom"/>
          </w:tcPr>
          <w:p>
            <w:pPr>
              <w:spacing w:after="0"/>
              <w:rPr>
                <w:sz w:val="13"/>
                <w:szCs w:val="13"/>
                <w:color w:val="auto"/>
              </w:rPr>
            </w:pPr>
          </w:p>
        </w:tc>
        <w:tc>
          <w:tcPr>
            <w:tcW w:w="2120" w:type="dxa"/>
            <w:vAlign w:val="bottom"/>
            <w:gridSpan w:val="2"/>
          </w:tcPr>
          <w:p>
            <w:pPr>
              <w:jc w:val="center"/>
              <w:ind w:right="900"/>
              <w:spacing w:after="0"/>
              <w:rPr>
                <w:sz w:val="20"/>
                <w:szCs w:val="20"/>
                <w:color w:val="auto"/>
              </w:rPr>
            </w:pPr>
            <w:r>
              <w:rPr>
                <w:rFonts w:ascii="Arial" w:cs="Arial" w:eastAsia="Arial" w:hAnsi="Arial"/>
                <w:sz w:val="13"/>
                <w:szCs w:val="13"/>
                <w:b w:val="1"/>
                <w:bCs w:val="1"/>
                <w:color w:val="auto"/>
                <w:w w:val="92"/>
              </w:rPr>
              <w:t>Warrants and Rights</w:t>
            </w:r>
          </w:p>
        </w:tc>
        <w:tc>
          <w:tcPr>
            <w:tcW w:w="2080" w:type="dxa"/>
            <w:vAlign w:val="bottom"/>
            <w:gridSpan w:val="2"/>
          </w:tcPr>
          <w:p>
            <w:pPr>
              <w:jc w:val="center"/>
              <w:ind w:right="900"/>
              <w:spacing w:after="0"/>
              <w:rPr>
                <w:sz w:val="20"/>
                <w:szCs w:val="20"/>
                <w:color w:val="auto"/>
              </w:rPr>
            </w:pPr>
            <w:r>
              <w:rPr>
                <w:rFonts w:ascii="Arial" w:cs="Arial" w:eastAsia="Arial" w:hAnsi="Arial"/>
                <w:sz w:val="13"/>
                <w:szCs w:val="13"/>
                <w:b w:val="1"/>
                <w:bCs w:val="1"/>
                <w:color w:val="auto"/>
                <w:w w:val="92"/>
              </w:rPr>
              <w:t>Warrants and Rights</w:t>
            </w:r>
          </w:p>
        </w:tc>
        <w:tc>
          <w:tcPr>
            <w:tcW w:w="13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Second Column)</w:t>
            </w:r>
          </w:p>
        </w:tc>
      </w:tr>
      <w:tr>
        <w:trPr>
          <w:trHeight w:val="193"/>
        </w:trPr>
        <w:tc>
          <w:tcPr>
            <w:tcW w:w="1060" w:type="dxa"/>
            <w:vAlign w:val="bottom"/>
            <w:tcBorders>
              <w:top w:val="single" w:sz="8" w:color="auto"/>
            </w:tcBorders>
          </w:tcPr>
          <w:p>
            <w:pPr>
              <w:ind w:left="40"/>
              <w:spacing w:after="0" w:line="194" w:lineRule="exact"/>
              <w:rPr>
                <w:sz w:val="20"/>
                <w:szCs w:val="20"/>
                <w:color w:val="auto"/>
              </w:rPr>
            </w:pPr>
            <w:r>
              <w:rPr>
                <w:rFonts w:ascii="Arial" w:cs="Arial" w:eastAsia="Arial" w:hAnsi="Arial"/>
                <w:sz w:val="17"/>
                <w:szCs w:val="17"/>
                <w:color w:val="auto"/>
                <w:w w:val="90"/>
              </w:rPr>
              <w:t>2008 Incentive</w:t>
            </w:r>
          </w:p>
        </w:tc>
        <w:tc>
          <w:tcPr>
            <w:tcW w:w="8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1060" w:type="dxa"/>
            <w:vAlign w:val="bottom"/>
          </w:tcPr>
          <w:p>
            <w:pPr>
              <w:ind w:left="40"/>
              <w:spacing w:after="0"/>
              <w:rPr>
                <w:sz w:val="20"/>
                <w:szCs w:val="20"/>
                <w:color w:val="auto"/>
              </w:rPr>
            </w:pPr>
            <w:r>
              <w:rPr>
                <w:rFonts w:ascii="Arial" w:cs="Arial" w:eastAsia="Arial" w:hAnsi="Arial"/>
                <w:sz w:val="17"/>
                <w:szCs w:val="17"/>
                <w:color w:val="auto"/>
                <w:w w:val="91"/>
              </w:rPr>
              <w:t>Compensation</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1060" w:type="dxa"/>
            <w:vAlign w:val="bottom"/>
          </w:tcPr>
          <w:p>
            <w:pPr>
              <w:ind w:left="40"/>
              <w:spacing w:after="0"/>
              <w:rPr>
                <w:sz w:val="20"/>
                <w:szCs w:val="20"/>
                <w:color w:val="auto"/>
              </w:rPr>
            </w:pPr>
            <w:r>
              <w:rPr>
                <w:rFonts w:ascii="Arial" w:cs="Arial" w:eastAsia="Arial" w:hAnsi="Arial"/>
                <w:sz w:val="17"/>
                <w:szCs w:val="17"/>
                <w:color w:val="auto"/>
              </w:rPr>
              <w:t>Plan</w:t>
            </w:r>
            <w:r>
              <w:rPr>
                <w:rFonts w:ascii="Arial" w:cs="Arial" w:eastAsia="Arial" w:hAnsi="Arial"/>
                <w:sz w:val="10"/>
                <w:szCs w:val="10"/>
                <w:color w:val="auto"/>
              </w:rPr>
              <w:t>(1)</w:t>
            </w:r>
          </w:p>
        </w:tc>
        <w:tc>
          <w:tcPr>
            <w:tcW w:w="2940" w:type="dxa"/>
            <w:vAlign w:val="bottom"/>
            <w:gridSpan w:val="3"/>
          </w:tcPr>
          <w:p>
            <w:pPr>
              <w:jc w:val="right"/>
              <w:ind w:right="780"/>
              <w:spacing w:after="0"/>
              <w:rPr>
                <w:sz w:val="20"/>
                <w:szCs w:val="20"/>
                <w:color w:val="auto"/>
              </w:rPr>
            </w:pPr>
            <w:r>
              <w:rPr>
                <w:rFonts w:ascii="Arial" w:cs="Arial" w:eastAsia="Arial" w:hAnsi="Arial"/>
                <w:sz w:val="17"/>
                <w:szCs w:val="17"/>
                <w:color w:val="auto"/>
              </w:rPr>
              <w:t>13,182,580</w:t>
            </w:r>
            <w:r>
              <w:rPr>
                <w:rFonts w:ascii="Arial" w:cs="Arial" w:eastAsia="Arial" w:hAnsi="Arial"/>
                <w:sz w:val="10"/>
                <w:szCs w:val="10"/>
                <w:color w:val="auto"/>
              </w:rPr>
              <w:t>(3)</w:t>
            </w:r>
          </w:p>
        </w:tc>
        <w:tc>
          <w:tcPr>
            <w:tcW w:w="2080" w:type="dxa"/>
            <w:vAlign w:val="bottom"/>
            <w:gridSpan w:val="2"/>
          </w:tcPr>
          <w:p>
            <w:pPr>
              <w:jc w:val="right"/>
              <w:ind w:right="760"/>
              <w:spacing w:after="0"/>
              <w:rPr>
                <w:sz w:val="20"/>
                <w:szCs w:val="20"/>
                <w:color w:val="auto"/>
              </w:rPr>
            </w:pPr>
            <w:r>
              <w:rPr>
                <w:rFonts w:ascii="Arial" w:cs="Arial" w:eastAsia="Arial" w:hAnsi="Arial"/>
                <w:sz w:val="11"/>
                <w:szCs w:val="11"/>
                <w:color w:val="auto"/>
              </w:rPr>
              <w:t>(4)</w:t>
            </w: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24,009,326</w:t>
            </w:r>
          </w:p>
        </w:tc>
      </w:tr>
      <w:tr>
        <w:trPr>
          <w:trHeight w:val="209"/>
        </w:trPr>
        <w:tc>
          <w:tcPr>
            <w:tcW w:w="1060" w:type="dxa"/>
            <w:vAlign w:val="bottom"/>
          </w:tcPr>
          <w:p>
            <w:pPr>
              <w:ind w:left="40"/>
              <w:spacing w:after="0"/>
              <w:rPr>
                <w:sz w:val="20"/>
                <w:szCs w:val="20"/>
                <w:color w:val="auto"/>
              </w:rPr>
            </w:pPr>
            <w:r>
              <w:rPr>
                <w:rFonts w:ascii="Arial" w:cs="Arial" w:eastAsia="Arial" w:hAnsi="Arial"/>
                <w:sz w:val="17"/>
                <w:szCs w:val="17"/>
                <w:color w:val="auto"/>
              </w:rPr>
              <w:t>2005 Equity</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1060" w:type="dxa"/>
            <w:vAlign w:val="bottom"/>
          </w:tcPr>
          <w:p>
            <w:pPr>
              <w:ind w:left="40"/>
              <w:spacing w:after="0"/>
              <w:rPr>
                <w:sz w:val="20"/>
                <w:szCs w:val="20"/>
                <w:color w:val="auto"/>
              </w:rPr>
            </w:pPr>
            <w:r>
              <w:rPr>
                <w:rFonts w:ascii="Arial" w:cs="Arial" w:eastAsia="Arial" w:hAnsi="Arial"/>
                <w:sz w:val="17"/>
                <w:szCs w:val="17"/>
                <w:color w:val="auto"/>
              </w:rPr>
              <w:t>Incentive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1060" w:type="dxa"/>
            <w:vAlign w:val="bottom"/>
          </w:tcPr>
          <w:p>
            <w:pPr>
              <w:ind w:left="40"/>
              <w:spacing w:after="0"/>
              <w:rPr>
                <w:sz w:val="20"/>
                <w:szCs w:val="20"/>
                <w:color w:val="auto"/>
              </w:rPr>
            </w:pPr>
            <w:r>
              <w:rPr>
                <w:rFonts w:ascii="Arial" w:cs="Arial" w:eastAsia="Arial" w:hAnsi="Arial"/>
                <w:sz w:val="17"/>
                <w:szCs w:val="17"/>
                <w:color w:val="auto"/>
              </w:rPr>
              <w:t>Plan</w:t>
            </w:r>
            <w:r>
              <w:rPr>
                <w:rFonts w:ascii="Arial" w:cs="Arial" w:eastAsia="Arial" w:hAnsi="Arial"/>
                <w:sz w:val="10"/>
                <w:szCs w:val="10"/>
                <w:color w:val="auto"/>
              </w:rPr>
              <w:t>(2)</w:t>
            </w:r>
          </w:p>
        </w:tc>
        <w:tc>
          <w:tcPr>
            <w:tcW w:w="820" w:type="dxa"/>
            <w:vAlign w:val="bottom"/>
          </w:tcPr>
          <w:p>
            <w:pPr>
              <w:spacing w:after="0"/>
              <w:rPr>
                <w:sz w:val="19"/>
                <w:szCs w:val="19"/>
                <w:color w:val="auto"/>
              </w:rPr>
            </w:pPr>
          </w:p>
        </w:tc>
        <w:tc>
          <w:tcPr>
            <w:tcW w:w="2120" w:type="dxa"/>
            <w:vAlign w:val="bottom"/>
            <w:gridSpan w:val="2"/>
          </w:tcPr>
          <w:p>
            <w:pPr>
              <w:jc w:val="right"/>
              <w:ind w:right="780"/>
              <w:spacing w:after="0"/>
              <w:rPr>
                <w:sz w:val="20"/>
                <w:szCs w:val="20"/>
                <w:color w:val="auto"/>
              </w:rPr>
            </w:pPr>
            <w:r>
              <w:rPr>
                <w:rFonts w:ascii="Arial" w:cs="Arial" w:eastAsia="Arial" w:hAnsi="Arial"/>
                <w:sz w:val="17"/>
                <w:szCs w:val="17"/>
                <w:color w:val="auto"/>
              </w:rPr>
              <w:t>9,047,792</w:t>
            </w:r>
            <w:r>
              <w:rPr>
                <w:rFonts w:ascii="Arial" w:cs="Arial" w:eastAsia="Arial" w:hAnsi="Arial"/>
                <w:sz w:val="10"/>
                <w:szCs w:val="10"/>
                <w:color w:val="auto"/>
              </w:rPr>
              <w:t>(3)</w:t>
            </w:r>
          </w:p>
        </w:tc>
        <w:tc>
          <w:tcPr>
            <w:tcW w:w="2080" w:type="dxa"/>
            <w:vAlign w:val="bottom"/>
            <w:gridSpan w:val="2"/>
          </w:tcPr>
          <w:p>
            <w:pPr>
              <w:jc w:val="right"/>
              <w:ind w:right="760"/>
              <w:spacing w:after="0"/>
              <w:rPr>
                <w:sz w:val="20"/>
                <w:szCs w:val="20"/>
                <w:color w:val="auto"/>
              </w:rPr>
            </w:pPr>
            <w:r>
              <w:rPr>
                <w:rFonts w:ascii="Arial" w:cs="Arial" w:eastAsia="Arial" w:hAnsi="Arial"/>
                <w:sz w:val="11"/>
                <w:szCs w:val="11"/>
                <w:color w:val="auto"/>
              </w:rPr>
              <w:t>(4)</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4,035,915</w:t>
            </w:r>
            <w:r>
              <w:rPr>
                <w:rFonts w:ascii="Arial" w:cs="Arial" w:eastAsia="Arial" w:hAnsi="Arial"/>
                <w:sz w:val="10"/>
                <w:szCs w:val="10"/>
                <w:color w:val="auto"/>
              </w:rPr>
              <w:t>(5)</w:t>
            </w:r>
          </w:p>
        </w:tc>
      </w:tr>
      <w:tr>
        <w:trPr>
          <w:trHeight w:val="20"/>
        </w:trPr>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5"/>
        </w:trPr>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20" w:type="dxa"/>
            <w:vAlign w:val="bottom"/>
            <w:gridSpan w:val="2"/>
          </w:tcPr>
          <w:p>
            <w:pPr>
              <w:jc w:val="right"/>
              <w:ind w:right="780"/>
              <w:spacing w:after="0"/>
              <w:rPr>
                <w:sz w:val="20"/>
                <w:szCs w:val="20"/>
                <w:color w:val="auto"/>
              </w:rPr>
            </w:pPr>
            <w:r>
              <w:rPr>
                <w:rFonts w:ascii="Arial" w:cs="Arial" w:eastAsia="Arial" w:hAnsi="Arial"/>
                <w:sz w:val="17"/>
                <w:szCs w:val="17"/>
                <w:color w:val="auto"/>
              </w:rPr>
              <w:t>22,230,372</w:t>
            </w:r>
            <w:r>
              <w:rPr>
                <w:rFonts w:ascii="Arial" w:cs="Arial" w:eastAsia="Arial" w:hAnsi="Arial"/>
                <w:sz w:val="10"/>
                <w:szCs w:val="10"/>
                <w:color w:val="auto"/>
              </w:rPr>
              <w:t>(3)</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28,045,241</w:t>
            </w:r>
          </w:p>
        </w:tc>
      </w:tr>
      <w:tr>
        <w:trPr>
          <w:trHeight w:val="20"/>
        </w:trPr>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-985520</wp:posOffset>
            </wp:positionV>
            <wp:extent cx="7251065" cy="405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1065" cy="40576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-156845</wp:posOffset>
            </wp:positionV>
            <wp:extent cx="7251065" cy="132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3260" w:space="720"/>
            <w:col w:w="7400"/>
          </w:cols>
          <w:pgMar w:left="240" w:top="448" w:right="279" w:bottom="1440" w:gutter="0" w:footer="0" w:header="0"/>
          <w:type w:val="continuous"/>
        </w:sectPr>
      </w:pPr>
    </w:p>
    <w:p>
      <w:pPr>
        <w:jc w:val="both"/>
        <w:ind w:left="460" w:right="280" w:hanging="456"/>
        <w:spacing w:after="0" w:line="269" w:lineRule="auto"/>
        <w:tabs>
          <w:tab w:leader="none" w:pos="460" w:val="left"/>
        </w:tabs>
        <w:numPr>
          <w:ilvl w:val="0"/>
          <w:numId w:val="77"/>
        </w:numPr>
        <w:rPr>
          <w:rFonts w:ascii="Arial" w:cs="Arial" w:eastAsia="Arial" w:hAnsi="Arial"/>
          <w:sz w:val="20"/>
          <w:szCs w:val="20"/>
          <w:color w:val="auto"/>
          <w:vertAlign w:val="superscript"/>
        </w:rPr>
      </w:pPr>
      <w:r>
        <w:rPr>
          <w:rFonts w:ascii="Arial" w:cs="Arial" w:eastAsia="Arial" w:hAnsi="Arial"/>
          <w:sz w:val="15"/>
          <w:szCs w:val="15"/>
          <w:color w:val="auto"/>
        </w:rPr>
        <w:t>Our 2008 Incentive Compensation Plan was approved by the stockholders of Lazard Ltd on May 6, 2008. The number of shares of Lazard Class A common stock available for issuance under the 2008 Incentive Compensation Plan is determined by a formula, which generally provides that the aggregate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28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380"/>
          </w:cols>
          <w:pgMar w:left="240" w:top="448" w:right="279" w:bottom="1440" w:gutter="0" w:footer="0" w:header="0"/>
          <w:type w:val="continuous"/>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460" w:right="120"/>
        <w:spacing w:after="0" w:line="241" w:lineRule="auto"/>
        <w:rPr>
          <w:sz w:val="20"/>
          <w:szCs w:val="20"/>
          <w:color w:val="auto"/>
        </w:rPr>
      </w:pPr>
      <w:r>
        <w:rPr>
          <w:rFonts w:ascii="Arial" w:cs="Arial" w:eastAsia="Arial" w:hAnsi="Arial"/>
          <w:sz w:val="17"/>
          <w:szCs w:val="17"/>
          <w:color w:val="auto"/>
        </w:rPr>
        <w:t>shares subject to outstanding awards under the 2008 Plan may not exceed 30% of the aggregate number of then-outstanding shares of Lazard Ltd Class A common stock (treating, for this purpose, the then-outstanding LAZ-MD Holdings exchangeable interests as shares of Lazard Ltd Class A common stock on an as-if-fully exchanged basis in accordance with the Master Separation Agreement).</w:t>
      </w:r>
    </w:p>
    <w:p>
      <w:pPr>
        <w:spacing w:after="0" w:line="23" w:lineRule="exact"/>
        <w:rPr>
          <w:sz w:val="20"/>
          <w:szCs w:val="20"/>
          <w:color w:val="auto"/>
        </w:rPr>
      </w:pPr>
    </w:p>
    <w:p>
      <w:pPr>
        <w:ind w:left="460" w:hanging="456"/>
        <w:spacing w:after="0"/>
        <w:tabs>
          <w:tab w:leader="none" w:pos="460" w:val="left"/>
        </w:tabs>
        <w:numPr>
          <w:ilvl w:val="0"/>
          <w:numId w:val="78"/>
        </w:numPr>
        <w:rPr>
          <w:rFonts w:ascii="Arial" w:cs="Arial" w:eastAsia="Arial" w:hAnsi="Arial"/>
          <w:sz w:val="20"/>
          <w:szCs w:val="20"/>
          <w:color w:val="auto"/>
          <w:vertAlign w:val="superscript"/>
        </w:rPr>
      </w:pPr>
      <w:r>
        <w:rPr>
          <w:rFonts w:ascii="Arial" w:cs="Arial" w:eastAsia="Arial" w:hAnsi="Arial"/>
          <w:sz w:val="15"/>
          <w:szCs w:val="15"/>
          <w:color w:val="auto"/>
        </w:rPr>
        <w:t>Our 2005 Equity Incentive Plan was established prior to our equity public offering in May 2005 and, as a result, did not require approval by security holders.</w:t>
      </w:r>
    </w:p>
    <w:p>
      <w:pPr>
        <w:spacing w:after="0" w:line="7" w:lineRule="exact"/>
        <w:rPr>
          <w:rFonts w:ascii="Arial" w:cs="Arial" w:eastAsia="Arial" w:hAnsi="Arial"/>
          <w:sz w:val="20"/>
          <w:szCs w:val="20"/>
          <w:color w:val="auto"/>
          <w:vertAlign w:val="superscript"/>
        </w:rPr>
      </w:pPr>
    </w:p>
    <w:p>
      <w:pPr>
        <w:ind w:left="460" w:hanging="456"/>
        <w:spacing w:after="0" w:line="230" w:lineRule="auto"/>
        <w:tabs>
          <w:tab w:leader="none" w:pos="460" w:val="left"/>
        </w:tabs>
        <w:numPr>
          <w:ilvl w:val="0"/>
          <w:numId w:val="78"/>
        </w:numPr>
        <w:rPr>
          <w:rFonts w:ascii="Arial" w:cs="Arial" w:eastAsia="Arial" w:hAnsi="Arial"/>
          <w:sz w:val="22"/>
          <w:szCs w:val="22"/>
          <w:color w:val="auto"/>
          <w:vertAlign w:val="superscript"/>
        </w:rPr>
      </w:pPr>
      <w:r>
        <w:rPr>
          <w:rFonts w:ascii="Arial" w:cs="Arial" w:eastAsia="Arial" w:hAnsi="Arial"/>
          <w:sz w:val="17"/>
          <w:szCs w:val="17"/>
          <w:color w:val="auto"/>
        </w:rPr>
        <w:t>Represents outstanding stock unit awards, after giving effect to forfeitures, as of December 31, 2010. As of that date, the only grants made under the 2005 Equity Incentive Plan and 2008 Incentive Compensation Plan have been in the form of stock unit awards. See Note 16 of Notes to Consolidated Financial Statements for a description of the plans.</w:t>
      </w:r>
    </w:p>
    <w:p>
      <w:pPr>
        <w:spacing w:after="0" w:line="1" w:lineRule="exact"/>
        <w:rPr>
          <w:rFonts w:ascii="Arial" w:cs="Arial" w:eastAsia="Arial" w:hAnsi="Arial"/>
          <w:sz w:val="22"/>
          <w:szCs w:val="22"/>
          <w:color w:val="auto"/>
          <w:vertAlign w:val="superscript"/>
        </w:rPr>
      </w:pPr>
    </w:p>
    <w:p>
      <w:pPr>
        <w:ind w:left="460" w:right="120" w:hanging="456"/>
        <w:spacing w:after="0" w:line="223" w:lineRule="auto"/>
        <w:tabs>
          <w:tab w:leader="none" w:pos="460" w:val="left"/>
        </w:tabs>
        <w:numPr>
          <w:ilvl w:val="0"/>
          <w:numId w:val="78"/>
        </w:numPr>
        <w:rPr>
          <w:rFonts w:ascii="Arial" w:cs="Arial" w:eastAsia="Arial" w:hAnsi="Arial"/>
          <w:sz w:val="22"/>
          <w:szCs w:val="22"/>
          <w:color w:val="auto"/>
          <w:vertAlign w:val="superscript"/>
        </w:rPr>
      </w:pPr>
      <w:r>
        <w:rPr>
          <w:rFonts w:ascii="Arial" w:cs="Arial" w:eastAsia="Arial" w:hAnsi="Arial"/>
          <w:sz w:val="17"/>
          <w:szCs w:val="17"/>
          <w:color w:val="auto"/>
        </w:rPr>
        <w:t>Each stock unit awarded under our 2005 Equity Incentive Plan and 2008 Incentive Compensation Plan was granted at no cost to the persons receiving them and represents the contingent right to receive the equivalent number of shares of Class A common stock of the Company.</w:t>
      </w:r>
    </w:p>
    <w:p>
      <w:pPr>
        <w:ind w:left="460" w:right="660" w:hanging="456"/>
        <w:spacing w:after="0" w:line="223" w:lineRule="auto"/>
        <w:tabs>
          <w:tab w:leader="none" w:pos="460" w:val="left"/>
        </w:tabs>
        <w:numPr>
          <w:ilvl w:val="0"/>
          <w:numId w:val="78"/>
        </w:numPr>
        <w:rPr>
          <w:rFonts w:ascii="Arial" w:cs="Arial" w:eastAsia="Arial" w:hAnsi="Arial"/>
          <w:sz w:val="22"/>
          <w:szCs w:val="22"/>
          <w:color w:val="auto"/>
          <w:vertAlign w:val="superscript"/>
        </w:rPr>
      </w:pPr>
      <w:r>
        <w:rPr>
          <w:rFonts w:ascii="Arial" w:cs="Arial" w:eastAsia="Arial" w:hAnsi="Arial"/>
          <w:sz w:val="17"/>
          <w:szCs w:val="17"/>
          <w:color w:val="auto"/>
        </w:rPr>
        <w:t>Gives effect to the number of securities remaining available for future issuance, after considering the impact of vested RSUs not delivered as a result of withholding taxes.</w:t>
      </w:r>
    </w:p>
    <w:p>
      <w:pPr>
        <w:spacing w:after="0" w:line="13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83" w:lineRule="exact"/>
        <w:rPr>
          <w:sz w:val="20"/>
          <w:szCs w:val="20"/>
          <w:color w:val="auto"/>
        </w:rPr>
      </w:pPr>
    </w:p>
    <w:p>
      <w:pPr>
        <w:ind w:right="420" w:firstLine="457"/>
        <w:spacing w:after="0" w:line="280" w:lineRule="auto"/>
        <w:rPr>
          <w:sz w:val="20"/>
          <w:szCs w:val="20"/>
          <w:color w:val="auto"/>
        </w:rPr>
      </w:pPr>
      <w:r>
        <w:rPr>
          <w:rFonts w:ascii="Arial" w:cs="Arial" w:eastAsia="Arial" w:hAnsi="Arial"/>
          <w:sz w:val="17"/>
          <w:szCs w:val="17"/>
          <w:color w:val="auto"/>
        </w:rPr>
        <w:t>Information regarding certain relationships and related transactions will be presented in Lazard Ltd’s definitive proxy statement for its 2011 annual general meeting of shareholders, which will be held on April 26, 2011, and is incorporated herein by reference.</w:t>
      </w:r>
    </w:p>
    <w:p>
      <w:pPr>
        <w:spacing w:after="0" w:line="10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83" w:lineRule="exact"/>
        <w:rPr>
          <w:sz w:val="20"/>
          <w:szCs w:val="20"/>
          <w:color w:val="auto"/>
        </w:rPr>
      </w:pPr>
    </w:p>
    <w:p>
      <w:pPr>
        <w:ind w:right="100" w:firstLine="457"/>
        <w:spacing w:after="0" w:line="280" w:lineRule="auto"/>
        <w:rPr>
          <w:sz w:val="20"/>
          <w:szCs w:val="20"/>
          <w:color w:val="auto"/>
        </w:rPr>
      </w:pPr>
      <w:r>
        <w:rPr>
          <w:rFonts w:ascii="Arial" w:cs="Arial" w:eastAsia="Arial" w:hAnsi="Arial"/>
          <w:sz w:val="17"/>
          <w:szCs w:val="17"/>
          <w:color w:val="auto"/>
        </w:rPr>
        <w:t>Information regarding principal accountant fees and services will be presented in Lazard Ltd’s definitive proxy statement for its 2011 annual general meeting of shareholders, which will be held on April 26, 2011, and is incorporated herein by reference.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400"/>
          </w:cols>
          <w:pgMar w:left="240" w:top="448" w:right="25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15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79" w:lineRule="exact"/>
        <w:rPr>
          <w:sz w:val="20"/>
          <w:szCs w:val="20"/>
          <w:color w:val="auto"/>
        </w:rPr>
      </w:pPr>
    </w:p>
    <w:p>
      <w:pPr>
        <w:ind w:left="460" w:hanging="456"/>
        <w:spacing w:after="0"/>
        <w:tabs>
          <w:tab w:leader="none" w:pos="46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Documents filed as part of this Report:</w:t>
      </w:r>
    </w:p>
    <w:p>
      <w:pPr>
        <w:spacing w:after="0" w:line="78" w:lineRule="exact"/>
        <w:rPr>
          <w:rFonts w:ascii="Arial" w:cs="Arial" w:eastAsia="Arial" w:hAnsi="Arial"/>
          <w:sz w:val="17"/>
          <w:szCs w:val="17"/>
          <w:b w:val="1"/>
          <w:bCs w:val="1"/>
          <w:color w:val="auto"/>
        </w:rPr>
      </w:pPr>
    </w:p>
    <w:p>
      <w:pPr>
        <w:ind w:left="920" w:hanging="459"/>
        <w:spacing w:after="0"/>
        <w:tabs>
          <w:tab w:leader="none" w:pos="920" w:val="left"/>
        </w:tabs>
        <w:numPr>
          <w:ilvl w:val="1"/>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Consolidated Financial Statements</w:t>
      </w:r>
    </w:p>
    <w:p>
      <w:pPr>
        <w:spacing w:after="0" w:line="82" w:lineRule="exact"/>
        <w:rPr>
          <w:rFonts w:ascii="Arial" w:cs="Arial" w:eastAsia="Arial" w:hAnsi="Arial"/>
          <w:sz w:val="17"/>
          <w:szCs w:val="17"/>
          <w:b w:val="1"/>
          <w:bCs w:val="1"/>
          <w:color w:val="auto"/>
        </w:rPr>
      </w:pPr>
    </w:p>
    <w:p>
      <w:pPr>
        <w:ind w:left="920"/>
        <w:spacing w:after="0"/>
        <w:rPr>
          <w:rFonts w:ascii="Arial" w:cs="Arial" w:eastAsia="Arial" w:hAnsi="Arial"/>
          <w:sz w:val="17"/>
          <w:szCs w:val="17"/>
          <w:b w:val="1"/>
          <w:bCs w:val="1"/>
          <w:color w:val="auto"/>
        </w:rPr>
      </w:pPr>
      <w:r>
        <w:rPr>
          <w:rFonts w:ascii="Arial" w:cs="Arial" w:eastAsia="Arial" w:hAnsi="Arial"/>
          <w:sz w:val="15"/>
          <w:szCs w:val="15"/>
          <w:color w:val="auto"/>
        </w:rPr>
        <w:t>The consolidated financial statements required to be filed in the Annual Report on Form 10-K are listed on page F-1 hereof and in Part II, Item 8 hereof.</w:t>
      </w:r>
    </w:p>
    <w:p>
      <w:pPr>
        <w:spacing w:after="0" w:line="175" w:lineRule="exact"/>
        <w:rPr>
          <w:rFonts w:ascii="Arial" w:cs="Arial" w:eastAsia="Arial" w:hAnsi="Arial"/>
          <w:sz w:val="17"/>
          <w:szCs w:val="17"/>
          <w:b w:val="1"/>
          <w:bCs w:val="1"/>
          <w:color w:val="auto"/>
        </w:rPr>
      </w:pPr>
    </w:p>
    <w:p>
      <w:pPr>
        <w:ind w:left="920" w:hanging="459"/>
        <w:spacing w:after="0"/>
        <w:tabs>
          <w:tab w:leader="none" w:pos="920" w:val="left"/>
        </w:tabs>
        <w:numPr>
          <w:ilvl w:val="1"/>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w:t>
      </w:r>
    </w:p>
    <w:p>
      <w:pPr>
        <w:spacing w:after="0" w:line="82" w:lineRule="exact"/>
        <w:rPr>
          <w:rFonts w:ascii="Arial" w:cs="Arial" w:eastAsia="Arial" w:hAnsi="Arial"/>
          <w:sz w:val="17"/>
          <w:szCs w:val="17"/>
          <w:b w:val="1"/>
          <w:bCs w:val="1"/>
          <w:color w:val="auto"/>
        </w:rPr>
      </w:pPr>
    </w:p>
    <w:p>
      <w:pPr>
        <w:ind w:left="920" w:right="200"/>
        <w:spacing w:after="0" w:line="280" w:lineRule="auto"/>
        <w:rPr>
          <w:rFonts w:ascii="Arial" w:cs="Arial" w:eastAsia="Arial" w:hAnsi="Arial"/>
          <w:sz w:val="17"/>
          <w:szCs w:val="17"/>
          <w:b w:val="1"/>
          <w:bCs w:val="1"/>
          <w:color w:val="auto"/>
        </w:rPr>
      </w:pPr>
      <w:r>
        <w:rPr>
          <w:rFonts w:ascii="Arial" w:cs="Arial" w:eastAsia="Arial" w:hAnsi="Arial"/>
          <w:sz w:val="17"/>
          <w:szCs w:val="17"/>
          <w:color w:val="auto"/>
        </w:rPr>
        <w:t>The financial statement schedule required in the Annual Report on Form 10-K is listed on page F-1 hereof. The required schedule appears on pages F-2 through F-8 hereof.</w:t>
      </w:r>
    </w:p>
    <w:p>
      <w:pPr>
        <w:spacing w:after="0" w:line="101" w:lineRule="exact"/>
        <w:rPr>
          <w:rFonts w:ascii="Arial" w:cs="Arial" w:eastAsia="Arial" w:hAnsi="Arial"/>
          <w:sz w:val="17"/>
          <w:szCs w:val="17"/>
          <w:b w:val="1"/>
          <w:bCs w:val="1"/>
          <w:color w:val="auto"/>
        </w:rPr>
      </w:pPr>
    </w:p>
    <w:p>
      <w:pPr>
        <w:ind w:left="920" w:hanging="459"/>
        <w:spacing w:after="0"/>
        <w:tabs>
          <w:tab w:leader="none" w:pos="920" w:val="left"/>
        </w:tabs>
        <w:numPr>
          <w:ilvl w:val="1"/>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700" w:type="dxa"/>
            <w:vAlign w:val="bottom"/>
          </w:tcPr>
          <w:p>
            <w:pPr>
              <w:jc w:val="right"/>
              <w:ind w:right="395"/>
              <w:spacing w:after="0"/>
              <w:rPr>
                <w:sz w:val="20"/>
                <w:szCs w:val="20"/>
                <w:color w:val="auto"/>
              </w:rPr>
            </w:pPr>
            <w:r>
              <w:rPr>
                <w:rFonts w:ascii="Arial" w:cs="Arial" w:eastAsia="Arial" w:hAnsi="Arial"/>
                <w:sz w:val="17"/>
                <w:szCs w:val="17"/>
                <w:color w:val="auto"/>
                <w:w w:val="84"/>
              </w:rPr>
              <w:t>2.1</w:t>
            </w:r>
          </w:p>
        </w:tc>
        <w:tc>
          <w:tcPr>
            <w:tcW w:w="10620" w:type="dxa"/>
            <w:vAlign w:val="bottom"/>
          </w:tcPr>
          <w:p>
            <w:pPr>
              <w:ind w:left="500"/>
              <w:spacing w:after="0"/>
              <w:rPr>
                <w:sz w:val="20"/>
                <w:szCs w:val="20"/>
                <w:color w:val="auto"/>
              </w:rPr>
            </w:pPr>
            <w:r>
              <w:rPr>
                <w:rFonts w:ascii="Arial" w:cs="Arial" w:eastAsia="Arial" w:hAnsi="Arial"/>
                <w:sz w:val="17"/>
                <w:szCs w:val="17"/>
                <w:color w:val="auto"/>
                <w:w w:val="94"/>
              </w:rPr>
              <w:t>Master Separation Agreement, dated as of May 10, 2005, by and among the Registrant, Lazard Group LLC, LAZ-MD Holdings LLC and LFCM</w:t>
            </w:r>
          </w:p>
        </w:tc>
      </w:tr>
      <w:tr>
        <w:trPr>
          <w:trHeight w:val="209"/>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w w:val="93"/>
              </w:rPr>
              <w:t>Holdings LLC (incorporated by reference to Exhibit 2.1 to the Registrant’s Quarterly Report (File No. 001-32492) on Form 10-Q filed on June 16,</w:t>
            </w:r>
          </w:p>
        </w:tc>
      </w:tr>
      <w:tr>
        <w:trPr>
          <w:trHeight w:val="215"/>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rPr>
              <w:t>2005).</w:t>
            </w:r>
          </w:p>
        </w:tc>
      </w:tr>
      <w:tr>
        <w:trPr>
          <w:trHeight w:val="307"/>
        </w:trPr>
        <w:tc>
          <w:tcPr>
            <w:tcW w:w="700" w:type="dxa"/>
            <w:vAlign w:val="bottom"/>
          </w:tcPr>
          <w:p>
            <w:pPr>
              <w:jc w:val="right"/>
              <w:ind w:right="395"/>
              <w:spacing w:after="0"/>
              <w:rPr>
                <w:sz w:val="20"/>
                <w:szCs w:val="20"/>
                <w:color w:val="auto"/>
              </w:rPr>
            </w:pPr>
            <w:r>
              <w:rPr>
                <w:rFonts w:ascii="Arial" w:cs="Arial" w:eastAsia="Arial" w:hAnsi="Arial"/>
                <w:sz w:val="17"/>
                <w:szCs w:val="17"/>
                <w:color w:val="auto"/>
                <w:w w:val="84"/>
              </w:rPr>
              <w:t>2.2</w:t>
            </w:r>
          </w:p>
        </w:tc>
        <w:tc>
          <w:tcPr>
            <w:tcW w:w="10620" w:type="dxa"/>
            <w:vAlign w:val="bottom"/>
          </w:tcPr>
          <w:p>
            <w:pPr>
              <w:ind w:left="500"/>
              <w:spacing w:after="0"/>
              <w:rPr>
                <w:sz w:val="20"/>
                <w:szCs w:val="20"/>
                <w:color w:val="auto"/>
              </w:rPr>
            </w:pPr>
            <w:r>
              <w:rPr>
                <w:rFonts w:ascii="Arial" w:cs="Arial" w:eastAsia="Arial" w:hAnsi="Arial"/>
                <w:sz w:val="17"/>
                <w:szCs w:val="17"/>
                <w:color w:val="auto"/>
              </w:rPr>
              <w:t>Amendment No. 1, dated as of November 6, 2006, to the Master Separation Agreement,</w:t>
            </w:r>
          </w:p>
        </w:tc>
      </w:tr>
      <w:tr>
        <w:trPr>
          <w:trHeight w:val="209"/>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w w:val="93"/>
              </w:rPr>
              <w:t>dated as of May 10, 2005, by and among the Registrant, Lazard Group LLC and LAZ-MD Holdings LLC (incorporated by reference to Exhibit 2.2</w:t>
            </w:r>
          </w:p>
        </w:tc>
      </w:tr>
      <w:tr>
        <w:trPr>
          <w:trHeight w:val="215"/>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rPr>
              <w:t>to the Registrant’s Quarterly Report (File No. 001-32492) on Form 10-Q filed on November 7, 2006).</w:t>
            </w:r>
          </w:p>
        </w:tc>
      </w:tr>
      <w:tr>
        <w:trPr>
          <w:trHeight w:val="320"/>
        </w:trPr>
        <w:tc>
          <w:tcPr>
            <w:tcW w:w="700" w:type="dxa"/>
            <w:vAlign w:val="bottom"/>
          </w:tcPr>
          <w:p>
            <w:pPr>
              <w:jc w:val="right"/>
              <w:ind w:right="395"/>
              <w:spacing w:after="0"/>
              <w:rPr>
                <w:sz w:val="20"/>
                <w:szCs w:val="20"/>
                <w:color w:val="auto"/>
              </w:rPr>
            </w:pPr>
            <w:r>
              <w:rPr>
                <w:rFonts w:ascii="Arial" w:cs="Arial" w:eastAsia="Arial" w:hAnsi="Arial"/>
                <w:sz w:val="17"/>
                <w:szCs w:val="17"/>
                <w:color w:val="auto"/>
                <w:w w:val="84"/>
              </w:rPr>
              <w:t>2.3</w:t>
            </w:r>
          </w:p>
        </w:tc>
        <w:tc>
          <w:tcPr>
            <w:tcW w:w="10620" w:type="dxa"/>
            <w:vAlign w:val="bottom"/>
          </w:tcPr>
          <w:p>
            <w:pPr>
              <w:ind w:left="500"/>
              <w:spacing w:after="0"/>
              <w:rPr>
                <w:sz w:val="20"/>
                <w:szCs w:val="20"/>
                <w:color w:val="auto"/>
              </w:rPr>
            </w:pPr>
            <w:r>
              <w:rPr>
                <w:rFonts w:ascii="Arial" w:cs="Arial" w:eastAsia="Arial" w:hAnsi="Arial"/>
                <w:sz w:val="17"/>
                <w:szCs w:val="17"/>
                <w:color w:val="auto"/>
                <w:w w:val="89"/>
              </w:rPr>
              <w:t>Second Amendment dated as of May 7, 2008, to the Master Separation Agreement dated as of May 10, 2005, as amended, by and among Lazard Ltd,</w:t>
            </w:r>
          </w:p>
        </w:tc>
      </w:tr>
      <w:tr>
        <w:trPr>
          <w:trHeight w:val="209"/>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w w:val="93"/>
              </w:rPr>
              <w:t>Lazard Group LLC and LAZ-MD Holdings LLC (incorporated by reference to Exhibit 2.1 to the Registrant’s Current Report on Form 8-K (File No.</w:t>
            </w:r>
          </w:p>
        </w:tc>
      </w:tr>
      <w:tr>
        <w:trPr>
          <w:trHeight w:val="215"/>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rPr>
              <w:t>001-32492) filed on May 8, 2008).</w:t>
            </w:r>
          </w:p>
        </w:tc>
      </w:tr>
      <w:tr>
        <w:trPr>
          <w:trHeight w:val="307"/>
        </w:trPr>
        <w:tc>
          <w:tcPr>
            <w:tcW w:w="700" w:type="dxa"/>
            <w:vAlign w:val="bottom"/>
          </w:tcPr>
          <w:p>
            <w:pPr>
              <w:jc w:val="right"/>
              <w:ind w:right="395"/>
              <w:spacing w:after="0"/>
              <w:rPr>
                <w:sz w:val="20"/>
                <w:szCs w:val="20"/>
                <w:color w:val="auto"/>
              </w:rPr>
            </w:pPr>
            <w:r>
              <w:rPr>
                <w:rFonts w:ascii="Arial" w:cs="Arial" w:eastAsia="Arial" w:hAnsi="Arial"/>
                <w:sz w:val="17"/>
                <w:szCs w:val="17"/>
                <w:color w:val="auto"/>
                <w:w w:val="84"/>
              </w:rPr>
              <w:t>2.4</w:t>
            </w:r>
          </w:p>
        </w:tc>
        <w:tc>
          <w:tcPr>
            <w:tcW w:w="10620" w:type="dxa"/>
            <w:vAlign w:val="bottom"/>
          </w:tcPr>
          <w:p>
            <w:pPr>
              <w:ind w:left="500"/>
              <w:spacing w:after="0"/>
              <w:rPr>
                <w:sz w:val="20"/>
                <w:szCs w:val="20"/>
                <w:color w:val="auto"/>
              </w:rPr>
            </w:pPr>
            <w:r>
              <w:rPr>
                <w:rFonts w:ascii="Arial" w:cs="Arial" w:eastAsia="Arial" w:hAnsi="Arial"/>
                <w:sz w:val="17"/>
                <w:szCs w:val="17"/>
                <w:color w:val="auto"/>
                <w:w w:val="92"/>
              </w:rPr>
              <w:t>Class B-1 and Class C Members Transaction Agreement (incorporated by reference to Exhibit 2.2 to the Registrant’s Registration Statement (File</w:t>
            </w:r>
          </w:p>
        </w:tc>
      </w:tr>
      <w:tr>
        <w:trPr>
          <w:trHeight w:val="215"/>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rPr>
              <w:t>No. 333-121407) on Form S-1 filed on December 17, 2004).</w:t>
            </w:r>
          </w:p>
        </w:tc>
      </w:tr>
      <w:tr>
        <w:trPr>
          <w:trHeight w:val="307"/>
        </w:trPr>
        <w:tc>
          <w:tcPr>
            <w:tcW w:w="700" w:type="dxa"/>
            <w:vAlign w:val="bottom"/>
          </w:tcPr>
          <w:p>
            <w:pPr>
              <w:jc w:val="right"/>
              <w:ind w:right="395"/>
              <w:spacing w:after="0"/>
              <w:rPr>
                <w:sz w:val="20"/>
                <w:szCs w:val="20"/>
                <w:color w:val="auto"/>
              </w:rPr>
            </w:pPr>
            <w:r>
              <w:rPr>
                <w:rFonts w:ascii="Arial" w:cs="Arial" w:eastAsia="Arial" w:hAnsi="Arial"/>
                <w:sz w:val="17"/>
                <w:szCs w:val="17"/>
                <w:color w:val="auto"/>
                <w:w w:val="84"/>
              </w:rPr>
              <w:t>3.1</w:t>
            </w:r>
          </w:p>
        </w:tc>
        <w:tc>
          <w:tcPr>
            <w:tcW w:w="10620" w:type="dxa"/>
            <w:vAlign w:val="bottom"/>
          </w:tcPr>
          <w:p>
            <w:pPr>
              <w:ind w:left="500"/>
              <w:spacing w:after="0"/>
              <w:rPr>
                <w:sz w:val="20"/>
                <w:szCs w:val="20"/>
                <w:color w:val="auto"/>
              </w:rPr>
            </w:pPr>
            <w:r>
              <w:rPr>
                <w:rFonts w:ascii="Arial" w:cs="Arial" w:eastAsia="Arial" w:hAnsi="Arial"/>
                <w:sz w:val="17"/>
                <w:szCs w:val="17"/>
                <w:color w:val="auto"/>
                <w:w w:val="97"/>
              </w:rPr>
              <w:t>Certificate of Incorporation and Memorandum of Association of the Registrant (incorporated by reference to Exhibit 3.1 to the Registrant’s</w:t>
            </w:r>
          </w:p>
        </w:tc>
      </w:tr>
      <w:tr>
        <w:trPr>
          <w:trHeight w:val="215"/>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rPr>
              <w:t>Registration Statement (File No. 333-121407) on Form S-1/A filed on March 21, 2005).</w:t>
            </w:r>
          </w:p>
        </w:tc>
      </w:tr>
      <w:tr>
        <w:trPr>
          <w:trHeight w:val="307"/>
        </w:trPr>
        <w:tc>
          <w:tcPr>
            <w:tcW w:w="700" w:type="dxa"/>
            <w:vAlign w:val="bottom"/>
          </w:tcPr>
          <w:p>
            <w:pPr>
              <w:jc w:val="right"/>
              <w:ind w:right="395"/>
              <w:spacing w:after="0"/>
              <w:rPr>
                <w:sz w:val="20"/>
                <w:szCs w:val="20"/>
                <w:color w:val="auto"/>
              </w:rPr>
            </w:pPr>
            <w:r>
              <w:rPr>
                <w:rFonts w:ascii="Arial" w:cs="Arial" w:eastAsia="Arial" w:hAnsi="Arial"/>
                <w:sz w:val="17"/>
                <w:szCs w:val="17"/>
                <w:color w:val="auto"/>
                <w:w w:val="84"/>
              </w:rPr>
              <w:t>3.2</w:t>
            </w:r>
          </w:p>
        </w:tc>
        <w:tc>
          <w:tcPr>
            <w:tcW w:w="10620" w:type="dxa"/>
            <w:vAlign w:val="bottom"/>
          </w:tcPr>
          <w:p>
            <w:pPr>
              <w:ind w:left="500"/>
              <w:spacing w:after="0"/>
              <w:rPr>
                <w:sz w:val="20"/>
                <w:szCs w:val="20"/>
                <w:color w:val="auto"/>
              </w:rPr>
            </w:pPr>
            <w:r>
              <w:rPr>
                <w:rFonts w:ascii="Arial" w:cs="Arial" w:eastAsia="Arial" w:hAnsi="Arial"/>
                <w:sz w:val="17"/>
                <w:szCs w:val="17"/>
                <w:color w:val="auto"/>
                <w:w w:val="91"/>
              </w:rPr>
              <w:t>Certificate of Incorporation in Change of Name of the Registrant (incorporated by reference to Exhibit 3.2 to the Registrant’s Registration Statement</w:t>
            </w:r>
          </w:p>
        </w:tc>
      </w:tr>
      <w:tr>
        <w:trPr>
          <w:trHeight w:val="215"/>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rPr>
              <w:t>(File No. 333-121407) on Form S-1/A filed on March 21, 2005).</w:t>
            </w:r>
          </w:p>
        </w:tc>
      </w:tr>
      <w:tr>
        <w:trPr>
          <w:trHeight w:val="307"/>
        </w:trPr>
        <w:tc>
          <w:tcPr>
            <w:tcW w:w="700" w:type="dxa"/>
            <w:vAlign w:val="bottom"/>
          </w:tcPr>
          <w:p>
            <w:pPr>
              <w:jc w:val="right"/>
              <w:ind w:right="395"/>
              <w:spacing w:after="0"/>
              <w:rPr>
                <w:sz w:val="20"/>
                <w:szCs w:val="20"/>
                <w:color w:val="auto"/>
              </w:rPr>
            </w:pPr>
            <w:r>
              <w:rPr>
                <w:rFonts w:ascii="Arial" w:cs="Arial" w:eastAsia="Arial" w:hAnsi="Arial"/>
                <w:sz w:val="17"/>
                <w:szCs w:val="17"/>
                <w:color w:val="auto"/>
                <w:w w:val="84"/>
              </w:rPr>
              <w:t>3.3</w:t>
            </w:r>
          </w:p>
        </w:tc>
        <w:tc>
          <w:tcPr>
            <w:tcW w:w="10620" w:type="dxa"/>
            <w:vAlign w:val="bottom"/>
          </w:tcPr>
          <w:p>
            <w:pPr>
              <w:ind w:left="500"/>
              <w:spacing w:after="0"/>
              <w:rPr>
                <w:sz w:val="20"/>
                <w:szCs w:val="20"/>
                <w:color w:val="auto"/>
              </w:rPr>
            </w:pPr>
            <w:r>
              <w:rPr>
                <w:rFonts w:ascii="Arial" w:cs="Arial" w:eastAsia="Arial" w:hAnsi="Arial"/>
                <w:sz w:val="17"/>
                <w:szCs w:val="17"/>
                <w:color w:val="auto"/>
                <w:w w:val="91"/>
              </w:rPr>
              <w:t>Amended and Restated Bye-Laws of Lazard Ltd (incorporated by reference to Exhibit 3.3 to the Registrant’s Quarterly Report (File No. 001-32492)</w:t>
            </w:r>
          </w:p>
        </w:tc>
      </w:tr>
      <w:tr>
        <w:trPr>
          <w:trHeight w:val="215"/>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rPr>
              <w:t>on Form 10-Q filed on June 16, 2005).</w:t>
            </w:r>
          </w:p>
        </w:tc>
      </w:tr>
      <w:tr>
        <w:trPr>
          <w:trHeight w:val="307"/>
        </w:trPr>
        <w:tc>
          <w:tcPr>
            <w:tcW w:w="700" w:type="dxa"/>
            <w:vAlign w:val="bottom"/>
          </w:tcPr>
          <w:p>
            <w:pPr>
              <w:jc w:val="right"/>
              <w:ind w:right="395"/>
              <w:spacing w:after="0"/>
              <w:rPr>
                <w:sz w:val="20"/>
                <w:szCs w:val="20"/>
                <w:color w:val="auto"/>
              </w:rPr>
            </w:pPr>
            <w:r>
              <w:rPr>
                <w:rFonts w:ascii="Arial" w:cs="Arial" w:eastAsia="Arial" w:hAnsi="Arial"/>
                <w:sz w:val="17"/>
                <w:szCs w:val="17"/>
                <w:color w:val="auto"/>
                <w:w w:val="84"/>
              </w:rPr>
              <w:t>3.4</w:t>
            </w:r>
          </w:p>
        </w:tc>
        <w:tc>
          <w:tcPr>
            <w:tcW w:w="10620" w:type="dxa"/>
            <w:vAlign w:val="bottom"/>
          </w:tcPr>
          <w:p>
            <w:pPr>
              <w:ind w:left="500"/>
              <w:spacing w:after="0"/>
              <w:rPr>
                <w:sz w:val="20"/>
                <w:szCs w:val="20"/>
                <w:color w:val="auto"/>
              </w:rPr>
            </w:pPr>
            <w:r>
              <w:rPr>
                <w:rFonts w:ascii="Arial" w:cs="Arial" w:eastAsia="Arial" w:hAnsi="Arial"/>
                <w:sz w:val="17"/>
                <w:szCs w:val="17"/>
                <w:color w:val="auto"/>
                <w:w w:val="92"/>
              </w:rPr>
              <w:t>First Amendment to Amended and Restated Bye-Laws of Lazard Ltd (incorporated by reference to Exhibit 3.4 to the Registrant’s Quarterly Report</w:t>
            </w:r>
          </w:p>
        </w:tc>
      </w:tr>
      <w:tr>
        <w:trPr>
          <w:trHeight w:val="215"/>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rPr>
              <w:t>(File No. 001-32492) on Form 10-Q filed on May 9, 2008).</w:t>
            </w:r>
          </w:p>
        </w:tc>
      </w:tr>
      <w:tr>
        <w:trPr>
          <w:trHeight w:val="307"/>
        </w:trPr>
        <w:tc>
          <w:tcPr>
            <w:tcW w:w="700" w:type="dxa"/>
            <w:vAlign w:val="bottom"/>
          </w:tcPr>
          <w:p>
            <w:pPr>
              <w:jc w:val="right"/>
              <w:ind w:right="395"/>
              <w:spacing w:after="0"/>
              <w:rPr>
                <w:sz w:val="20"/>
                <w:szCs w:val="20"/>
                <w:color w:val="auto"/>
              </w:rPr>
            </w:pPr>
            <w:r>
              <w:rPr>
                <w:rFonts w:ascii="Arial" w:cs="Arial" w:eastAsia="Arial" w:hAnsi="Arial"/>
                <w:sz w:val="17"/>
                <w:szCs w:val="17"/>
                <w:color w:val="auto"/>
                <w:w w:val="84"/>
              </w:rPr>
              <w:t>3.5</w:t>
            </w:r>
          </w:p>
        </w:tc>
        <w:tc>
          <w:tcPr>
            <w:tcW w:w="10620" w:type="dxa"/>
            <w:vAlign w:val="bottom"/>
          </w:tcPr>
          <w:p>
            <w:pPr>
              <w:ind w:left="500"/>
              <w:spacing w:after="0"/>
              <w:rPr>
                <w:sz w:val="20"/>
                <w:szCs w:val="20"/>
                <w:color w:val="auto"/>
              </w:rPr>
            </w:pPr>
            <w:r>
              <w:rPr>
                <w:rFonts w:ascii="Arial" w:cs="Arial" w:eastAsia="Arial" w:hAnsi="Arial"/>
                <w:sz w:val="17"/>
                <w:szCs w:val="17"/>
                <w:color w:val="auto"/>
                <w:w w:val="92"/>
              </w:rPr>
              <w:t>Second Amendment to the Amended and Restated Bye-Laws of Lazard Ltd (incorporated by reference to Exhibit 3.5 to the Registrant’s Quarterly</w:t>
            </w:r>
          </w:p>
        </w:tc>
      </w:tr>
      <w:tr>
        <w:trPr>
          <w:trHeight w:val="215"/>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rPr>
              <w:t>Report (File No. 001-32492) on Form 10-Q filed on April 30, 2010).</w:t>
            </w:r>
          </w:p>
        </w:tc>
      </w:tr>
      <w:tr>
        <w:trPr>
          <w:trHeight w:val="307"/>
        </w:trPr>
        <w:tc>
          <w:tcPr>
            <w:tcW w:w="700" w:type="dxa"/>
            <w:vAlign w:val="bottom"/>
          </w:tcPr>
          <w:p>
            <w:pPr>
              <w:jc w:val="right"/>
              <w:ind w:right="395"/>
              <w:spacing w:after="0"/>
              <w:rPr>
                <w:sz w:val="20"/>
                <w:szCs w:val="20"/>
                <w:color w:val="auto"/>
              </w:rPr>
            </w:pPr>
            <w:r>
              <w:rPr>
                <w:rFonts w:ascii="Arial" w:cs="Arial" w:eastAsia="Arial" w:hAnsi="Arial"/>
                <w:sz w:val="17"/>
                <w:szCs w:val="17"/>
                <w:color w:val="auto"/>
                <w:w w:val="84"/>
              </w:rPr>
              <w:t>4.1</w:t>
            </w:r>
          </w:p>
        </w:tc>
        <w:tc>
          <w:tcPr>
            <w:tcW w:w="10620" w:type="dxa"/>
            <w:vAlign w:val="bottom"/>
          </w:tcPr>
          <w:p>
            <w:pPr>
              <w:ind w:left="500"/>
              <w:spacing w:after="0"/>
              <w:rPr>
                <w:sz w:val="20"/>
                <w:szCs w:val="20"/>
                <w:color w:val="auto"/>
              </w:rPr>
            </w:pPr>
            <w:r>
              <w:rPr>
                <w:rFonts w:ascii="Arial" w:cs="Arial" w:eastAsia="Arial" w:hAnsi="Arial"/>
                <w:sz w:val="17"/>
                <w:szCs w:val="17"/>
                <w:color w:val="auto"/>
                <w:w w:val="92"/>
              </w:rPr>
              <w:t>Form of Specimen Certificate for Class A common stock (incorporated by reference to Exhibit 4.1 to the Registrant’s Registration Statement (File</w:t>
            </w:r>
          </w:p>
        </w:tc>
      </w:tr>
      <w:tr>
        <w:trPr>
          <w:trHeight w:val="215"/>
        </w:trPr>
        <w:tc>
          <w:tcPr>
            <w:tcW w:w="700" w:type="dxa"/>
            <w:vAlign w:val="bottom"/>
          </w:tcPr>
          <w:p>
            <w:pPr>
              <w:spacing w:after="0"/>
              <w:rPr>
                <w:sz w:val="18"/>
                <w:szCs w:val="18"/>
                <w:color w:val="auto"/>
              </w:rPr>
            </w:pPr>
          </w:p>
        </w:tc>
        <w:tc>
          <w:tcPr>
            <w:tcW w:w="10620" w:type="dxa"/>
            <w:vAlign w:val="bottom"/>
          </w:tcPr>
          <w:p>
            <w:pPr>
              <w:ind w:left="500"/>
              <w:spacing w:after="0"/>
              <w:rPr>
                <w:sz w:val="20"/>
                <w:szCs w:val="20"/>
                <w:color w:val="auto"/>
              </w:rPr>
            </w:pPr>
            <w:r>
              <w:rPr>
                <w:rFonts w:ascii="Arial" w:cs="Arial" w:eastAsia="Arial" w:hAnsi="Arial"/>
                <w:sz w:val="17"/>
                <w:szCs w:val="17"/>
                <w:color w:val="auto"/>
              </w:rPr>
              <w:t>No. 333-121407) on Form S-1/A filed on April 11, 2005).</w:t>
            </w:r>
          </w:p>
        </w:tc>
      </w:tr>
      <w:tr>
        <w:trPr>
          <w:trHeight w:val="352"/>
        </w:trPr>
        <w:tc>
          <w:tcPr>
            <w:tcW w:w="700" w:type="dxa"/>
            <w:vAlign w:val="bottom"/>
          </w:tcPr>
          <w:p>
            <w:pPr>
              <w:spacing w:after="0"/>
              <w:rPr>
                <w:sz w:val="24"/>
                <w:szCs w:val="24"/>
                <w:color w:val="auto"/>
              </w:rPr>
            </w:pPr>
          </w:p>
        </w:tc>
        <w:tc>
          <w:tcPr>
            <w:tcW w:w="10620" w:type="dxa"/>
            <w:vAlign w:val="bottom"/>
          </w:tcPr>
          <w:p>
            <w:pPr>
              <w:ind w:left="4800"/>
              <w:spacing w:after="0"/>
              <w:rPr>
                <w:sz w:val="20"/>
                <w:szCs w:val="20"/>
                <w:color w:val="auto"/>
              </w:rPr>
            </w:pPr>
            <w:r>
              <w:rPr>
                <w:rFonts w:ascii="Arial" w:cs="Arial" w:eastAsia="Arial" w:hAnsi="Arial"/>
                <w:sz w:val="17"/>
                <w:szCs w:val="17"/>
                <w:color w:val="auto"/>
              </w:rPr>
              <w:t>138</w:t>
            </w:r>
          </w:p>
        </w:tc>
      </w:tr>
    </w:tbl>
    <w:p>
      <w:pPr>
        <w:sectPr>
          <w:pgSz w:w="11900" w:h="16838" w:orient="portrait"/>
          <w:cols w:equalWidth="0" w:num="1">
            <w:col w:w="11400"/>
          </w:cols>
          <w:pgMar w:left="240" w:top="448" w:right="25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 w:type="dxa"/>
            <w:vAlign w:val="bottom"/>
          </w:tcPr>
          <w:p>
            <w:pPr>
              <w:jc w:val="right"/>
              <w:ind w:right="435"/>
              <w:spacing w:after="0"/>
              <w:rPr>
                <w:sz w:val="20"/>
                <w:szCs w:val="20"/>
                <w:color w:val="auto"/>
              </w:rPr>
            </w:pPr>
            <w:r>
              <w:rPr>
                <w:rFonts w:ascii="Arial" w:cs="Arial" w:eastAsia="Arial" w:hAnsi="Arial"/>
                <w:sz w:val="17"/>
                <w:szCs w:val="17"/>
                <w:color w:val="auto"/>
              </w:rPr>
              <w:t>4.2</w:t>
            </w:r>
          </w:p>
        </w:tc>
        <w:tc>
          <w:tcPr>
            <w:tcW w:w="10600" w:type="dxa"/>
            <w:vAlign w:val="bottom"/>
          </w:tcPr>
          <w:p>
            <w:pPr>
              <w:ind w:left="460"/>
              <w:spacing w:after="0"/>
              <w:rPr>
                <w:sz w:val="20"/>
                <w:szCs w:val="20"/>
                <w:color w:val="auto"/>
              </w:rPr>
            </w:pPr>
            <w:r>
              <w:rPr>
                <w:rFonts w:ascii="Arial" w:cs="Arial" w:eastAsia="Arial" w:hAnsi="Arial"/>
                <w:sz w:val="17"/>
                <w:szCs w:val="17"/>
                <w:color w:val="auto"/>
                <w:w w:val="94"/>
              </w:rPr>
              <w:t>Indenture, dated as of May 10, 2005, by and between Lazard Group LLC and The Bank of New York, as Trustee (incorporated by reference to</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Exhibit 4.1 to Lazard Group LLC’s Registration Statement (File No. 333-126751) on Form S-4 filed on July 21, 2005).</w:t>
            </w:r>
          </w:p>
        </w:tc>
      </w:tr>
      <w:tr>
        <w:trPr>
          <w:trHeight w:val="307"/>
        </w:trPr>
        <w:tc>
          <w:tcPr>
            <w:tcW w:w="820" w:type="dxa"/>
            <w:vAlign w:val="bottom"/>
          </w:tcPr>
          <w:p>
            <w:pPr>
              <w:jc w:val="right"/>
              <w:ind w:right="435"/>
              <w:spacing w:after="0"/>
              <w:rPr>
                <w:sz w:val="20"/>
                <w:szCs w:val="20"/>
                <w:color w:val="auto"/>
              </w:rPr>
            </w:pPr>
            <w:r>
              <w:rPr>
                <w:rFonts w:ascii="Arial" w:cs="Arial" w:eastAsia="Arial" w:hAnsi="Arial"/>
                <w:sz w:val="17"/>
                <w:szCs w:val="17"/>
                <w:color w:val="auto"/>
              </w:rPr>
              <w:t>4.3</w:t>
            </w:r>
          </w:p>
        </w:tc>
        <w:tc>
          <w:tcPr>
            <w:tcW w:w="10600" w:type="dxa"/>
            <w:vAlign w:val="bottom"/>
          </w:tcPr>
          <w:p>
            <w:pPr>
              <w:ind w:left="460"/>
              <w:spacing w:after="0"/>
              <w:rPr>
                <w:sz w:val="20"/>
                <w:szCs w:val="20"/>
                <w:color w:val="auto"/>
              </w:rPr>
            </w:pPr>
            <w:r>
              <w:rPr>
                <w:rFonts w:ascii="Arial" w:cs="Arial" w:eastAsia="Arial" w:hAnsi="Arial"/>
                <w:sz w:val="17"/>
                <w:szCs w:val="17"/>
                <w:color w:val="auto"/>
                <w:w w:val="91"/>
              </w:rPr>
              <w:t>Amended and Restated Third Supplemental Indenture, dated as of May 15, 2008, by and among Lazard Group LLC and The Bank of New York, as</w:t>
            </w:r>
          </w:p>
        </w:tc>
      </w:tr>
      <w:tr>
        <w:trPr>
          <w:trHeight w:val="209"/>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w w:val="93"/>
              </w:rPr>
              <w:t>trustee (and incorporated by reference to Exhibit 4.1 to the Registrants’ Current Report on Form 8-K (Commission File No. 333-126751) filed on</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May 16, 2008).</w:t>
            </w:r>
          </w:p>
        </w:tc>
      </w:tr>
      <w:tr>
        <w:trPr>
          <w:trHeight w:val="307"/>
        </w:trPr>
        <w:tc>
          <w:tcPr>
            <w:tcW w:w="820" w:type="dxa"/>
            <w:vAlign w:val="bottom"/>
          </w:tcPr>
          <w:p>
            <w:pPr>
              <w:jc w:val="right"/>
              <w:ind w:right="435"/>
              <w:spacing w:after="0"/>
              <w:rPr>
                <w:sz w:val="20"/>
                <w:szCs w:val="20"/>
                <w:color w:val="auto"/>
              </w:rPr>
            </w:pPr>
            <w:r>
              <w:rPr>
                <w:rFonts w:ascii="Arial" w:cs="Arial" w:eastAsia="Arial" w:hAnsi="Arial"/>
                <w:sz w:val="17"/>
                <w:szCs w:val="17"/>
                <w:color w:val="auto"/>
              </w:rPr>
              <w:t>4.4</w:t>
            </w:r>
          </w:p>
        </w:tc>
        <w:tc>
          <w:tcPr>
            <w:tcW w:w="10600" w:type="dxa"/>
            <w:vAlign w:val="bottom"/>
          </w:tcPr>
          <w:p>
            <w:pPr>
              <w:ind w:left="460"/>
              <w:spacing w:after="0"/>
              <w:rPr>
                <w:sz w:val="20"/>
                <w:szCs w:val="20"/>
                <w:color w:val="auto"/>
              </w:rPr>
            </w:pPr>
            <w:r>
              <w:rPr>
                <w:rFonts w:ascii="Arial" w:cs="Arial" w:eastAsia="Arial" w:hAnsi="Arial"/>
                <w:sz w:val="17"/>
                <w:szCs w:val="17"/>
                <w:color w:val="auto"/>
                <w:w w:val="93"/>
              </w:rPr>
              <w:t>Fourth Supplemental Indenture, dated as of June 21, 2007, between Lazard Group LLC and The Bank of New York, as trustee (incorporated by</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reference to Exhibit 4.1 to the Registrant’s Current Report on Form 8-K (File No. 001-32492) filed on June 22, 2007).</w:t>
            </w:r>
          </w:p>
        </w:tc>
      </w:tr>
      <w:tr>
        <w:trPr>
          <w:trHeight w:val="313"/>
        </w:trPr>
        <w:tc>
          <w:tcPr>
            <w:tcW w:w="820" w:type="dxa"/>
            <w:vAlign w:val="bottom"/>
          </w:tcPr>
          <w:p>
            <w:pPr>
              <w:jc w:val="right"/>
              <w:ind w:right="435"/>
              <w:spacing w:after="0"/>
              <w:rPr>
                <w:sz w:val="20"/>
                <w:szCs w:val="20"/>
                <w:color w:val="auto"/>
              </w:rPr>
            </w:pPr>
            <w:r>
              <w:rPr>
                <w:rFonts w:ascii="Arial" w:cs="Arial" w:eastAsia="Arial" w:hAnsi="Arial"/>
                <w:sz w:val="17"/>
                <w:szCs w:val="17"/>
                <w:color w:val="auto"/>
              </w:rPr>
              <w:t>4.5</w:t>
            </w:r>
          </w:p>
        </w:tc>
        <w:tc>
          <w:tcPr>
            <w:tcW w:w="10600" w:type="dxa"/>
            <w:vAlign w:val="bottom"/>
          </w:tcPr>
          <w:p>
            <w:pPr>
              <w:ind w:left="460"/>
              <w:spacing w:after="0"/>
              <w:rPr>
                <w:sz w:val="20"/>
                <w:szCs w:val="20"/>
                <w:color w:val="auto"/>
              </w:rPr>
            </w:pPr>
            <w:r>
              <w:rPr>
                <w:rFonts w:ascii="Arial" w:cs="Arial" w:eastAsia="Arial" w:hAnsi="Arial"/>
                <w:sz w:val="17"/>
                <w:szCs w:val="17"/>
                <w:color w:val="auto"/>
              </w:rPr>
              <w:t>Form of Senior Note (included in Exhibit 4.3).</w:t>
            </w:r>
          </w:p>
        </w:tc>
      </w:tr>
      <w:tr>
        <w:trPr>
          <w:trHeight w:val="307"/>
        </w:trPr>
        <w:tc>
          <w:tcPr>
            <w:tcW w:w="820" w:type="dxa"/>
            <w:vAlign w:val="bottom"/>
          </w:tcPr>
          <w:p>
            <w:pPr>
              <w:jc w:val="right"/>
              <w:ind w:right="435"/>
              <w:spacing w:after="0"/>
              <w:rPr>
                <w:sz w:val="20"/>
                <w:szCs w:val="20"/>
                <w:color w:val="auto"/>
              </w:rPr>
            </w:pPr>
            <w:r>
              <w:rPr>
                <w:rFonts w:ascii="Arial" w:cs="Arial" w:eastAsia="Arial" w:hAnsi="Arial"/>
                <w:sz w:val="17"/>
                <w:szCs w:val="17"/>
                <w:color w:val="auto"/>
                <w:w w:val="84"/>
              </w:rPr>
              <w:t>10.1</w:t>
            </w:r>
          </w:p>
        </w:tc>
        <w:tc>
          <w:tcPr>
            <w:tcW w:w="10600" w:type="dxa"/>
            <w:vAlign w:val="bottom"/>
          </w:tcPr>
          <w:p>
            <w:pPr>
              <w:ind w:left="460"/>
              <w:spacing w:after="0"/>
              <w:rPr>
                <w:sz w:val="20"/>
                <w:szCs w:val="20"/>
                <w:color w:val="auto"/>
              </w:rPr>
            </w:pPr>
            <w:r>
              <w:rPr>
                <w:rFonts w:ascii="Arial" w:cs="Arial" w:eastAsia="Arial" w:hAnsi="Arial"/>
                <w:sz w:val="17"/>
                <w:szCs w:val="17"/>
                <w:color w:val="auto"/>
                <w:w w:val="91"/>
              </w:rPr>
              <w:t>Amended and Restated Stockholders’ Agreement, dated as of November 6, 2006, by and among LAZ-MD Holdings LLC, the Registrant and certain</w:t>
            </w:r>
          </w:p>
        </w:tc>
      </w:tr>
      <w:tr>
        <w:trPr>
          <w:trHeight w:val="209"/>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w w:val="97"/>
              </w:rPr>
              <w:t>members of LAZ-MD Holdings LLC (incorporated by reference to Exhibit 10.1 to the Registrant’s Quarterly Report (File No. 001-32492) on</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Form 10-Q filed on November 7, 2006).</w:t>
            </w:r>
          </w:p>
        </w:tc>
      </w:tr>
      <w:tr>
        <w:trPr>
          <w:trHeight w:val="307"/>
        </w:trPr>
        <w:tc>
          <w:tcPr>
            <w:tcW w:w="820" w:type="dxa"/>
            <w:vAlign w:val="bottom"/>
          </w:tcPr>
          <w:p>
            <w:pPr>
              <w:jc w:val="right"/>
              <w:ind w:right="435"/>
              <w:spacing w:after="0"/>
              <w:rPr>
                <w:sz w:val="20"/>
                <w:szCs w:val="20"/>
                <w:color w:val="auto"/>
              </w:rPr>
            </w:pPr>
            <w:r>
              <w:rPr>
                <w:rFonts w:ascii="Arial" w:cs="Arial" w:eastAsia="Arial" w:hAnsi="Arial"/>
                <w:sz w:val="17"/>
                <w:szCs w:val="17"/>
                <w:color w:val="auto"/>
                <w:w w:val="84"/>
              </w:rPr>
              <w:t>10.2</w:t>
            </w:r>
          </w:p>
        </w:tc>
        <w:tc>
          <w:tcPr>
            <w:tcW w:w="10600" w:type="dxa"/>
            <w:vAlign w:val="bottom"/>
          </w:tcPr>
          <w:p>
            <w:pPr>
              <w:ind w:left="460"/>
              <w:spacing w:after="0"/>
              <w:rPr>
                <w:sz w:val="20"/>
                <w:szCs w:val="20"/>
                <w:color w:val="auto"/>
              </w:rPr>
            </w:pPr>
            <w:r>
              <w:rPr>
                <w:rFonts w:ascii="Arial" w:cs="Arial" w:eastAsia="Arial" w:hAnsi="Arial"/>
                <w:sz w:val="17"/>
                <w:szCs w:val="17"/>
                <w:color w:val="auto"/>
                <w:w w:val="92"/>
              </w:rPr>
              <w:t>First Amendment, dated as of May 7, 2008, to the Amended and Restated Stockholders’ Agreement dated as of November 6, 2006, between LAZ-</w:t>
            </w:r>
          </w:p>
        </w:tc>
      </w:tr>
      <w:tr>
        <w:trPr>
          <w:trHeight w:val="209"/>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w w:val="94"/>
              </w:rPr>
              <w:t>MD Holdings LLC and Lazard Ltd. (incorporated by reference to Exhibit 10.2 to the Registrant’s Quarterly Report (File No. 001-32492) on Form</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10-Q filed on May 9, 2008).</w:t>
            </w:r>
          </w:p>
        </w:tc>
      </w:tr>
      <w:tr>
        <w:trPr>
          <w:trHeight w:val="307"/>
        </w:trPr>
        <w:tc>
          <w:tcPr>
            <w:tcW w:w="820" w:type="dxa"/>
            <w:vAlign w:val="bottom"/>
          </w:tcPr>
          <w:p>
            <w:pPr>
              <w:jc w:val="right"/>
              <w:ind w:right="435"/>
              <w:spacing w:after="0"/>
              <w:rPr>
                <w:sz w:val="20"/>
                <w:szCs w:val="20"/>
                <w:color w:val="auto"/>
              </w:rPr>
            </w:pPr>
            <w:r>
              <w:rPr>
                <w:rFonts w:ascii="Arial" w:cs="Arial" w:eastAsia="Arial" w:hAnsi="Arial"/>
                <w:sz w:val="17"/>
                <w:szCs w:val="17"/>
                <w:color w:val="auto"/>
                <w:w w:val="84"/>
              </w:rPr>
              <w:t>10.3</w:t>
            </w:r>
          </w:p>
        </w:tc>
        <w:tc>
          <w:tcPr>
            <w:tcW w:w="10600" w:type="dxa"/>
            <w:vAlign w:val="bottom"/>
          </w:tcPr>
          <w:p>
            <w:pPr>
              <w:ind w:left="460"/>
              <w:spacing w:after="0"/>
              <w:rPr>
                <w:sz w:val="20"/>
                <w:szCs w:val="20"/>
                <w:color w:val="auto"/>
              </w:rPr>
            </w:pPr>
            <w:r>
              <w:rPr>
                <w:rFonts w:ascii="Arial" w:cs="Arial" w:eastAsia="Arial" w:hAnsi="Arial"/>
                <w:sz w:val="17"/>
                <w:szCs w:val="17"/>
                <w:color w:val="auto"/>
                <w:w w:val="95"/>
              </w:rPr>
              <w:t>Operating Agreement of Lazard Group LLC, dated as of May 10, 2005 (incorporated by reference to Exhibit 10.2 to the Registrant’s Quarterly</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Report (File No. 001-32492) on Form 10-Q filed on June 16, 2005).</w:t>
            </w:r>
          </w:p>
        </w:tc>
      </w:tr>
      <w:tr>
        <w:trPr>
          <w:trHeight w:val="307"/>
        </w:trPr>
        <w:tc>
          <w:tcPr>
            <w:tcW w:w="820" w:type="dxa"/>
            <w:vAlign w:val="bottom"/>
          </w:tcPr>
          <w:p>
            <w:pPr>
              <w:jc w:val="right"/>
              <w:ind w:right="435"/>
              <w:spacing w:after="0"/>
              <w:rPr>
                <w:sz w:val="20"/>
                <w:szCs w:val="20"/>
                <w:color w:val="auto"/>
              </w:rPr>
            </w:pPr>
            <w:r>
              <w:rPr>
                <w:rFonts w:ascii="Arial" w:cs="Arial" w:eastAsia="Arial" w:hAnsi="Arial"/>
                <w:sz w:val="17"/>
                <w:szCs w:val="17"/>
                <w:color w:val="auto"/>
                <w:w w:val="84"/>
              </w:rPr>
              <w:t>10.4</w:t>
            </w:r>
          </w:p>
        </w:tc>
        <w:tc>
          <w:tcPr>
            <w:tcW w:w="10600" w:type="dxa"/>
            <w:vAlign w:val="bottom"/>
          </w:tcPr>
          <w:p>
            <w:pPr>
              <w:ind w:left="460"/>
              <w:spacing w:after="0"/>
              <w:rPr>
                <w:sz w:val="20"/>
                <w:szCs w:val="20"/>
                <w:color w:val="auto"/>
              </w:rPr>
            </w:pPr>
            <w:r>
              <w:rPr>
                <w:rFonts w:ascii="Arial" w:cs="Arial" w:eastAsia="Arial" w:hAnsi="Arial"/>
                <w:sz w:val="17"/>
                <w:szCs w:val="17"/>
                <w:color w:val="auto"/>
                <w:w w:val="92"/>
              </w:rPr>
              <w:t>Amendment No. 1 to the Operating Agreement of Lazard Group LLC, dated as of December 19, 2005 (incorporated by reference to Exhibit 3.01 to</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Lazard Group LLC’s Current Report on Form 8-K (File No. 333-126751) filed on December 19, 2005).</w:t>
            </w:r>
          </w:p>
        </w:tc>
      </w:tr>
      <w:tr>
        <w:trPr>
          <w:trHeight w:val="307"/>
        </w:trPr>
        <w:tc>
          <w:tcPr>
            <w:tcW w:w="820" w:type="dxa"/>
            <w:vAlign w:val="bottom"/>
          </w:tcPr>
          <w:p>
            <w:pPr>
              <w:jc w:val="right"/>
              <w:ind w:right="435"/>
              <w:spacing w:after="0"/>
              <w:rPr>
                <w:sz w:val="20"/>
                <w:szCs w:val="20"/>
                <w:color w:val="auto"/>
              </w:rPr>
            </w:pPr>
            <w:r>
              <w:rPr>
                <w:rFonts w:ascii="Arial" w:cs="Arial" w:eastAsia="Arial" w:hAnsi="Arial"/>
                <w:sz w:val="17"/>
                <w:szCs w:val="17"/>
                <w:color w:val="auto"/>
                <w:w w:val="84"/>
              </w:rPr>
              <w:t>10.5</w:t>
            </w:r>
          </w:p>
        </w:tc>
        <w:tc>
          <w:tcPr>
            <w:tcW w:w="10600" w:type="dxa"/>
            <w:vAlign w:val="bottom"/>
          </w:tcPr>
          <w:p>
            <w:pPr>
              <w:ind w:left="460"/>
              <w:spacing w:after="0"/>
              <w:rPr>
                <w:sz w:val="20"/>
                <w:szCs w:val="20"/>
                <w:color w:val="auto"/>
              </w:rPr>
            </w:pPr>
            <w:r>
              <w:rPr>
                <w:rFonts w:ascii="Arial" w:cs="Arial" w:eastAsia="Arial" w:hAnsi="Arial"/>
                <w:sz w:val="17"/>
                <w:szCs w:val="17"/>
                <w:color w:val="auto"/>
                <w:w w:val="90"/>
              </w:rPr>
              <w:t>Amendment No. 2, dated as of May 7, 2008, to the Operating Agreement of Lazard Group LLC, dated as of May 10, 2005 (incorporated by reference</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to Exhibit 10.3 to the Registrant’s Current Report on Form 8-K (File No. 001-32492) filed on May 8, 2008).</w:t>
            </w:r>
          </w:p>
        </w:tc>
      </w:tr>
      <w:tr>
        <w:trPr>
          <w:trHeight w:val="307"/>
        </w:trPr>
        <w:tc>
          <w:tcPr>
            <w:tcW w:w="820" w:type="dxa"/>
            <w:vAlign w:val="bottom"/>
          </w:tcPr>
          <w:p>
            <w:pPr>
              <w:jc w:val="right"/>
              <w:ind w:right="435"/>
              <w:spacing w:after="0"/>
              <w:rPr>
                <w:sz w:val="20"/>
                <w:szCs w:val="20"/>
                <w:color w:val="auto"/>
              </w:rPr>
            </w:pPr>
            <w:r>
              <w:rPr>
                <w:rFonts w:ascii="Arial" w:cs="Arial" w:eastAsia="Arial" w:hAnsi="Arial"/>
                <w:sz w:val="17"/>
                <w:szCs w:val="17"/>
                <w:color w:val="auto"/>
                <w:w w:val="84"/>
              </w:rPr>
              <w:t>10.6</w:t>
            </w:r>
          </w:p>
        </w:tc>
        <w:tc>
          <w:tcPr>
            <w:tcW w:w="10600" w:type="dxa"/>
            <w:vAlign w:val="bottom"/>
          </w:tcPr>
          <w:p>
            <w:pPr>
              <w:ind w:left="460"/>
              <w:spacing w:after="0"/>
              <w:rPr>
                <w:sz w:val="20"/>
                <w:szCs w:val="20"/>
                <w:color w:val="auto"/>
              </w:rPr>
            </w:pPr>
            <w:r>
              <w:rPr>
                <w:rFonts w:ascii="Arial" w:cs="Arial" w:eastAsia="Arial" w:hAnsi="Arial"/>
                <w:sz w:val="17"/>
                <w:szCs w:val="17"/>
                <w:color w:val="auto"/>
                <w:w w:val="96"/>
              </w:rPr>
              <w:t>Amendment No. 3, dated as of April 27, 2010, to the Operating Agreement of Lazard Group LLC, dated as of May 10, 2005 (incorporated by</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reference to Exhibit 10.6 to the Registrant’s Quarterly Report (File No. 001-32492) on Form 10-Q filed on April 30, 2010).</w:t>
            </w:r>
          </w:p>
        </w:tc>
      </w:tr>
      <w:tr>
        <w:trPr>
          <w:trHeight w:val="307"/>
        </w:trPr>
        <w:tc>
          <w:tcPr>
            <w:tcW w:w="820" w:type="dxa"/>
            <w:vAlign w:val="bottom"/>
          </w:tcPr>
          <w:p>
            <w:pPr>
              <w:jc w:val="right"/>
              <w:ind w:right="435"/>
              <w:spacing w:after="0"/>
              <w:rPr>
                <w:sz w:val="20"/>
                <w:szCs w:val="20"/>
                <w:color w:val="auto"/>
              </w:rPr>
            </w:pPr>
            <w:r>
              <w:rPr>
                <w:rFonts w:ascii="Arial" w:cs="Arial" w:eastAsia="Arial" w:hAnsi="Arial"/>
                <w:sz w:val="17"/>
                <w:szCs w:val="17"/>
                <w:color w:val="auto"/>
                <w:w w:val="84"/>
              </w:rPr>
              <w:t>10.7</w:t>
            </w:r>
          </w:p>
        </w:tc>
        <w:tc>
          <w:tcPr>
            <w:tcW w:w="10600" w:type="dxa"/>
            <w:vAlign w:val="bottom"/>
          </w:tcPr>
          <w:p>
            <w:pPr>
              <w:ind w:left="460"/>
              <w:spacing w:after="0"/>
              <w:rPr>
                <w:sz w:val="20"/>
                <w:szCs w:val="20"/>
                <w:color w:val="auto"/>
              </w:rPr>
            </w:pPr>
            <w:r>
              <w:rPr>
                <w:rFonts w:ascii="Arial" w:cs="Arial" w:eastAsia="Arial" w:hAnsi="Arial"/>
                <w:sz w:val="17"/>
                <w:szCs w:val="17"/>
                <w:color w:val="auto"/>
                <w:w w:val="91"/>
              </w:rPr>
              <w:t>Tax Receivable Agreement, dated as of May 10, 2005, by and among Ltd Sub A, Ltd Sub B and LFCM Holdings LLC (incorporated by reference to</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Exhibit 10.3 to the Registrant’s Quarterly Report (File No. 001-32492) on Form 10-Q filed on June 16, 2005).</w:t>
            </w:r>
          </w:p>
        </w:tc>
      </w:tr>
      <w:tr>
        <w:trPr>
          <w:trHeight w:val="307"/>
        </w:trPr>
        <w:tc>
          <w:tcPr>
            <w:tcW w:w="820" w:type="dxa"/>
            <w:vAlign w:val="bottom"/>
          </w:tcPr>
          <w:p>
            <w:pPr>
              <w:jc w:val="right"/>
              <w:ind w:right="435"/>
              <w:spacing w:after="0"/>
              <w:rPr>
                <w:sz w:val="20"/>
                <w:szCs w:val="20"/>
                <w:color w:val="auto"/>
              </w:rPr>
            </w:pPr>
            <w:r>
              <w:rPr>
                <w:rFonts w:ascii="Arial" w:cs="Arial" w:eastAsia="Arial" w:hAnsi="Arial"/>
                <w:sz w:val="17"/>
                <w:szCs w:val="17"/>
                <w:color w:val="auto"/>
                <w:w w:val="84"/>
              </w:rPr>
              <w:t>10.8</w:t>
            </w:r>
          </w:p>
        </w:tc>
        <w:tc>
          <w:tcPr>
            <w:tcW w:w="10600" w:type="dxa"/>
            <w:vAlign w:val="bottom"/>
          </w:tcPr>
          <w:p>
            <w:pPr>
              <w:ind w:left="460"/>
              <w:spacing w:after="0"/>
              <w:rPr>
                <w:sz w:val="20"/>
                <w:szCs w:val="20"/>
                <w:color w:val="auto"/>
              </w:rPr>
            </w:pPr>
            <w:r>
              <w:rPr>
                <w:rFonts w:ascii="Arial" w:cs="Arial" w:eastAsia="Arial" w:hAnsi="Arial"/>
                <w:sz w:val="17"/>
                <w:szCs w:val="17"/>
                <w:color w:val="auto"/>
                <w:w w:val="94"/>
              </w:rPr>
              <w:t>Employee Benefits Agreement, dated as of May 10, 2005, by and among the Registrant, Lazard Group LLC, LAZ-MD Holdings LLC and LFCM</w:t>
            </w:r>
          </w:p>
        </w:tc>
      </w:tr>
      <w:tr>
        <w:trPr>
          <w:trHeight w:val="209"/>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w w:val="92"/>
              </w:rPr>
              <w:t>Holdings LLC (incorporated by reference to Exhibit 10.4 to the Registrant’s Quarterly Report (File No. 001-32492) on Form 10-Q filed on June 16,</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2005).</w:t>
            </w:r>
          </w:p>
        </w:tc>
      </w:tr>
      <w:tr>
        <w:trPr>
          <w:trHeight w:val="307"/>
        </w:trPr>
        <w:tc>
          <w:tcPr>
            <w:tcW w:w="820" w:type="dxa"/>
            <w:vAlign w:val="bottom"/>
          </w:tcPr>
          <w:p>
            <w:pPr>
              <w:jc w:val="right"/>
              <w:ind w:right="435"/>
              <w:spacing w:after="0"/>
              <w:rPr>
                <w:sz w:val="20"/>
                <w:szCs w:val="20"/>
                <w:color w:val="auto"/>
              </w:rPr>
            </w:pPr>
            <w:r>
              <w:rPr>
                <w:rFonts w:ascii="Arial" w:cs="Arial" w:eastAsia="Arial" w:hAnsi="Arial"/>
                <w:sz w:val="17"/>
                <w:szCs w:val="17"/>
                <w:color w:val="auto"/>
                <w:w w:val="84"/>
              </w:rPr>
              <w:t>10.9</w:t>
            </w:r>
          </w:p>
        </w:tc>
        <w:tc>
          <w:tcPr>
            <w:tcW w:w="10600" w:type="dxa"/>
            <w:vAlign w:val="bottom"/>
          </w:tcPr>
          <w:p>
            <w:pPr>
              <w:ind w:left="460"/>
              <w:spacing w:after="0"/>
              <w:rPr>
                <w:sz w:val="20"/>
                <w:szCs w:val="20"/>
                <w:color w:val="auto"/>
              </w:rPr>
            </w:pPr>
            <w:r>
              <w:rPr>
                <w:rFonts w:ascii="Arial" w:cs="Arial" w:eastAsia="Arial" w:hAnsi="Arial"/>
                <w:sz w:val="17"/>
                <w:szCs w:val="17"/>
                <w:color w:val="auto"/>
                <w:w w:val="92"/>
              </w:rPr>
              <w:t>Insurance Matters Agreement, dated as of May 10, 2005, by and between Lazard Group LLC and LFCM Holdings LLC (incorporated by reference</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to Exhibit 10.5 to the Registrant’s Quarterly Report (File No. 001-32492) on Form 10-Q filed on June 16, 2005).</w:t>
            </w:r>
          </w:p>
        </w:tc>
      </w:tr>
      <w:tr>
        <w:trPr>
          <w:trHeight w:val="307"/>
        </w:trPr>
        <w:tc>
          <w:tcPr>
            <w:tcW w:w="820" w:type="dxa"/>
            <w:vAlign w:val="bottom"/>
          </w:tcPr>
          <w:p>
            <w:pPr>
              <w:jc w:val="right"/>
              <w:ind w:right="355"/>
              <w:spacing w:after="0"/>
              <w:rPr>
                <w:sz w:val="20"/>
                <w:szCs w:val="20"/>
                <w:color w:val="auto"/>
              </w:rPr>
            </w:pPr>
            <w:r>
              <w:rPr>
                <w:rFonts w:ascii="Arial" w:cs="Arial" w:eastAsia="Arial" w:hAnsi="Arial"/>
                <w:sz w:val="17"/>
                <w:szCs w:val="17"/>
                <w:color w:val="auto"/>
                <w:w w:val="84"/>
              </w:rPr>
              <w:t>10.10</w:t>
            </w:r>
          </w:p>
        </w:tc>
        <w:tc>
          <w:tcPr>
            <w:tcW w:w="10600" w:type="dxa"/>
            <w:vAlign w:val="bottom"/>
          </w:tcPr>
          <w:p>
            <w:pPr>
              <w:ind w:left="460"/>
              <w:spacing w:after="0"/>
              <w:rPr>
                <w:sz w:val="20"/>
                <w:szCs w:val="20"/>
                <w:color w:val="auto"/>
              </w:rPr>
            </w:pPr>
            <w:r>
              <w:rPr>
                <w:rFonts w:ascii="Arial" w:cs="Arial" w:eastAsia="Arial" w:hAnsi="Arial"/>
                <w:sz w:val="17"/>
                <w:szCs w:val="17"/>
                <w:color w:val="auto"/>
                <w:w w:val="94"/>
              </w:rPr>
              <w:t>License Agreement, dated as of May 10, 2005, by and among Lazard Strategic Coordination Company, LLC, Lazard Frères &amp; Co. LLC, Lazard</w:t>
            </w:r>
          </w:p>
        </w:tc>
      </w:tr>
      <w:tr>
        <w:trPr>
          <w:trHeight w:val="209"/>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w w:val="95"/>
              </w:rPr>
              <w:t>Frères S.A.S., Lazard &amp; Co. Holdings Limited and LFCM Holdings LLC (incorporated by reference to Exhibit 10.6 to the Registrant’s Quarterly</w:t>
            </w:r>
          </w:p>
        </w:tc>
      </w:tr>
      <w:tr>
        <w:trPr>
          <w:trHeight w:val="215"/>
        </w:trPr>
        <w:tc>
          <w:tcPr>
            <w:tcW w:w="820" w:type="dxa"/>
            <w:vAlign w:val="bottom"/>
          </w:tcPr>
          <w:p>
            <w:pPr>
              <w:spacing w:after="0"/>
              <w:rPr>
                <w:sz w:val="18"/>
                <w:szCs w:val="18"/>
                <w:color w:val="auto"/>
              </w:rPr>
            </w:pPr>
          </w:p>
        </w:tc>
        <w:tc>
          <w:tcPr>
            <w:tcW w:w="10600" w:type="dxa"/>
            <w:vAlign w:val="bottom"/>
          </w:tcPr>
          <w:p>
            <w:pPr>
              <w:ind w:left="460"/>
              <w:spacing w:after="0"/>
              <w:rPr>
                <w:sz w:val="20"/>
                <w:szCs w:val="20"/>
                <w:color w:val="auto"/>
              </w:rPr>
            </w:pPr>
            <w:r>
              <w:rPr>
                <w:rFonts w:ascii="Arial" w:cs="Arial" w:eastAsia="Arial" w:hAnsi="Arial"/>
                <w:sz w:val="17"/>
                <w:szCs w:val="17"/>
                <w:color w:val="auto"/>
              </w:rPr>
              <w:t>Report (File No. 001-32492) on Form 10-Q filed on June 16, 2005).</w:t>
            </w:r>
          </w:p>
        </w:tc>
      </w:tr>
      <w:tr>
        <w:trPr>
          <w:trHeight w:val="352"/>
        </w:trPr>
        <w:tc>
          <w:tcPr>
            <w:tcW w:w="820" w:type="dxa"/>
            <w:vAlign w:val="bottom"/>
          </w:tcPr>
          <w:p>
            <w:pPr>
              <w:spacing w:after="0"/>
              <w:rPr>
                <w:sz w:val="24"/>
                <w:szCs w:val="24"/>
                <w:color w:val="auto"/>
              </w:rPr>
            </w:pPr>
          </w:p>
        </w:tc>
        <w:tc>
          <w:tcPr>
            <w:tcW w:w="10600" w:type="dxa"/>
            <w:vAlign w:val="bottom"/>
          </w:tcPr>
          <w:p>
            <w:pPr>
              <w:ind w:left="4760"/>
              <w:spacing w:after="0"/>
              <w:rPr>
                <w:sz w:val="20"/>
                <w:szCs w:val="20"/>
                <w:color w:val="auto"/>
              </w:rPr>
            </w:pPr>
            <w:r>
              <w:rPr>
                <w:rFonts w:ascii="Arial" w:cs="Arial" w:eastAsia="Arial" w:hAnsi="Arial"/>
                <w:sz w:val="17"/>
                <w:szCs w:val="17"/>
                <w:color w:val="auto"/>
              </w:rPr>
              <w:t>139</w:t>
            </w:r>
          </w:p>
        </w:tc>
      </w:tr>
    </w:tbl>
    <w:p>
      <w:pPr>
        <w:sectPr>
          <w:pgSz w:w="11900" w:h="16838" w:orient="portrait"/>
          <w:cols w:equalWidth="0" w:num="1">
            <w:col w:w="11420"/>
          </w:cols>
          <w:pgMar w:left="240" w:top="448" w:right="2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 w:type="dxa"/>
            <w:vAlign w:val="bottom"/>
          </w:tcPr>
          <w:p>
            <w:pPr>
              <w:spacing w:after="0"/>
              <w:rPr>
                <w:sz w:val="20"/>
                <w:szCs w:val="20"/>
                <w:color w:val="auto"/>
              </w:rPr>
            </w:pPr>
            <w:r>
              <w:rPr>
                <w:rFonts w:ascii="Arial" w:cs="Arial" w:eastAsia="Arial" w:hAnsi="Arial"/>
                <w:sz w:val="17"/>
                <w:szCs w:val="17"/>
                <w:color w:val="auto"/>
              </w:rPr>
              <w:t>10.11</w:t>
            </w:r>
          </w:p>
        </w:tc>
        <w:tc>
          <w:tcPr>
            <w:tcW w:w="10500" w:type="dxa"/>
            <w:vAlign w:val="bottom"/>
          </w:tcPr>
          <w:p>
            <w:pPr>
              <w:ind w:left="400"/>
              <w:spacing w:after="0"/>
              <w:rPr>
                <w:sz w:val="20"/>
                <w:szCs w:val="20"/>
                <w:color w:val="auto"/>
              </w:rPr>
            </w:pPr>
            <w:r>
              <w:rPr>
                <w:rFonts w:ascii="Arial" w:cs="Arial" w:eastAsia="Arial" w:hAnsi="Arial"/>
                <w:sz w:val="17"/>
                <w:szCs w:val="17"/>
                <w:color w:val="auto"/>
                <w:w w:val="94"/>
              </w:rPr>
              <w:t>Administrative Services Agreement, dated as of May 10, 2005, by and among LAZ-MD Holdings LLC, LFCM Holdings LLC and Lazard Group</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w w:val="93"/>
              </w:rPr>
              <w:t>LLC (incorporated by reference to Exhibit 10.7 to the Registrant’s Quarterly Report (File No. 001-32492) on Form 10-Q filed on June 16,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10.12</w:t>
            </w:r>
          </w:p>
        </w:tc>
        <w:tc>
          <w:tcPr>
            <w:tcW w:w="10500" w:type="dxa"/>
            <w:vAlign w:val="bottom"/>
          </w:tcPr>
          <w:p>
            <w:pPr>
              <w:ind w:left="400"/>
              <w:spacing w:after="0"/>
              <w:rPr>
                <w:sz w:val="20"/>
                <w:szCs w:val="20"/>
                <w:color w:val="auto"/>
              </w:rPr>
            </w:pPr>
            <w:r>
              <w:rPr>
                <w:rFonts w:ascii="Arial" w:cs="Arial" w:eastAsia="Arial" w:hAnsi="Arial"/>
                <w:sz w:val="17"/>
                <w:szCs w:val="17"/>
                <w:color w:val="auto"/>
                <w:w w:val="92"/>
              </w:rPr>
              <w:t>Business Alliance Agreement, dated as of May 10, 2005, by and between Lazard Group LLC and LFCM Holdings LLC (incorporated by reference</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rPr>
              <w:t>to Exhibit 10.8 to the Registrant’s Quarterly Report (File No. 001-32492) on Form 10-Q filed on June 16,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10.13</w:t>
            </w:r>
          </w:p>
        </w:tc>
        <w:tc>
          <w:tcPr>
            <w:tcW w:w="10500" w:type="dxa"/>
            <w:vAlign w:val="bottom"/>
          </w:tcPr>
          <w:p>
            <w:pPr>
              <w:ind w:left="400"/>
              <w:spacing w:after="0"/>
              <w:rPr>
                <w:sz w:val="20"/>
                <w:szCs w:val="20"/>
                <w:color w:val="auto"/>
              </w:rPr>
            </w:pPr>
            <w:r>
              <w:rPr>
                <w:rFonts w:ascii="Arial" w:cs="Arial" w:eastAsia="Arial" w:hAnsi="Arial"/>
                <w:sz w:val="17"/>
                <w:szCs w:val="17"/>
                <w:color w:val="auto"/>
                <w:w w:val="91"/>
              </w:rPr>
              <w:t>Amendment and Consent, dated February 9, 2009, to the Business Alliance Agreement, dated as of May 10, 2005, by and between Lazard Group</w:t>
            </w:r>
          </w:p>
        </w:tc>
      </w:tr>
      <w:tr>
        <w:trPr>
          <w:trHeight w:val="209"/>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w w:val="93"/>
              </w:rPr>
              <w:t>LLC and LFCM Holdings LLC (incorporated by reference to Exhibit 10.12 to Registrant’s Annual Report (File No. 001-32492) on Form 10-K filed</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rPr>
              <w:t>on March 2, 2009).</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10.14</w:t>
            </w:r>
          </w:p>
        </w:tc>
        <w:tc>
          <w:tcPr>
            <w:tcW w:w="10500" w:type="dxa"/>
            <w:vAlign w:val="bottom"/>
          </w:tcPr>
          <w:p>
            <w:pPr>
              <w:ind w:left="400"/>
              <w:spacing w:after="0"/>
              <w:rPr>
                <w:sz w:val="20"/>
                <w:szCs w:val="20"/>
                <w:color w:val="auto"/>
              </w:rPr>
            </w:pPr>
            <w:r>
              <w:rPr>
                <w:rFonts w:ascii="Arial" w:cs="Arial" w:eastAsia="Arial" w:hAnsi="Arial"/>
                <w:sz w:val="17"/>
                <w:szCs w:val="17"/>
                <w:color w:val="auto"/>
                <w:w w:val="95"/>
              </w:rPr>
              <w:t>Amended and Restated Operating Agreement of Lazard Strategic Coordination Company LLC, dated as of January 1, 2002 (incorporated by</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w w:val="99"/>
              </w:rPr>
              <w:t>reference to Exhibit 10.16 to the Registrant’s Registration Statement (File No. 333-121407) on Form S-1/A filed on February 11,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10.15</w:t>
            </w:r>
          </w:p>
        </w:tc>
        <w:tc>
          <w:tcPr>
            <w:tcW w:w="10500" w:type="dxa"/>
            <w:vAlign w:val="bottom"/>
          </w:tcPr>
          <w:p>
            <w:pPr>
              <w:ind w:left="400"/>
              <w:spacing w:after="0"/>
              <w:rPr>
                <w:sz w:val="20"/>
                <w:szCs w:val="20"/>
                <w:color w:val="auto"/>
              </w:rPr>
            </w:pPr>
            <w:r>
              <w:rPr>
                <w:rFonts w:ascii="Arial" w:cs="Arial" w:eastAsia="Arial" w:hAnsi="Arial"/>
                <w:sz w:val="17"/>
                <w:szCs w:val="17"/>
                <w:color w:val="auto"/>
                <w:w w:val="93"/>
              </w:rPr>
              <w:t>Lease, dated as of January 27, 1994, by and between Rockefeller Center Properties and Lazard Frères &amp; Co. LLC (incorporated by reference to</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rPr>
              <w:t>Exhibit 10.19 to the Registrant’s Registration Statement (File No. 333-121407) on Form S-1/A filed on February 11,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10.16</w:t>
            </w:r>
          </w:p>
        </w:tc>
        <w:tc>
          <w:tcPr>
            <w:tcW w:w="10500" w:type="dxa"/>
            <w:vAlign w:val="bottom"/>
          </w:tcPr>
          <w:p>
            <w:pPr>
              <w:ind w:left="400"/>
              <w:spacing w:after="0"/>
              <w:rPr>
                <w:sz w:val="20"/>
                <w:szCs w:val="20"/>
                <w:color w:val="auto"/>
              </w:rPr>
            </w:pPr>
            <w:r>
              <w:rPr>
                <w:rFonts w:ascii="Arial" w:cs="Arial" w:eastAsia="Arial" w:hAnsi="Arial"/>
                <w:sz w:val="17"/>
                <w:szCs w:val="17"/>
                <w:color w:val="auto"/>
                <w:w w:val="89"/>
              </w:rPr>
              <w:t>Lease with an Option to Purchase, dated as of July 11, 1990, by and between Sicomibail and Finabail and SCI du 121 Boulevard Hausmann (English</w:t>
            </w:r>
          </w:p>
        </w:tc>
      </w:tr>
      <w:tr>
        <w:trPr>
          <w:trHeight w:val="209"/>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w w:val="93"/>
              </w:rPr>
              <w:t>translation) (incorporated by reference to Exhibit 10.20 to the Registrant’s Registration Statement (File No. 333-121407) on Form S-1/A filed on</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rPr>
              <w:t>February 11,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10.17</w:t>
            </w:r>
          </w:p>
        </w:tc>
        <w:tc>
          <w:tcPr>
            <w:tcW w:w="10500" w:type="dxa"/>
            <w:vAlign w:val="bottom"/>
          </w:tcPr>
          <w:p>
            <w:pPr>
              <w:ind w:left="400"/>
              <w:spacing w:after="0"/>
              <w:rPr>
                <w:sz w:val="20"/>
                <w:szCs w:val="20"/>
                <w:color w:val="auto"/>
              </w:rPr>
            </w:pPr>
            <w:r>
              <w:rPr>
                <w:rFonts w:ascii="Arial" w:cs="Arial" w:eastAsia="Arial" w:hAnsi="Arial"/>
                <w:sz w:val="17"/>
                <w:szCs w:val="17"/>
                <w:color w:val="auto"/>
                <w:w w:val="95"/>
              </w:rPr>
              <w:t>Occupational Lease, dated as of August 9, 2002, by and among Burford (Stratton) Nominee 1 Limited, Burford (Stratton) Nominee 2 Limited,</w:t>
            </w:r>
          </w:p>
        </w:tc>
      </w:tr>
      <w:tr>
        <w:trPr>
          <w:trHeight w:val="209"/>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w w:val="95"/>
              </w:rPr>
              <w:t>Burford (Stratton) Limited, Lazard &amp; Co., Limited and Lazard LLC (incorporated by reference to Exhibit 10.21 to the Registrant’s Registration</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rPr>
              <w:t>Statement (File No. 333-121407) on Form S-1/A filed on February 11,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10.18*</w:t>
            </w:r>
          </w:p>
        </w:tc>
        <w:tc>
          <w:tcPr>
            <w:tcW w:w="10500" w:type="dxa"/>
            <w:vAlign w:val="bottom"/>
          </w:tcPr>
          <w:p>
            <w:pPr>
              <w:ind w:left="400"/>
              <w:spacing w:after="0"/>
              <w:rPr>
                <w:sz w:val="20"/>
                <w:szCs w:val="20"/>
                <w:color w:val="auto"/>
              </w:rPr>
            </w:pPr>
            <w:r>
              <w:rPr>
                <w:rFonts w:ascii="Arial" w:cs="Arial" w:eastAsia="Arial" w:hAnsi="Arial"/>
                <w:sz w:val="17"/>
                <w:szCs w:val="17"/>
                <w:color w:val="auto"/>
                <w:w w:val="91"/>
              </w:rPr>
              <w:t>2005 Equity Incentive Plan (incorporated by reference to Exhibit 10.21 to the Registrant’s Registration Statement (File No. 333-121407) on Form S-</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rPr>
              <w:t>1/A filed on May 2,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10.19*</w:t>
            </w:r>
          </w:p>
        </w:tc>
        <w:tc>
          <w:tcPr>
            <w:tcW w:w="10500" w:type="dxa"/>
            <w:vAlign w:val="bottom"/>
          </w:tcPr>
          <w:p>
            <w:pPr>
              <w:ind w:left="400"/>
              <w:spacing w:after="0"/>
              <w:rPr>
                <w:sz w:val="20"/>
                <w:szCs w:val="20"/>
                <w:color w:val="auto"/>
              </w:rPr>
            </w:pPr>
            <w:r>
              <w:rPr>
                <w:rFonts w:ascii="Arial" w:cs="Arial" w:eastAsia="Arial" w:hAnsi="Arial"/>
                <w:sz w:val="17"/>
                <w:szCs w:val="17"/>
                <w:color w:val="auto"/>
                <w:w w:val="91"/>
              </w:rPr>
              <w:t>Lazard Ltd’s 2008 Incentive Compensation Plan (incorporated by reference to Annex B to the Registrant’s Definitive Proxy Statement on Schedule</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rPr>
              <w:t>14A (File No. 001-32492) filed on March 24, 2008).</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10.20*</w:t>
            </w:r>
          </w:p>
        </w:tc>
        <w:tc>
          <w:tcPr>
            <w:tcW w:w="10500" w:type="dxa"/>
            <w:vAlign w:val="bottom"/>
          </w:tcPr>
          <w:p>
            <w:pPr>
              <w:ind w:left="400"/>
              <w:spacing w:after="0"/>
              <w:rPr>
                <w:sz w:val="20"/>
                <w:szCs w:val="20"/>
                <w:color w:val="auto"/>
              </w:rPr>
            </w:pPr>
            <w:r>
              <w:rPr>
                <w:rFonts w:ascii="Arial" w:cs="Arial" w:eastAsia="Arial" w:hAnsi="Arial"/>
                <w:sz w:val="17"/>
                <w:szCs w:val="17"/>
                <w:color w:val="auto"/>
                <w:w w:val="91"/>
              </w:rPr>
              <w:t>2005 Bonus Plan (incorporated by reference to Exhibit 10.23 to the Registrant’s Registration Statement (File No. 333-121407) on Form S-1/A filed</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rPr>
              <w:t>on March 21,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10.21*</w:t>
            </w:r>
          </w:p>
        </w:tc>
        <w:tc>
          <w:tcPr>
            <w:tcW w:w="10500" w:type="dxa"/>
            <w:vAlign w:val="bottom"/>
          </w:tcPr>
          <w:p>
            <w:pPr>
              <w:ind w:left="400"/>
              <w:spacing w:after="0"/>
              <w:rPr>
                <w:sz w:val="20"/>
                <w:szCs w:val="20"/>
                <w:color w:val="auto"/>
              </w:rPr>
            </w:pPr>
            <w:r>
              <w:rPr>
                <w:rFonts w:ascii="Arial" w:cs="Arial" w:eastAsia="Arial" w:hAnsi="Arial"/>
                <w:sz w:val="17"/>
                <w:szCs w:val="17"/>
                <w:color w:val="auto"/>
                <w:w w:val="90"/>
              </w:rPr>
              <w:t>Form of Agreement Relating to Retention and Noncompetition and Other Covenants, dated as of May 4, 2005, applicable to, and related Schedule I</w:t>
            </w:r>
          </w:p>
        </w:tc>
      </w:tr>
      <w:tr>
        <w:trPr>
          <w:trHeight w:val="209"/>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w w:val="99"/>
              </w:rPr>
              <w:t>for each of Michael J. Castellano and Scott D. Hoffman (incorporated by reference to Exhibit 10.26 to the Registrant’s Quarterly Report</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rPr>
              <w:t>(File No. 001-32492) on Form 10-Q filed on June 16,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10.22*</w:t>
            </w:r>
          </w:p>
        </w:tc>
        <w:tc>
          <w:tcPr>
            <w:tcW w:w="10500" w:type="dxa"/>
            <w:vAlign w:val="bottom"/>
          </w:tcPr>
          <w:p>
            <w:pPr>
              <w:ind w:left="400"/>
              <w:spacing w:after="0"/>
              <w:rPr>
                <w:sz w:val="20"/>
                <w:szCs w:val="20"/>
                <w:color w:val="auto"/>
              </w:rPr>
            </w:pPr>
            <w:r>
              <w:rPr>
                <w:rFonts w:ascii="Arial" w:cs="Arial" w:eastAsia="Arial" w:hAnsi="Arial"/>
                <w:sz w:val="17"/>
                <w:szCs w:val="17"/>
                <w:color w:val="auto"/>
                <w:w w:val="90"/>
              </w:rPr>
              <w:t>Form of First Amendment, dated as of May 7, 2008, to Agreement Relating to Retention and Noncompetition and Other Covenants, dated as of May</w:t>
            </w:r>
          </w:p>
        </w:tc>
      </w:tr>
      <w:tr>
        <w:trPr>
          <w:trHeight w:val="209"/>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w w:val="93"/>
              </w:rPr>
              <w:t>4, 2005, for each of Michael J. Castellano and Scott D. Hoffman (incorporated by reference to Exhibit 10.2 to the Registrant’s Current Report on</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rPr>
              <w:t>Form 8-K (File No. 001-32492) filed on May 8, 2008).</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10.23*</w:t>
            </w:r>
          </w:p>
        </w:tc>
        <w:tc>
          <w:tcPr>
            <w:tcW w:w="10500" w:type="dxa"/>
            <w:vAlign w:val="bottom"/>
          </w:tcPr>
          <w:p>
            <w:pPr>
              <w:ind w:left="400"/>
              <w:spacing w:after="0"/>
              <w:rPr>
                <w:sz w:val="20"/>
                <w:szCs w:val="20"/>
                <w:color w:val="auto"/>
              </w:rPr>
            </w:pPr>
            <w:r>
              <w:rPr>
                <w:rFonts w:ascii="Arial" w:cs="Arial" w:eastAsia="Arial" w:hAnsi="Arial"/>
                <w:sz w:val="17"/>
                <w:szCs w:val="17"/>
                <w:color w:val="auto"/>
                <w:w w:val="90"/>
              </w:rPr>
              <w:t>Second Amendment, dated as of February 26, 2009, to the Agreement Relating to Retention and Noncompetition and Other Covenants, dated as of</w:t>
            </w:r>
          </w:p>
        </w:tc>
      </w:tr>
      <w:tr>
        <w:trPr>
          <w:trHeight w:val="209"/>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w w:val="93"/>
              </w:rPr>
              <w:t>May 4, 2005 (as amended from time to time), for Michael J. Castellano (incorporated by reference to Exhibit 10.26 to Registrant’s Annual Report</w:t>
            </w:r>
          </w:p>
        </w:tc>
      </w:tr>
      <w:tr>
        <w:trPr>
          <w:trHeight w:val="215"/>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7"/>
                <w:szCs w:val="17"/>
                <w:color w:val="auto"/>
              </w:rPr>
              <w:t>(File No. 001-32492) on Form 10-K filed on March 2, 2009).</w:t>
            </w:r>
          </w:p>
        </w:tc>
      </w:tr>
      <w:tr>
        <w:trPr>
          <w:trHeight w:val="352"/>
        </w:trPr>
        <w:tc>
          <w:tcPr>
            <w:tcW w:w="88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7"/>
                <w:szCs w:val="17"/>
                <w:color w:val="auto"/>
              </w:rPr>
              <w:t>140</w:t>
            </w:r>
          </w:p>
        </w:tc>
      </w:tr>
    </w:tbl>
    <w:p>
      <w:pPr>
        <w:sectPr>
          <w:pgSz w:w="11900" w:h="16838" w:orient="portrait"/>
          <w:cols w:equalWidth="0" w:num="1">
            <w:col w:w="11380"/>
          </w:cols>
          <w:pgMar w:left="240" w:top="448" w:right="27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 w:type="dxa"/>
            <w:vAlign w:val="bottom"/>
          </w:tcPr>
          <w:p>
            <w:pPr>
              <w:spacing w:after="0"/>
              <w:rPr>
                <w:sz w:val="20"/>
                <w:szCs w:val="20"/>
                <w:color w:val="auto"/>
              </w:rPr>
            </w:pPr>
            <w:r>
              <w:rPr>
                <w:rFonts w:ascii="Arial" w:cs="Arial" w:eastAsia="Arial" w:hAnsi="Arial"/>
                <w:sz w:val="17"/>
                <w:szCs w:val="17"/>
                <w:color w:val="auto"/>
              </w:rPr>
              <w:t>10.24*</w:t>
            </w:r>
          </w:p>
        </w:tc>
        <w:tc>
          <w:tcPr>
            <w:tcW w:w="10520" w:type="dxa"/>
            <w:vAlign w:val="bottom"/>
          </w:tcPr>
          <w:p>
            <w:pPr>
              <w:ind w:left="400"/>
              <w:spacing w:after="0"/>
              <w:rPr>
                <w:sz w:val="20"/>
                <w:szCs w:val="20"/>
                <w:color w:val="auto"/>
              </w:rPr>
            </w:pPr>
            <w:r>
              <w:rPr>
                <w:rFonts w:ascii="Arial" w:cs="Arial" w:eastAsia="Arial" w:hAnsi="Arial"/>
                <w:sz w:val="17"/>
                <w:szCs w:val="17"/>
                <w:color w:val="auto"/>
                <w:w w:val="91"/>
              </w:rPr>
              <w:t>Form of Agreement Relating to Retention and Noncompetition and Other Covenants (incorporated by reference to Exhibit 10.27 to the Registrant’s</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rPr>
              <w:t>Registration Statement (File No. 333-121407) on Form S-1/A filed on April 11,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10.25*</w:t>
            </w:r>
          </w:p>
        </w:tc>
        <w:tc>
          <w:tcPr>
            <w:tcW w:w="10520" w:type="dxa"/>
            <w:vAlign w:val="bottom"/>
          </w:tcPr>
          <w:p>
            <w:pPr>
              <w:ind w:left="400"/>
              <w:spacing w:after="0"/>
              <w:rPr>
                <w:sz w:val="20"/>
                <w:szCs w:val="20"/>
                <w:color w:val="auto"/>
              </w:rPr>
            </w:pPr>
            <w:r>
              <w:rPr>
                <w:rFonts w:ascii="Arial" w:cs="Arial" w:eastAsia="Arial" w:hAnsi="Arial"/>
                <w:sz w:val="17"/>
                <w:szCs w:val="17"/>
                <w:color w:val="auto"/>
                <w:w w:val="92"/>
              </w:rPr>
              <w:t>Agreement Relating to Retention and Noncompetition and Other Covenants, dated as of October 4, 2004, by and between Lazard Group LLC and</w:t>
            </w:r>
          </w:p>
        </w:tc>
      </w:tr>
      <w:tr>
        <w:trPr>
          <w:trHeight w:val="209"/>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w w:val="92"/>
              </w:rPr>
              <w:t>Alexander F. Stern (incorporated by reference to Exhibit 10.28 to Registrant’s Annual Report (File No. 001-32492) on Form 10-K filed on March 2,</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rPr>
              <w:t>2009).</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10.26*</w:t>
            </w:r>
          </w:p>
        </w:tc>
        <w:tc>
          <w:tcPr>
            <w:tcW w:w="10520" w:type="dxa"/>
            <w:vAlign w:val="bottom"/>
          </w:tcPr>
          <w:p>
            <w:pPr>
              <w:ind w:left="400"/>
              <w:spacing w:after="0"/>
              <w:rPr>
                <w:sz w:val="20"/>
                <w:szCs w:val="20"/>
                <w:color w:val="auto"/>
              </w:rPr>
            </w:pPr>
            <w:r>
              <w:rPr>
                <w:rFonts w:ascii="Arial" w:cs="Arial" w:eastAsia="Arial" w:hAnsi="Arial"/>
                <w:sz w:val="17"/>
                <w:szCs w:val="17"/>
                <w:color w:val="auto"/>
                <w:w w:val="94"/>
              </w:rPr>
              <w:t>First Amendment, dated as of March 23, 2010, to the Agreement Relating to Retention and Noncompetition and Other Covenants, dated as of</w:t>
            </w:r>
          </w:p>
        </w:tc>
      </w:tr>
      <w:tr>
        <w:trPr>
          <w:trHeight w:val="209"/>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w w:val="92"/>
              </w:rPr>
              <w:t>October 4, 2004, with Alexander F. Stern (incorporated by reference to Exhibit 10.2 to the Registrant’s Current Report on Form 8-K (File No. 001-</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rPr>
              <w:t>32492) filed on March 23, 2010).</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10.27*</w:t>
            </w:r>
          </w:p>
        </w:tc>
        <w:tc>
          <w:tcPr>
            <w:tcW w:w="10520" w:type="dxa"/>
            <w:vAlign w:val="bottom"/>
          </w:tcPr>
          <w:p>
            <w:pPr>
              <w:ind w:left="400"/>
              <w:spacing w:after="0"/>
              <w:rPr>
                <w:sz w:val="20"/>
                <w:szCs w:val="20"/>
                <w:color w:val="auto"/>
              </w:rPr>
            </w:pPr>
            <w:r>
              <w:rPr>
                <w:rFonts w:ascii="Arial" w:cs="Arial" w:eastAsia="Arial" w:hAnsi="Arial"/>
                <w:sz w:val="17"/>
                <w:szCs w:val="17"/>
                <w:color w:val="auto"/>
                <w:w w:val="92"/>
              </w:rPr>
              <w:t>Agreement Relating to Retention and Noncompetition and Other Covenants, dated as of March 18, 2005, by and between Lazard Group LLC and</w:t>
            </w:r>
          </w:p>
        </w:tc>
      </w:tr>
      <w:tr>
        <w:trPr>
          <w:trHeight w:val="209"/>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w w:val="95"/>
              </w:rPr>
              <w:t>Kenneth M. Jacobs (incorporated by reference to Exhibit 10.29 to the Registrant’s Annual Report on Form 10-K (File No. 001-32492) filed on</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rPr>
              <w:t>March 1, 2010).</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10.28*</w:t>
            </w:r>
          </w:p>
        </w:tc>
        <w:tc>
          <w:tcPr>
            <w:tcW w:w="10520" w:type="dxa"/>
            <w:vAlign w:val="bottom"/>
          </w:tcPr>
          <w:p>
            <w:pPr>
              <w:ind w:left="400"/>
              <w:spacing w:after="0"/>
              <w:rPr>
                <w:sz w:val="20"/>
                <w:szCs w:val="20"/>
                <w:color w:val="auto"/>
              </w:rPr>
            </w:pPr>
            <w:r>
              <w:rPr>
                <w:rFonts w:ascii="Arial" w:cs="Arial" w:eastAsia="Arial" w:hAnsi="Arial"/>
                <w:sz w:val="17"/>
                <w:szCs w:val="17"/>
                <w:color w:val="auto"/>
                <w:w w:val="90"/>
              </w:rPr>
              <w:t>First Amendment, dated as of March 23, 2010, to the Agreement Relating to Retention and Noncompetition and Other Covenants, dated as of March</w:t>
            </w:r>
          </w:p>
        </w:tc>
      </w:tr>
      <w:tr>
        <w:trPr>
          <w:trHeight w:val="209"/>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w w:val="92"/>
              </w:rPr>
              <w:t>18, 2005, with Kenneth M. Jacobs (incorporated by reference to Exhibit 10.1 to the Registrant’s Current Report on Form 8-K (File No. 001-32492)</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rPr>
              <w:t>field on March 23, 2010).</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10.29*</w:t>
            </w:r>
          </w:p>
        </w:tc>
        <w:tc>
          <w:tcPr>
            <w:tcW w:w="10520" w:type="dxa"/>
            <w:vAlign w:val="bottom"/>
          </w:tcPr>
          <w:p>
            <w:pPr>
              <w:ind w:left="400"/>
              <w:spacing w:after="0"/>
              <w:rPr>
                <w:sz w:val="20"/>
                <w:szCs w:val="20"/>
                <w:color w:val="auto"/>
              </w:rPr>
            </w:pPr>
            <w:r>
              <w:rPr>
                <w:rFonts w:ascii="Arial" w:cs="Arial" w:eastAsia="Arial" w:hAnsi="Arial"/>
                <w:sz w:val="17"/>
                <w:szCs w:val="17"/>
                <w:color w:val="auto"/>
                <w:w w:val="89"/>
              </w:rPr>
              <w:t>Amended and Restated Letter Agreement, effective as of January 1, 2004, between Vernon E. Jordan, Jr. and Lazard Frères &amp; Co. LLC (incorporated</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rPr>
              <w:t>by reference to Exhibit 10.28 to the Registrant’s Quarterly Report (File No. 001-32492) on Form 10-Q filed on June 16,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10.30*</w:t>
            </w:r>
          </w:p>
        </w:tc>
        <w:tc>
          <w:tcPr>
            <w:tcW w:w="10520" w:type="dxa"/>
            <w:vAlign w:val="bottom"/>
          </w:tcPr>
          <w:p>
            <w:pPr>
              <w:ind w:left="400"/>
              <w:spacing w:after="0"/>
              <w:rPr>
                <w:sz w:val="20"/>
                <w:szCs w:val="20"/>
                <w:color w:val="auto"/>
              </w:rPr>
            </w:pPr>
            <w:r>
              <w:rPr>
                <w:rFonts w:ascii="Arial" w:cs="Arial" w:eastAsia="Arial" w:hAnsi="Arial"/>
                <w:sz w:val="17"/>
                <w:szCs w:val="17"/>
                <w:color w:val="auto"/>
                <w:w w:val="91"/>
              </w:rPr>
              <w:t>Acknowledgement Letter, dated as of November 6, 2006 from Lazard Group LLC to certain managing directors of Lazard Group LLC modifying the</w:t>
            </w:r>
          </w:p>
        </w:tc>
      </w:tr>
      <w:tr>
        <w:trPr>
          <w:trHeight w:val="209"/>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w w:val="96"/>
              </w:rPr>
              <w:t>terms of the retention agreements of persons party to the Amended and Restated Stockholders’ Agreement, dated as of November 6, 2006</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w w:val="93"/>
              </w:rPr>
              <w:t>(incorporated by reference to Exhibit 10.23 to the Registrant’s Quarterly Report (File No. 001-32492) on Form 10-Q filed on November 7, 2006).</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10.31</w:t>
            </w:r>
          </w:p>
        </w:tc>
        <w:tc>
          <w:tcPr>
            <w:tcW w:w="10520" w:type="dxa"/>
            <w:vAlign w:val="bottom"/>
          </w:tcPr>
          <w:p>
            <w:pPr>
              <w:ind w:left="400"/>
              <w:spacing w:after="0"/>
              <w:rPr>
                <w:sz w:val="20"/>
                <w:szCs w:val="20"/>
                <w:color w:val="auto"/>
              </w:rPr>
            </w:pPr>
            <w:r>
              <w:rPr>
                <w:rFonts w:ascii="Arial" w:cs="Arial" w:eastAsia="Arial" w:hAnsi="Arial"/>
                <w:sz w:val="17"/>
                <w:szCs w:val="17"/>
                <w:color w:val="auto"/>
                <w:w w:val="91"/>
              </w:rPr>
              <w:t>Letter Agreement, dated as of March 15, 2005, from IXIS Corporate and Investment Bank to Lazard LLC and Lazard Ltd (incorporated by reference</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rPr>
              <w:t>to Exhibit 10.27 to the Registrant’s Registration Statement (File No. 333-121407) on Form S-1/A filed on March 21,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10.32</w:t>
            </w:r>
          </w:p>
        </w:tc>
        <w:tc>
          <w:tcPr>
            <w:tcW w:w="10520" w:type="dxa"/>
            <w:vAlign w:val="bottom"/>
          </w:tcPr>
          <w:p>
            <w:pPr>
              <w:ind w:left="400"/>
              <w:spacing w:after="0"/>
              <w:rPr>
                <w:sz w:val="20"/>
                <w:szCs w:val="20"/>
                <w:color w:val="auto"/>
              </w:rPr>
            </w:pPr>
            <w:r>
              <w:rPr>
                <w:rFonts w:ascii="Arial" w:cs="Arial" w:eastAsia="Arial" w:hAnsi="Arial"/>
                <w:sz w:val="17"/>
                <w:szCs w:val="17"/>
                <w:color w:val="auto"/>
                <w:w w:val="92"/>
              </w:rPr>
              <w:t>Registration Rights Agreement, dated as of May 10, 2005, by and among Lazard Group Finance LLC, the Registrant, Lazard Group LLC and IXIS</w:t>
            </w:r>
          </w:p>
        </w:tc>
      </w:tr>
      <w:tr>
        <w:trPr>
          <w:trHeight w:val="209"/>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w w:val="91"/>
              </w:rPr>
              <w:t>Corporate and Investment Bank (incorporated by reference to Exhibit 10.30 to the Registrant’s Quarterly Report (File No. 001-32492) on Form 10-Q</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rPr>
              <w:t>filed on June 16,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10.33</w:t>
            </w:r>
          </w:p>
        </w:tc>
        <w:tc>
          <w:tcPr>
            <w:tcW w:w="10520" w:type="dxa"/>
            <w:vAlign w:val="bottom"/>
          </w:tcPr>
          <w:p>
            <w:pPr>
              <w:ind w:left="400"/>
              <w:spacing w:after="0"/>
              <w:rPr>
                <w:sz w:val="20"/>
                <w:szCs w:val="20"/>
                <w:color w:val="auto"/>
              </w:rPr>
            </w:pPr>
            <w:r>
              <w:rPr>
                <w:rFonts w:ascii="Arial" w:cs="Arial" w:eastAsia="Arial" w:hAnsi="Arial"/>
                <w:sz w:val="17"/>
                <w:szCs w:val="17"/>
                <w:color w:val="auto"/>
                <w:w w:val="93"/>
              </w:rPr>
              <w:t>Letter Agreement, dated as of May 10, 2005, with Bruce Wasserstein family trusts (incorporated by reference to Exhibit 10.31 to the Registrant’s</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rPr>
              <w:t>Quarterly Report (File No. 001-32492) on Form 10-Q filed on June 16,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10.34</w:t>
            </w:r>
          </w:p>
        </w:tc>
        <w:tc>
          <w:tcPr>
            <w:tcW w:w="10520" w:type="dxa"/>
            <w:vAlign w:val="bottom"/>
          </w:tcPr>
          <w:p>
            <w:pPr>
              <w:ind w:left="400"/>
              <w:spacing w:after="0"/>
              <w:rPr>
                <w:sz w:val="20"/>
                <w:szCs w:val="20"/>
                <w:color w:val="auto"/>
              </w:rPr>
            </w:pPr>
            <w:r>
              <w:rPr>
                <w:rFonts w:ascii="Arial" w:cs="Arial" w:eastAsia="Arial" w:hAnsi="Arial"/>
                <w:sz w:val="17"/>
                <w:szCs w:val="17"/>
                <w:color w:val="auto"/>
                <w:w w:val="91"/>
              </w:rPr>
              <w:t>Letter Agreement, dated as of March 16, 2010, among Lazard Ltd, Lazard Group LLC and the Cranberry Dune 1998 Long-Term Trust (incorporated</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rPr>
              <w:t>by reference to Exhibit 10.1 to the Registrant’s Current Report on Form 8-K (File No. 001-32492) filed on March 22, 2010).</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10.35*</w:t>
            </w:r>
          </w:p>
        </w:tc>
        <w:tc>
          <w:tcPr>
            <w:tcW w:w="10520" w:type="dxa"/>
            <w:vAlign w:val="bottom"/>
          </w:tcPr>
          <w:p>
            <w:pPr>
              <w:ind w:left="400"/>
              <w:spacing w:after="0"/>
              <w:rPr>
                <w:sz w:val="20"/>
                <w:szCs w:val="20"/>
                <w:color w:val="auto"/>
              </w:rPr>
            </w:pPr>
            <w:r>
              <w:rPr>
                <w:rFonts w:ascii="Arial" w:cs="Arial" w:eastAsia="Arial" w:hAnsi="Arial"/>
                <w:sz w:val="17"/>
                <w:szCs w:val="17"/>
                <w:color w:val="auto"/>
                <w:w w:val="91"/>
              </w:rPr>
              <w:t>Description of Non-Executive Director Compensation (incorporated by reference to Exhibit 10.33 to the Registrant’s Quarterly Report (File No. 001-</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rPr>
              <w:t>32492) on Form 10-Q for the quarter ended June 30, 2005).</w:t>
            </w:r>
          </w:p>
        </w:tc>
      </w:tr>
      <w:tr>
        <w:trPr>
          <w:trHeight w:val="307"/>
        </w:trPr>
        <w:tc>
          <w:tcPr>
            <w:tcW w:w="880" w:type="dxa"/>
            <w:vAlign w:val="bottom"/>
          </w:tcPr>
          <w:p>
            <w:pPr>
              <w:spacing w:after="0"/>
              <w:rPr>
                <w:sz w:val="20"/>
                <w:szCs w:val="20"/>
                <w:color w:val="auto"/>
              </w:rPr>
            </w:pPr>
            <w:r>
              <w:rPr>
                <w:rFonts w:ascii="Arial" w:cs="Arial" w:eastAsia="Arial" w:hAnsi="Arial"/>
                <w:sz w:val="17"/>
                <w:szCs w:val="17"/>
                <w:color w:val="auto"/>
              </w:rPr>
              <w:t>10.36*</w:t>
            </w:r>
          </w:p>
        </w:tc>
        <w:tc>
          <w:tcPr>
            <w:tcW w:w="10520" w:type="dxa"/>
            <w:vAlign w:val="bottom"/>
          </w:tcPr>
          <w:p>
            <w:pPr>
              <w:ind w:left="400"/>
              <w:spacing w:after="0"/>
              <w:rPr>
                <w:sz w:val="20"/>
                <w:szCs w:val="20"/>
                <w:color w:val="auto"/>
              </w:rPr>
            </w:pPr>
            <w:r>
              <w:rPr>
                <w:rFonts w:ascii="Arial" w:cs="Arial" w:eastAsia="Arial" w:hAnsi="Arial"/>
                <w:sz w:val="17"/>
                <w:szCs w:val="17"/>
                <w:color w:val="auto"/>
                <w:w w:val="97"/>
              </w:rPr>
              <w:t>Form of Award Letter for Annual Grant of Deferred Stock Units to Non-Executive Directors (incorporated by reference to Exhibit 99.1 to the</w:t>
            </w:r>
          </w:p>
        </w:tc>
      </w:tr>
      <w:tr>
        <w:trPr>
          <w:trHeight w:val="215"/>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7"/>
                <w:szCs w:val="17"/>
                <w:color w:val="auto"/>
              </w:rPr>
              <w:t>Registrant’s Current Report on Form 8-K (File No. 001-32492) filed on September 8, 2005).</w:t>
            </w:r>
          </w:p>
        </w:tc>
      </w:tr>
      <w:tr>
        <w:trPr>
          <w:trHeight w:val="352"/>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7"/>
                <w:szCs w:val="17"/>
                <w:color w:val="auto"/>
              </w:rPr>
              <w:t>141</w:t>
            </w:r>
          </w:p>
        </w:tc>
      </w:tr>
    </w:tbl>
    <w:p>
      <w:pPr>
        <w:sectPr>
          <w:pgSz w:w="11900" w:h="16838" w:orient="portrait"/>
          <w:cols w:equalWidth="0" w:num="1">
            <w:col w:w="11400"/>
          </w:cols>
          <w:pgMar w:left="240" w:top="448" w:right="25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10.37*</w:t>
            </w:r>
          </w:p>
        </w:tc>
        <w:tc>
          <w:tcPr>
            <w:tcW w:w="10460" w:type="dxa"/>
            <w:vAlign w:val="bottom"/>
          </w:tcPr>
          <w:p>
            <w:pPr>
              <w:ind w:left="360"/>
              <w:spacing w:after="0"/>
              <w:rPr>
                <w:sz w:val="20"/>
                <w:szCs w:val="20"/>
                <w:color w:val="auto"/>
              </w:rPr>
            </w:pPr>
            <w:r>
              <w:rPr>
                <w:rFonts w:ascii="Arial" w:cs="Arial" w:eastAsia="Arial" w:hAnsi="Arial"/>
                <w:sz w:val="17"/>
                <w:szCs w:val="17"/>
                <w:color w:val="auto"/>
                <w:w w:val="94"/>
              </w:rPr>
              <w:t>Form of Agreement evidencing a grant of Restricted Stock Units to Executive Officers under the Lazard Equity Incentive Plan (incorporated by</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reference to Exhibit 10.1 to the Registrant’s Current Report on Form 8-K (File No. 001-32492) filed on January 26, 2006).</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10.38*</w:t>
            </w:r>
          </w:p>
        </w:tc>
        <w:tc>
          <w:tcPr>
            <w:tcW w:w="10460" w:type="dxa"/>
            <w:vAlign w:val="bottom"/>
          </w:tcPr>
          <w:p>
            <w:pPr>
              <w:ind w:left="360"/>
              <w:spacing w:after="0"/>
              <w:rPr>
                <w:sz w:val="20"/>
                <w:szCs w:val="20"/>
                <w:color w:val="auto"/>
              </w:rPr>
            </w:pPr>
            <w:r>
              <w:rPr>
                <w:rFonts w:ascii="Arial" w:cs="Arial" w:eastAsia="Arial" w:hAnsi="Arial"/>
                <w:sz w:val="17"/>
                <w:szCs w:val="17"/>
                <w:color w:val="auto"/>
                <w:w w:val="92"/>
              </w:rPr>
              <w:t>Form of Agreement evidencing a grant of Restricted Stock Units to Executive Officers under the 2008 Incentive Compensation Plan (incorporated</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by reference to Exhibit 10.41 to Registrant’s Annual Report (File No. 001-32492) on Form 10-K filed on March 2, 2009).</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10.39*</w:t>
            </w:r>
          </w:p>
        </w:tc>
        <w:tc>
          <w:tcPr>
            <w:tcW w:w="10460" w:type="dxa"/>
            <w:vAlign w:val="bottom"/>
          </w:tcPr>
          <w:p>
            <w:pPr>
              <w:ind w:left="360"/>
              <w:spacing w:after="0"/>
              <w:rPr>
                <w:sz w:val="20"/>
                <w:szCs w:val="20"/>
                <w:color w:val="auto"/>
              </w:rPr>
            </w:pPr>
            <w:r>
              <w:rPr>
                <w:rFonts w:ascii="Arial" w:cs="Arial" w:eastAsia="Arial" w:hAnsi="Arial"/>
                <w:sz w:val="17"/>
                <w:szCs w:val="17"/>
                <w:color w:val="auto"/>
                <w:w w:val="90"/>
              </w:rPr>
              <w:t>Form of Agreement evidencing a grant of Deferred Cash Award to Executive Officers under the 2008 Incentive Compensation Plan (incorporated by</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reference to Exhibit 10.42 to Registrant’s Annual Report (File No. 001-32492) on Form 10-K filed on March 2, 2009).</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10.40</w:t>
            </w:r>
          </w:p>
        </w:tc>
        <w:tc>
          <w:tcPr>
            <w:tcW w:w="10460" w:type="dxa"/>
            <w:vAlign w:val="bottom"/>
          </w:tcPr>
          <w:p>
            <w:pPr>
              <w:ind w:left="360"/>
              <w:spacing w:after="0"/>
              <w:rPr>
                <w:sz w:val="20"/>
                <w:szCs w:val="20"/>
                <w:color w:val="auto"/>
              </w:rPr>
            </w:pPr>
            <w:r>
              <w:rPr>
                <w:rFonts w:ascii="Arial" w:cs="Arial" w:eastAsia="Arial" w:hAnsi="Arial"/>
                <w:sz w:val="17"/>
                <w:szCs w:val="17"/>
                <w:color w:val="auto"/>
                <w:w w:val="91"/>
              </w:rPr>
              <w:t>Termination Agreement, dated as of March 31, 2006, by and among Banca Intesa S.p.A., Lazard Group LLC and Lazard &amp; Co. S.r.l. (incorporated</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by reference to Exhibit 10.1 to the Registrant’s Current Report on Form 8-K (File No. 001-32492) filed on April 4, 2006).</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10.41</w:t>
            </w:r>
          </w:p>
        </w:tc>
        <w:tc>
          <w:tcPr>
            <w:tcW w:w="10460" w:type="dxa"/>
            <w:vAlign w:val="bottom"/>
          </w:tcPr>
          <w:p>
            <w:pPr>
              <w:ind w:left="360"/>
              <w:spacing w:after="0"/>
              <w:rPr>
                <w:sz w:val="20"/>
                <w:szCs w:val="20"/>
                <w:color w:val="auto"/>
              </w:rPr>
            </w:pPr>
            <w:r>
              <w:rPr>
                <w:rFonts w:ascii="Arial" w:cs="Arial" w:eastAsia="Arial" w:hAnsi="Arial"/>
                <w:sz w:val="17"/>
                <w:szCs w:val="17"/>
                <w:color w:val="auto"/>
                <w:w w:val="92"/>
              </w:rPr>
              <w:t>Amended and Restated $150 Million Subordinated Convertible Promissory Note due 2018, issued by Lazard Funding LLC to Banca Intesa S.p.A.</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w w:val="99"/>
              </w:rPr>
              <w:t>(incorporated by reference to Exhibit 10.3 to the Registrant’s Current Report on Form 8-K (File No. 001-32492) filed on May 17, 2006).</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10.42</w:t>
            </w:r>
          </w:p>
        </w:tc>
        <w:tc>
          <w:tcPr>
            <w:tcW w:w="10460" w:type="dxa"/>
            <w:vAlign w:val="bottom"/>
          </w:tcPr>
          <w:p>
            <w:pPr>
              <w:ind w:left="360"/>
              <w:spacing w:after="0"/>
              <w:rPr>
                <w:sz w:val="20"/>
                <w:szCs w:val="20"/>
                <w:color w:val="auto"/>
              </w:rPr>
            </w:pPr>
            <w:r>
              <w:rPr>
                <w:rFonts w:ascii="Arial" w:cs="Arial" w:eastAsia="Arial" w:hAnsi="Arial"/>
                <w:sz w:val="17"/>
                <w:szCs w:val="17"/>
                <w:color w:val="auto"/>
                <w:w w:val="90"/>
              </w:rPr>
              <w:t>Amended and Restated Guaranty of Lazard Group LLC to Banca Intesa S.p.A., dated as of May 15, 2006 (incorporated by reference to Exhibit 10.4</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to the Registrant’s Current Report on Form 8-K (File No. 001-32492) filed on May 17, 2006).</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10.43*</w:t>
            </w:r>
          </w:p>
        </w:tc>
        <w:tc>
          <w:tcPr>
            <w:tcW w:w="10460" w:type="dxa"/>
            <w:vAlign w:val="bottom"/>
          </w:tcPr>
          <w:p>
            <w:pPr>
              <w:ind w:left="360"/>
              <w:spacing w:after="0"/>
              <w:rPr>
                <w:sz w:val="20"/>
                <w:szCs w:val="20"/>
                <w:color w:val="auto"/>
              </w:rPr>
            </w:pPr>
            <w:r>
              <w:rPr>
                <w:rFonts w:ascii="Arial" w:cs="Arial" w:eastAsia="Arial" w:hAnsi="Arial"/>
                <w:sz w:val="17"/>
                <w:szCs w:val="17"/>
                <w:color w:val="auto"/>
                <w:w w:val="92"/>
              </w:rPr>
              <w:t>Directors’ Fee Deferral Unit Plan (incorporated by reference to Exhibit 10.39 to Registrant’s Quarterly Report (File No. 001-32492) on Form 10-Q</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filed on May 11, 2006).</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10.44*</w:t>
            </w:r>
          </w:p>
        </w:tc>
        <w:tc>
          <w:tcPr>
            <w:tcW w:w="10460" w:type="dxa"/>
            <w:vAlign w:val="bottom"/>
          </w:tcPr>
          <w:p>
            <w:pPr>
              <w:ind w:left="360"/>
              <w:spacing w:after="0"/>
              <w:rPr>
                <w:sz w:val="20"/>
                <w:szCs w:val="20"/>
                <w:color w:val="auto"/>
              </w:rPr>
            </w:pPr>
            <w:r>
              <w:rPr>
                <w:rFonts w:ascii="Arial" w:cs="Arial" w:eastAsia="Arial" w:hAnsi="Arial"/>
                <w:sz w:val="17"/>
                <w:szCs w:val="17"/>
                <w:color w:val="auto"/>
                <w:w w:val="91"/>
              </w:rPr>
              <w:t>First Amended Form of Agreement evidencing a grant of Restricted Stock Units to Executive Officers under the Lazard 2005 Equity Incentive Plan</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10.43 to Registrant’s Annual Report (File No. 001-32492) on Form 10-K filed on March 1, 2007).</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10.45</w:t>
            </w:r>
          </w:p>
        </w:tc>
        <w:tc>
          <w:tcPr>
            <w:tcW w:w="10460" w:type="dxa"/>
            <w:vAlign w:val="bottom"/>
          </w:tcPr>
          <w:p>
            <w:pPr>
              <w:ind w:left="360"/>
              <w:spacing w:after="0"/>
              <w:rPr>
                <w:sz w:val="20"/>
                <w:szCs w:val="20"/>
                <w:color w:val="auto"/>
              </w:rPr>
            </w:pPr>
            <w:r>
              <w:rPr>
                <w:rFonts w:ascii="Arial" w:cs="Arial" w:eastAsia="Arial" w:hAnsi="Arial"/>
                <w:sz w:val="17"/>
                <w:szCs w:val="17"/>
                <w:color w:val="auto"/>
                <w:w w:val="93"/>
              </w:rPr>
              <w:t>Agreement and Plan of Merger, dated as of August 14, 2008, by and among Lazard Ltd, LAZ Sub I, Lazard Asset Management LLC and Lazard</w:t>
            </w:r>
          </w:p>
        </w:tc>
      </w:tr>
      <w:tr>
        <w:trPr>
          <w:trHeight w:val="209"/>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w w:val="92"/>
              </w:rPr>
              <w:t>Asset Management Limited (incorporated by reference to Exhibit 2.1 to the Registrant’s Current Report on Form 8-K (File No. 001-32492) filed on</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August 15, 2008).</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10.46*</w:t>
            </w:r>
          </w:p>
        </w:tc>
        <w:tc>
          <w:tcPr>
            <w:tcW w:w="10460" w:type="dxa"/>
            <w:vAlign w:val="bottom"/>
          </w:tcPr>
          <w:p>
            <w:pPr>
              <w:ind w:left="360"/>
              <w:spacing w:after="0"/>
              <w:rPr>
                <w:sz w:val="20"/>
                <w:szCs w:val="20"/>
                <w:color w:val="auto"/>
              </w:rPr>
            </w:pPr>
            <w:r>
              <w:rPr>
                <w:rFonts w:ascii="Arial" w:cs="Arial" w:eastAsia="Arial" w:hAnsi="Arial"/>
                <w:sz w:val="17"/>
                <w:szCs w:val="17"/>
                <w:color w:val="auto"/>
                <w:w w:val="93"/>
              </w:rPr>
              <w:t>Letter Agreement regarding employment dated as of April 21, 2010 between Lazard Group LLC and Gary W. Parr (incorporated by reference to</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Exhibit 10.53 to the Registrant’s Quarterly Report (File No. 001-32492) on Form 10-Q filed on April 30, 2010).</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10.47</w:t>
            </w:r>
          </w:p>
        </w:tc>
        <w:tc>
          <w:tcPr>
            <w:tcW w:w="10460" w:type="dxa"/>
            <w:vAlign w:val="bottom"/>
          </w:tcPr>
          <w:p>
            <w:pPr>
              <w:ind w:left="360"/>
              <w:spacing w:after="0"/>
              <w:rPr>
                <w:sz w:val="20"/>
                <w:szCs w:val="20"/>
                <w:color w:val="auto"/>
              </w:rPr>
            </w:pPr>
            <w:r>
              <w:rPr>
                <w:rFonts w:ascii="Arial" w:cs="Arial" w:eastAsia="Arial" w:hAnsi="Arial"/>
                <w:sz w:val="17"/>
                <w:szCs w:val="17"/>
                <w:color w:val="auto"/>
                <w:w w:val="96"/>
              </w:rPr>
              <w:t>Senior Revolving Credit Agreement, dated as of April 29, 2010, among Lazard Group LLC, the Banks from time to time parties thereto, and</w:t>
            </w:r>
          </w:p>
        </w:tc>
      </w:tr>
      <w:tr>
        <w:trPr>
          <w:trHeight w:val="209"/>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w w:val="93"/>
              </w:rPr>
              <w:t>Citibank, N.A., as Administrative Agent (incorporated by reference to Exhibit 10.54 to the Registrant’s Quarterly Report (File No. 001-32492) on</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Form 10-Q filed on April 30, 2010).</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10.48</w:t>
            </w:r>
          </w:p>
        </w:tc>
        <w:tc>
          <w:tcPr>
            <w:tcW w:w="10460" w:type="dxa"/>
            <w:vAlign w:val="bottom"/>
          </w:tcPr>
          <w:p>
            <w:pPr>
              <w:ind w:left="360"/>
              <w:spacing w:after="0"/>
              <w:rPr>
                <w:sz w:val="20"/>
                <w:szCs w:val="20"/>
                <w:color w:val="auto"/>
              </w:rPr>
            </w:pPr>
            <w:r>
              <w:rPr>
                <w:rFonts w:ascii="Arial" w:cs="Arial" w:eastAsia="Arial" w:hAnsi="Arial"/>
                <w:sz w:val="17"/>
                <w:szCs w:val="17"/>
                <w:color w:val="auto"/>
                <w:w w:val="91"/>
              </w:rPr>
              <w:t>Amendment No. 1, dated as of August 12, 2010, to the Senior Revolving Credit Agreement, dated as of April 29, 2010, among Lazard Group LLC,</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the Banks from time to time parties thereto, and Citibank, N.A., as Administrative Agent.</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10.49</w:t>
            </w:r>
          </w:p>
        </w:tc>
        <w:tc>
          <w:tcPr>
            <w:tcW w:w="10460" w:type="dxa"/>
            <w:vAlign w:val="bottom"/>
          </w:tcPr>
          <w:p>
            <w:pPr>
              <w:ind w:left="360"/>
              <w:spacing w:after="0"/>
              <w:rPr>
                <w:sz w:val="20"/>
                <w:szCs w:val="20"/>
                <w:color w:val="auto"/>
              </w:rPr>
            </w:pPr>
            <w:r>
              <w:rPr>
                <w:rFonts w:ascii="Arial" w:cs="Arial" w:eastAsia="Arial" w:hAnsi="Arial"/>
                <w:sz w:val="17"/>
                <w:szCs w:val="17"/>
                <w:color w:val="auto"/>
                <w:w w:val="93"/>
              </w:rPr>
              <w:t>Amendment No. 2, dated as of December 17, 2010, to the Senior Revolving Credit Agreement, dated as of April 29, 2010, among Lazard Group</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LLC, the Banks from time to time parties thereto, and Citibank, N.A., as Administrative Agent.</w:t>
            </w:r>
          </w:p>
        </w:tc>
      </w:tr>
      <w:tr>
        <w:trPr>
          <w:trHeight w:val="307"/>
        </w:trPr>
        <w:tc>
          <w:tcPr>
            <w:tcW w:w="840" w:type="dxa"/>
            <w:vAlign w:val="bottom"/>
          </w:tcPr>
          <w:p>
            <w:pPr>
              <w:spacing w:after="0"/>
              <w:rPr>
                <w:sz w:val="20"/>
                <w:szCs w:val="20"/>
                <w:color w:val="auto"/>
              </w:rPr>
            </w:pPr>
            <w:r>
              <w:rPr>
                <w:rFonts w:ascii="Arial" w:cs="Arial" w:eastAsia="Arial" w:hAnsi="Arial"/>
                <w:sz w:val="17"/>
                <w:szCs w:val="17"/>
                <w:color w:val="auto"/>
              </w:rPr>
              <w:t>10.50*</w:t>
            </w:r>
          </w:p>
        </w:tc>
        <w:tc>
          <w:tcPr>
            <w:tcW w:w="10460" w:type="dxa"/>
            <w:vAlign w:val="bottom"/>
          </w:tcPr>
          <w:p>
            <w:pPr>
              <w:ind w:left="360"/>
              <w:spacing w:after="0"/>
              <w:rPr>
                <w:sz w:val="20"/>
                <w:szCs w:val="20"/>
                <w:color w:val="auto"/>
              </w:rPr>
            </w:pPr>
            <w:r>
              <w:rPr>
                <w:rFonts w:ascii="Arial" w:cs="Arial" w:eastAsia="Arial" w:hAnsi="Arial"/>
                <w:sz w:val="17"/>
                <w:szCs w:val="17"/>
                <w:color w:val="auto"/>
                <w:w w:val="90"/>
              </w:rPr>
              <w:t>Form of Agreement evidencing a grant of Restricted Stock under the 2008 Incentive Compensation Plan (incorporated by reference to Exhibit 10.55</w:t>
            </w:r>
          </w:p>
        </w:tc>
      </w:tr>
      <w:tr>
        <w:trPr>
          <w:trHeight w:val="215"/>
        </w:trPr>
        <w:tc>
          <w:tcPr>
            <w:tcW w:w="84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7"/>
                <w:szCs w:val="17"/>
                <w:color w:val="auto"/>
              </w:rPr>
              <w:t>to the Registrant’s Quarterly Report (File No. 001-32492) on Form 10-Q filed on April 30, 2010).</w:t>
            </w:r>
          </w:p>
        </w:tc>
      </w:tr>
      <w:tr>
        <w:trPr>
          <w:trHeight w:val="313"/>
        </w:trPr>
        <w:tc>
          <w:tcPr>
            <w:tcW w:w="840" w:type="dxa"/>
            <w:vAlign w:val="bottom"/>
          </w:tcPr>
          <w:p>
            <w:pPr>
              <w:spacing w:after="0"/>
              <w:rPr>
                <w:sz w:val="20"/>
                <w:szCs w:val="20"/>
                <w:color w:val="auto"/>
              </w:rPr>
            </w:pPr>
            <w:r>
              <w:rPr>
                <w:rFonts w:ascii="Arial" w:cs="Arial" w:eastAsia="Arial" w:hAnsi="Arial"/>
                <w:sz w:val="17"/>
                <w:szCs w:val="17"/>
                <w:color w:val="auto"/>
              </w:rPr>
              <w:t>12.1</w:t>
            </w:r>
          </w:p>
        </w:tc>
        <w:tc>
          <w:tcPr>
            <w:tcW w:w="10460" w:type="dxa"/>
            <w:vAlign w:val="bottom"/>
          </w:tcPr>
          <w:p>
            <w:pPr>
              <w:ind w:left="360"/>
              <w:spacing w:after="0"/>
              <w:rPr>
                <w:sz w:val="20"/>
                <w:szCs w:val="20"/>
                <w:color w:val="auto"/>
              </w:rPr>
            </w:pPr>
            <w:r>
              <w:rPr>
                <w:rFonts w:ascii="Arial" w:cs="Arial" w:eastAsia="Arial" w:hAnsi="Arial"/>
                <w:sz w:val="17"/>
                <w:szCs w:val="17"/>
                <w:color w:val="auto"/>
              </w:rPr>
              <w:t>Computation of Ratio of Earnings to Fixed Charges.</w:t>
            </w:r>
          </w:p>
        </w:tc>
      </w:tr>
      <w:tr>
        <w:trPr>
          <w:trHeight w:val="313"/>
        </w:trPr>
        <w:tc>
          <w:tcPr>
            <w:tcW w:w="840" w:type="dxa"/>
            <w:vAlign w:val="bottom"/>
          </w:tcPr>
          <w:p>
            <w:pPr>
              <w:spacing w:after="0"/>
              <w:rPr>
                <w:sz w:val="20"/>
                <w:szCs w:val="20"/>
                <w:color w:val="auto"/>
              </w:rPr>
            </w:pPr>
            <w:r>
              <w:rPr>
                <w:rFonts w:ascii="Arial" w:cs="Arial" w:eastAsia="Arial" w:hAnsi="Arial"/>
                <w:sz w:val="17"/>
                <w:szCs w:val="17"/>
                <w:color w:val="auto"/>
              </w:rPr>
              <w:t>21.1</w:t>
            </w:r>
          </w:p>
        </w:tc>
        <w:tc>
          <w:tcPr>
            <w:tcW w:w="10460" w:type="dxa"/>
            <w:vAlign w:val="bottom"/>
          </w:tcPr>
          <w:p>
            <w:pPr>
              <w:ind w:left="360"/>
              <w:spacing w:after="0"/>
              <w:rPr>
                <w:sz w:val="20"/>
                <w:szCs w:val="20"/>
                <w:color w:val="auto"/>
              </w:rPr>
            </w:pPr>
            <w:r>
              <w:rPr>
                <w:rFonts w:ascii="Arial" w:cs="Arial" w:eastAsia="Arial" w:hAnsi="Arial"/>
                <w:sz w:val="17"/>
                <w:szCs w:val="17"/>
                <w:color w:val="auto"/>
              </w:rPr>
              <w:t>Subsidiaries of Registrant</w:t>
            </w:r>
          </w:p>
        </w:tc>
      </w:tr>
      <w:tr>
        <w:trPr>
          <w:trHeight w:val="313"/>
        </w:trPr>
        <w:tc>
          <w:tcPr>
            <w:tcW w:w="840" w:type="dxa"/>
            <w:vAlign w:val="bottom"/>
          </w:tcPr>
          <w:p>
            <w:pPr>
              <w:spacing w:after="0"/>
              <w:rPr>
                <w:sz w:val="20"/>
                <w:szCs w:val="20"/>
                <w:color w:val="auto"/>
              </w:rPr>
            </w:pPr>
            <w:r>
              <w:rPr>
                <w:rFonts w:ascii="Arial" w:cs="Arial" w:eastAsia="Arial" w:hAnsi="Arial"/>
                <w:sz w:val="17"/>
                <w:szCs w:val="17"/>
                <w:color w:val="auto"/>
              </w:rPr>
              <w:t>23.1</w:t>
            </w:r>
          </w:p>
        </w:tc>
        <w:tc>
          <w:tcPr>
            <w:tcW w:w="10460" w:type="dxa"/>
            <w:vAlign w:val="bottom"/>
          </w:tcPr>
          <w:p>
            <w:pPr>
              <w:ind w:left="360"/>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313"/>
        </w:trPr>
        <w:tc>
          <w:tcPr>
            <w:tcW w:w="840" w:type="dxa"/>
            <w:vAlign w:val="bottom"/>
          </w:tcPr>
          <w:p>
            <w:pPr>
              <w:spacing w:after="0"/>
              <w:rPr>
                <w:sz w:val="20"/>
                <w:szCs w:val="20"/>
                <w:color w:val="auto"/>
              </w:rPr>
            </w:pPr>
            <w:r>
              <w:rPr>
                <w:rFonts w:ascii="Arial" w:cs="Arial" w:eastAsia="Arial" w:hAnsi="Arial"/>
                <w:sz w:val="17"/>
                <w:szCs w:val="17"/>
                <w:color w:val="auto"/>
              </w:rPr>
              <w:t>31.1</w:t>
            </w:r>
          </w:p>
        </w:tc>
        <w:tc>
          <w:tcPr>
            <w:tcW w:w="10460" w:type="dxa"/>
            <w:vAlign w:val="bottom"/>
          </w:tcPr>
          <w:p>
            <w:pPr>
              <w:ind w:left="360"/>
              <w:spacing w:after="0"/>
              <w:rPr>
                <w:sz w:val="20"/>
                <w:szCs w:val="20"/>
                <w:color w:val="auto"/>
              </w:rPr>
            </w:pPr>
            <w:r>
              <w:rPr>
                <w:rFonts w:ascii="Arial" w:cs="Arial" w:eastAsia="Arial" w:hAnsi="Arial"/>
                <w:sz w:val="17"/>
                <w:szCs w:val="17"/>
                <w:color w:val="auto"/>
              </w:rPr>
              <w:t>Rule 13a-14(a) Certification of Kenneth M. Jacobs.</w:t>
            </w:r>
          </w:p>
        </w:tc>
      </w:tr>
      <w:tr>
        <w:trPr>
          <w:trHeight w:val="352"/>
        </w:trPr>
        <w:tc>
          <w:tcPr>
            <w:tcW w:w="840" w:type="dxa"/>
            <w:vAlign w:val="bottom"/>
          </w:tcPr>
          <w:p>
            <w:pPr>
              <w:spacing w:after="0"/>
              <w:rPr>
                <w:sz w:val="24"/>
                <w:szCs w:val="24"/>
                <w:color w:val="auto"/>
              </w:rPr>
            </w:pPr>
          </w:p>
        </w:tc>
        <w:tc>
          <w:tcPr>
            <w:tcW w:w="10460" w:type="dxa"/>
            <w:vAlign w:val="bottom"/>
          </w:tcPr>
          <w:p>
            <w:pPr>
              <w:ind w:left="4660"/>
              <w:spacing w:after="0"/>
              <w:rPr>
                <w:sz w:val="20"/>
                <w:szCs w:val="20"/>
                <w:color w:val="auto"/>
              </w:rPr>
            </w:pPr>
            <w:r>
              <w:rPr>
                <w:rFonts w:ascii="Arial" w:cs="Arial" w:eastAsia="Arial" w:hAnsi="Arial"/>
                <w:sz w:val="17"/>
                <w:szCs w:val="17"/>
                <w:color w:val="auto"/>
              </w:rPr>
              <w:t>142</w:t>
            </w:r>
          </w:p>
        </w:tc>
      </w:tr>
    </w:tbl>
    <w:p>
      <w:pPr>
        <w:sectPr>
          <w:pgSz w:w="11900" w:h="16838" w:orient="portrait"/>
          <w:cols w:equalWidth="0" w:num="1">
            <w:col w:w="11380"/>
          </w:cols>
          <w:pgMar w:left="240" w:top="448" w:right="27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Pr>
          <w:p>
            <w:pPr>
              <w:ind w:left="80"/>
              <w:spacing w:after="0"/>
              <w:rPr>
                <w:sz w:val="20"/>
                <w:szCs w:val="20"/>
                <w:color w:val="auto"/>
              </w:rPr>
            </w:pPr>
            <w:r>
              <w:rPr>
                <w:rFonts w:ascii="Arial" w:cs="Arial" w:eastAsia="Arial" w:hAnsi="Arial"/>
                <w:sz w:val="17"/>
                <w:szCs w:val="17"/>
                <w:color w:val="auto"/>
              </w:rPr>
              <w:t>31.2</w:t>
            </w:r>
          </w:p>
        </w:tc>
        <w:tc>
          <w:tcPr>
            <w:tcW w:w="3960" w:type="dxa"/>
            <w:vAlign w:val="bottom"/>
            <w:gridSpan w:val="2"/>
          </w:tcPr>
          <w:p>
            <w:pPr>
              <w:ind w:left="320"/>
              <w:spacing w:after="0"/>
              <w:rPr>
                <w:sz w:val="20"/>
                <w:szCs w:val="20"/>
                <w:color w:val="auto"/>
              </w:rPr>
            </w:pPr>
            <w:r>
              <w:rPr>
                <w:rFonts w:ascii="Arial" w:cs="Arial" w:eastAsia="Arial" w:hAnsi="Arial"/>
                <w:sz w:val="17"/>
                <w:szCs w:val="17"/>
                <w:color w:val="auto"/>
                <w:w w:val="91"/>
              </w:rPr>
              <w:t>Rule 13a-14(a) Certification of Michael J. Castellano.</w:t>
            </w:r>
          </w:p>
        </w:tc>
      </w:tr>
      <w:tr>
        <w:trPr>
          <w:trHeight w:val="313"/>
        </w:trPr>
        <w:tc>
          <w:tcPr>
            <w:tcW w:w="960" w:type="dxa"/>
            <w:vAlign w:val="bottom"/>
          </w:tcPr>
          <w:p>
            <w:pPr>
              <w:ind w:left="80"/>
              <w:spacing w:after="0"/>
              <w:rPr>
                <w:sz w:val="20"/>
                <w:szCs w:val="20"/>
                <w:color w:val="auto"/>
              </w:rPr>
            </w:pPr>
            <w:r>
              <w:rPr>
                <w:rFonts w:ascii="Arial" w:cs="Arial" w:eastAsia="Arial" w:hAnsi="Arial"/>
                <w:sz w:val="17"/>
                <w:szCs w:val="17"/>
                <w:color w:val="auto"/>
              </w:rPr>
              <w:t>32.1</w:t>
            </w:r>
          </w:p>
        </w:tc>
        <w:tc>
          <w:tcPr>
            <w:tcW w:w="1220" w:type="dxa"/>
            <w:vAlign w:val="bottom"/>
          </w:tcPr>
          <w:p>
            <w:pPr>
              <w:ind w:left="320"/>
              <w:spacing w:after="0"/>
              <w:rPr>
                <w:sz w:val="20"/>
                <w:szCs w:val="20"/>
                <w:color w:val="auto"/>
              </w:rPr>
            </w:pPr>
            <w:r>
              <w:rPr>
                <w:rFonts w:ascii="Arial" w:cs="Arial" w:eastAsia="Arial" w:hAnsi="Arial"/>
                <w:sz w:val="17"/>
                <w:szCs w:val="17"/>
                <w:color w:val="auto"/>
                <w:w w:val="88"/>
              </w:rPr>
              <w:t>Section 1350</w:t>
            </w:r>
          </w:p>
        </w:tc>
        <w:tc>
          <w:tcPr>
            <w:tcW w:w="2740" w:type="dxa"/>
            <w:vAlign w:val="bottom"/>
          </w:tcPr>
          <w:p>
            <w:pPr>
              <w:ind w:left="20"/>
              <w:spacing w:after="0"/>
              <w:rPr>
                <w:sz w:val="20"/>
                <w:szCs w:val="20"/>
                <w:color w:val="auto"/>
              </w:rPr>
            </w:pPr>
            <w:r>
              <w:rPr>
                <w:rFonts w:ascii="Arial" w:cs="Arial" w:eastAsia="Arial" w:hAnsi="Arial"/>
                <w:sz w:val="17"/>
                <w:szCs w:val="17"/>
                <w:color w:val="auto"/>
              </w:rPr>
              <w:t>Certification for Kenneth M. Jacobs.</w:t>
            </w:r>
          </w:p>
        </w:tc>
      </w:tr>
      <w:tr>
        <w:trPr>
          <w:trHeight w:val="313"/>
        </w:trPr>
        <w:tc>
          <w:tcPr>
            <w:tcW w:w="960" w:type="dxa"/>
            <w:vAlign w:val="bottom"/>
          </w:tcPr>
          <w:p>
            <w:pPr>
              <w:ind w:left="80"/>
              <w:spacing w:after="0"/>
              <w:rPr>
                <w:sz w:val="20"/>
                <w:szCs w:val="20"/>
                <w:color w:val="auto"/>
              </w:rPr>
            </w:pPr>
            <w:r>
              <w:rPr>
                <w:rFonts w:ascii="Arial" w:cs="Arial" w:eastAsia="Arial" w:hAnsi="Arial"/>
                <w:sz w:val="17"/>
                <w:szCs w:val="17"/>
                <w:color w:val="auto"/>
              </w:rPr>
              <w:t>32.2</w:t>
            </w:r>
          </w:p>
        </w:tc>
        <w:tc>
          <w:tcPr>
            <w:tcW w:w="1220" w:type="dxa"/>
            <w:vAlign w:val="bottom"/>
          </w:tcPr>
          <w:p>
            <w:pPr>
              <w:ind w:left="320"/>
              <w:spacing w:after="0"/>
              <w:rPr>
                <w:sz w:val="20"/>
                <w:szCs w:val="20"/>
                <w:color w:val="auto"/>
              </w:rPr>
            </w:pPr>
            <w:r>
              <w:rPr>
                <w:rFonts w:ascii="Arial" w:cs="Arial" w:eastAsia="Arial" w:hAnsi="Arial"/>
                <w:sz w:val="17"/>
                <w:szCs w:val="17"/>
                <w:color w:val="auto"/>
                <w:w w:val="88"/>
              </w:rPr>
              <w:t>Section 1350</w:t>
            </w:r>
          </w:p>
        </w:tc>
        <w:tc>
          <w:tcPr>
            <w:tcW w:w="2740" w:type="dxa"/>
            <w:vAlign w:val="bottom"/>
          </w:tcPr>
          <w:p>
            <w:pPr>
              <w:ind w:left="20"/>
              <w:spacing w:after="0"/>
              <w:rPr>
                <w:sz w:val="20"/>
                <w:szCs w:val="20"/>
                <w:color w:val="auto"/>
              </w:rPr>
            </w:pPr>
            <w:r>
              <w:rPr>
                <w:rFonts w:ascii="Arial" w:cs="Arial" w:eastAsia="Arial" w:hAnsi="Arial"/>
                <w:sz w:val="17"/>
                <w:szCs w:val="17"/>
                <w:color w:val="auto"/>
                <w:w w:val="94"/>
              </w:rPr>
              <w:t>Certification for Michael J. Castellano.</w:t>
            </w:r>
          </w:p>
        </w:tc>
      </w:tr>
      <w:tr>
        <w:trPr>
          <w:trHeight w:val="313"/>
        </w:trPr>
        <w:tc>
          <w:tcPr>
            <w:tcW w:w="960" w:type="dxa"/>
            <w:vAlign w:val="bottom"/>
          </w:tcPr>
          <w:p>
            <w:pPr>
              <w:spacing w:after="0"/>
              <w:rPr>
                <w:sz w:val="20"/>
                <w:szCs w:val="20"/>
                <w:color w:val="auto"/>
              </w:rPr>
            </w:pPr>
            <w:r>
              <w:rPr>
                <w:rFonts w:ascii="Arial" w:cs="Arial" w:eastAsia="Arial" w:hAnsi="Arial"/>
                <w:sz w:val="17"/>
                <w:szCs w:val="17"/>
                <w:color w:val="auto"/>
              </w:rPr>
              <w:t>101.INS</w:t>
            </w:r>
          </w:p>
        </w:tc>
        <w:tc>
          <w:tcPr>
            <w:tcW w:w="3960" w:type="dxa"/>
            <w:vAlign w:val="bottom"/>
            <w:gridSpan w:val="2"/>
          </w:tcPr>
          <w:p>
            <w:pPr>
              <w:ind w:left="320"/>
              <w:spacing w:after="0"/>
              <w:rPr>
                <w:sz w:val="20"/>
                <w:szCs w:val="20"/>
                <w:color w:val="auto"/>
              </w:rPr>
            </w:pPr>
            <w:r>
              <w:rPr>
                <w:rFonts w:ascii="Arial" w:cs="Arial" w:eastAsia="Arial" w:hAnsi="Arial"/>
                <w:sz w:val="17"/>
                <w:szCs w:val="17"/>
                <w:color w:val="auto"/>
              </w:rPr>
              <w:t>XBRL Instance Document</w:t>
            </w:r>
          </w:p>
        </w:tc>
      </w:tr>
      <w:tr>
        <w:trPr>
          <w:trHeight w:val="313"/>
        </w:trPr>
        <w:tc>
          <w:tcPr>
            <w:tcW w:w="960" w:type="dxa"/>
            <w:vAlign w:val="bottom"/>
          </w:tcPr>
          <w:p>
            <w:pPr>
              <w:spacing w:after="0"/>
              <w:rPr>
                <w:sz w:val="20"/>
                <w:szCs w:val="20"/>
                <w:color w:val="auto"/>
              </w:rPr>
            </w:pPr>
            <w:r>
              <w:rPr>
                <w:rFonts w:ascii="Arial" w:cs="Arial" w:eastAsia="Arial" w:hAnsi="Arial"/>
                <w:sz w:val="17"/>
                <w:szCs w:val="17"/>
                <w:color w:val="auto"/>
              </w:rPr>
              <w:t>101.SCH</w:t>
            </w:r>
          </w:p>
        </w:tc>
        <w:tc>
          <w:tcPr>
            <w:tcW w:w="3960" w:type="dxa"/>
            <w:vAlign w:val="bottom"/>
            <w:gridSpan w:val="2"/>
          </w:tcPr>
          <w:p>
            <w:pPr>
              <w:ind w:left="320"/>
              <w:spacing w:after="0"/>
              <w:rPr>
                <w:sz w:val="20"/>
                <w:szCs w:val="20"/>
                <w:color w:val="auto"/>
              </w:rPr>
            </w:pPr>
            <w:r>
              <w:rPr>
                <w:rFonts w:ascii="Arial" w:cs="Arial" w:eastAsia="Arial" w:hAnsi="Arial"/>
                <w:sz w:val="17"/>
                <w:szCs w:val="17"/>
                <w:color w:val="auto"/>
              </w:rPr>
              <w:t>XBRL Taxonomy Extension Schema</w:t>
            </w:r>
          </w:p>
        </w:tc>
      </w:tr>
      <w:tr>
        <w:trPr>
          <w:trHeight w:val="313"/>
        </w:trPr>
        <w:tc>
          <w:tcPr>
            <w:tcW w:w="960" w:type="dxa"/>
            <w:vAlign w:val="bottom"/>
          </w:tcPr>
          <w:p>
            <w:pPr>
              <w:spacing w:after="0"/>
              <w:rPr>
                <w:sz w:val="20"/>
                <w:szCs w:val="20"/>
                <w:color w:val="auto"/>
              </w:rPr>
            </w:pPr>
            <w:r>
              <w:rPr>
                <w:rFonts w:ascii="Arial" w:cs="Arial" w:eastAsia="Arial" w:hAnsi="Arial"/>
                <w:sz w:val="17"/>
                <w:szCs w:val="17"/>
                <w:color w:val="auto"/>
              </w:rPr>
              <w:t>101.CAL</w:t>
            </w:r>
          </w:p>
        </w:tc>
        <w:tc>
          <w:tcPr>
            <w:tcW w:w="3960" w:type="dxa"/>
            <w:vAlign w:val="bottom"/>
            <w:gridSpan w:val="2"/>
          </w:tcPr>
          <w:p>
            <w:pPr>
              <w:ind w:left="320"/>
              <w:spacing w:after="0"/>
              <w:rPr>
                <w:sz w:val="20"/>
                <w:szCs w:val="20"/>
                <w:color w:val="auto"/>
              </w:rPr>
            </w:pPr>
            <w:r>
              <w:rPr>
                <w:rFonts w:ascii="Arial" w:cs="Arial" w:eastAsia="Arial" w:hAnsi="Arial"/>
                <w:sz w:val="17"/>
                <w:szCs w:val="17"/>
                <w:color w:val="auto"/>
                <w:w w:val="97"/>
              </w:rPr>
              <w:t>XBRL Taxonomy Extension Calculation Linkbase</w:t>
            </w:r>
          </w:p>
        </w:tc>
      </w:tr>
      <w:tr>
        <w:trPr>
          <w:trHeight w:val="313"/>
        </w:trPr>
        <w:tc>
          <w:tcPr>
            <w:tcW w:w="960" w:type="dxa"/>
            <w:vAlign w:val="bottom"/>
          </w:tcPr>
          <w:p>
            <w:pPr>
              <w:spacing w:after="0"/>
              <w:rPr>
                <w:sz w:val="20"/>
                <w:szCs w:val="20"/>
                <w:color w:val="auto"/>
              </w:rPr>
            </w:pPr>
            <w:r>
              <w:rPr>
                <w:rFonts w:ascii="Arial" w:cs="Arial" w:eastAsia="Arial" w:hAnsi="Arial"/>
                <w:sz w:val="17"/>
                <w:szCs w:val="17"/>
                <w:color w:val="auto"/>
              </w:rPr>
              <w:t>101.DEF</w:t>
            </w:r>
          </w:p>
        </w:tc>
        <w:tc>
          <w:tcPr>
            <w:tcW w:w="3960" w:type="dxa"/>
            <w:vAlign w:val="bottom"/>
            <w:gridSpan w:val="2"/>
          </w:tcPr>
          <w:p>
            <w:pPr>
              <w:ind w:left="320"/>
              <w:spacing w:after="0"/>
              <w:rPr>
                <w:sz w:val="20"/>
                <w:szCs w:val="20"/>
                <w:color w:val="auto"/>
              </w:rPr>
            </w:pPr>
            <w:r>
              <w:rPr>
                <w:rFonts w:ascii="Arial" w:cs="Arial" w:eastAsia="Arial" w:hAnsi="Arial"/>
                <w:sz w:val="17"/>
                <w:szCs w:val="17"/>
                <w:color w:val="auto"/>
              </w:rPr>
              <w:t>XBRL Taxonomy Extension Definition Linkbase</w:t>
            </w:r>
          </w:p>
        </w:tc>
      </w:tr>
      <w:tr>
        <w:trPr>
          <w:trHeight w:val="313"/>
        </w:trPr>
        <w:tc>
          <w:tcPr>
            <w:tcW w:w="960" w:type="dxa"/>
            <w:vAlign w:val="bottom"/>
          </w:tcPr>
          <w:p>
            <w:pPr>
              <w:spacing w:after="0"/>
              <w:rPr>
                <w:sz w:val="20"/>
                <w:szCs w:val="20"/>
                <w:color w:val="auto"/>
              </w:rPr>
            </w:pPr>
            <w:r>
              <w:rPr>
                <w:rFonts w:ascii="Arial" w:cs="Arial" w:eastAsia="Arial" w:hAnsi="Arial"/>
                <w:sz w:val="17"/>
                <w:szCs w:val="17"/>
                <w:color w:val="auto"/>
              </w:rPr>
              <w:t>101.LAB</w:t>
            </w:r>
          </w:p>
        </w:tc>
        <w:tc>
          <w:tcPr>
            <w:tcW w:w="3960" w:type="dxa"/>
            <w:vAlign w:val="bottom"/>
            <w:gridSpan w:val="2"/>
          </w:tcPr>
          <w:p>
            <w:pPr>
              <w:ind w:left="320"/>
              <w:spacing w:after="0"/>
              <w:rPr>
                <w:sz w:val="20"/>
                <w:szCs w:val="20"/>
                <w:color w:val="auto"/>
              </w:rPr>
            </w:pPr>
            <w:r>
              <w:rPr>
                <w:rFonts w:ascii="Arial" w:cs="Arial" w:eastAsia="Arial" w:hAnsi="Arial"/>
                <w:sz w:val="17"/>
                <w:szCs w:val="17"/>
                <w:color w:val="auto"/>
              </w:rPr>
              <w:t>XBRL Taxonomy Extension Label Linkbase</w:t>
            </w:r>
          </w:p>
        </w:tc>
      </w:tr>
      <w:tr>
        <w:trPr>
          <w:trHeight w:val="313"/>
        </w:trPr>
        <w:tc>
          <w:tcPr>
            <w:tcW w:w="960" w:type="dxa"/>
            <w:vAlign w:val="bottom"/>
          </w:tcPr>
          <w:p>
            <w:pPr>
              <w:spacing w:after="0"/>
              <w:rPr>
                <w:sz w:val="20"/>
                <w:szCs w:val="20"/>
                <w:color w:val="auto"/>
              </w:rPr>
            </w:pPr>
            <w:r>
              <w:rPr>
                <w:rFonts w:ascii="Arial" w:cs="Arial" w:eastAsia="Arial" w:hAnsi="Arial"/>
                <w:sz w:val="17"/>
                <w:szCs w:val="17"/>
                <w:color w:val="auto"/>
              </w:rPr>
              <w:t>101.PRE</w:t>
            </w:r>
          </w:p>
        </w:tc>
        <w:tc>
          <w:tcPr>
            <w:tcW w:w="3960" w:type="dxa"/>
            <w:vAlign w:val="bottom"/>
            <w:gridSpan w:val="2"/>
          </w:tcPr>
          <w:p>
            <w:pPr>
              <w:ind w:left="320"/>
              <w:spacing w:after="0"/>
              <w:rPr>
                <w:sz w:val="20"/>
                <w:szCs w:val="20"/>
                <w:color w:val="auto"/>
              </w:rPr>
            </w:pPr>
            <w:r>
              <w:rPr>
                <w:rFonts w:ascii="Arial" w:cs="Arial" w:eastAsia="Arial" w:hAnsi="Arial"/>
                <w:sz w:val="17"/>
                <w:szCs w:val="17"/>
                <w:color w:val="auto"/>
                <w:w w:val="95"/>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7289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17"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Management contract or compensatory plan or arrangement.</w:t>
      </w:r>
    </w:p>
    <w:p>
      <w:pPr>
        <w:spacing w:after="0" w:line="157"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219"/>
          </w:cols>
          <w:pgMar w:left="240" w:top="448" w:right="1440"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LAZARD LTD</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INDEX TO FINANCIAL STATEMENTS AND FINANCIAL STATEMENT SCHEDULE</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ITEMS 15 (a)(1) AND 15 (a)(2)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00" w:type="dxa"/>
            <w:vAlign w:val="bottom"/>
            <w:gridSpan w:val="2"/>
          </w:tcPr>
          <w:p>
            <w:pPr>
              <w:ind w:left="10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6"/>
        </w:trPr>
        <w:tc>
          <w:tcPr>
            <w:tcW w:w="10840" w:type="dxa"/>
            <w:vAlign w:val="bottom"/>
            <w:gridSpan w:val="16"/>
            <w:vMerge w:val="restart"/>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Management’s Report on Internal Control Over Financial Reporting</w:t>
              </w:r>
            </w:hyperlink>
          </w:p>
        </w:tc>
        <w:tc>
          <w:tcPr>
            <w:tcW w:w="500" w:type="dxa"/>
            <w:vAlign w:val="bottom"/>
            <w:gridSpan w:val="2"/>
          </w:tcPr>
          <w:p>
            <w:pPr>
              <w:ind w:left="140"/>
              <w:spacing w:after="0"/>
              <w:rPr>
                <w:sz w:val="20"/>
                <w:szCs w:val="20"/>
                <w:color w:val="auto"/>
              </w:rPr>
            </w:pPr>
            <w:r>
              <w:rPr>
                <w:rFonts w:ascii="Arial" w:cs="Arial" w:eastAsia="Arial" w:hAnsi="Arial"/>
                <w:sz w:val="13"/>
                <w:szCs w:val="13"/>
                <w:b w:val="1"/>
                <w:bCs w:val="1"/>
                <w:color w:val="auto"/>
              </w:rPr>
              <w:t>No.</w:t>
            </w:r>
          </w:p>
        </w:tc>
        <w:tc>
          <w:tcPr>
            <w:tcW w:w="0" w:type="dxa"/>
            <w:vAlign w:val="bottom"/>
          </w:tcPr>
          <w:p>
            <w:pPr>
              <w:spacing w:after="0"/>
              <w:rPr>
                <w:sz w:val="1"/>
                <w:szCs w:val="1"/>
                <w:color w:val="auto"/>
              </w:rPr>
            </w:pPr>
          </w:p>
        </w:tc>
      </w:tr>
      <w:tr>
        <w:trPr>
          <w:trHeight w:val="163"/>
        </w:trPr>
        <w:tc>
          <w:tcPr>
            <w:tcW w:w="10840" w:type="dxa"/>
            <w:vAlign w:val="bottom"/>
            <w:gridSpan w:val="16"/>
            <w:vMerge w:val="continue"/>
          </w:tcPr>
          <w:p>
            <w:pPr>
              <w:spacing w:after="0"/>
              <w:rPr>
                <w:sz w:val="14"/>
                <w:szCs w:val="14"/>
                <w:color w:val="auto"/>
              </w:rPr>
            </w:pPr>
          </w:p>
        </w:tc>
        <w:tc>
          <w:tcPr>
            <w:tcW w:w="4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620" w:type="dxa"/>
            <w:vAlign w:val="bottom"/>
            <w:tcBorders>
              <w:top w:val="single" w:sz="8" w:color="0000EE"/>
            </w:tcBorders>
            <w:gridSpan w:val="7"/>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Reports of Independent Registered Public Accounting Firm</w:t>
              </w:r>
            </w:hyperlink>
          </w:p>
        </w:tc>
        <w:tc>
          <w:tcPr>
            <w:tcW w:w="6220" w:type="dxa"/>
            <w:vAlign w:val="bottom"/>
            <w:gridSpan w:val="9"/>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73-74</w:t>
            </w:r>
          </w:p>
        </w:tc>
        <w:tc>
          <w:tcPr>
            <w:tcW w:w="0" w:type="dxa"/>
            <w:vAlign w:val="bottom"/>
          </w:tcPr>
          <w:p>
            <w:pPr>
              <w:spacing w:after="0"/>
              <w:rPr>
                <w:sz w:val="1"/>
                <w:szCs w:val="1"/>
                <w:color w:val="auto"/>
              </w:rPr>
            </w:pPr>
          </w:p>
        </w:tc>
      </w:tr>
      <w:tr>
        <w:trPr>
          <w:trHeight w:val="435"/>
        </w:trPr>
        <w:tc>
          <w:tcPr>
            <w:tcW w:w="4040" w:type="dxa"/>
            <w:vAlign w:val="bottom"/>
            <w:tcBorders>
              <w:top w:val="single" w:sz="8" w:color="0000EE"/>
            </w:tcBorders>
            <w:gridSpan w:val="6"/>
          </w:tcPr>
          <w:p>
            <w:pPr>
              <w:spacing w:after="0"/>
              <w:rPr>
                <w:sz w:val="20"/>
                <w:szCs w:val="20"/>
                <w:color w:val="auto"/>
              </w:rPr>
            </w:pPr>
            <w:r>
              <w:rPr>
                <w:rFonts w:ascii="Arial" w:cs="Arial" w:eastAsia="Arial" w:hAnsi="Arial"/>
                <w:sz w:val="17"/>
                <w:szCs w:val="17"/>
                <w:b w:val="1"/>
                <w:bCs w:val="1"/>
                <w:color w:val="auto"/>
              </w:rPr>
              <w:t>Consolidated Financial Statements</w:t>
            </w:r>
          </w:p>
        </w:tc>
        <w:tc>
          <w:tcPr>
            <w:tcW w:w="680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8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77">
              <w:r>
                <w:rPr>
                  <w:rFonts w:ascii="Arial" w:cs="Arial" w:eastAsia="Arial" w:hAnsi="Arial"/>
                  <w:sz w:val="17"/>
                  <w:szCs w:val="17"/>
                  <w:color w:val="0000EE"/>
                  <w:w w:val="89"/>
                </w:rPr>
                <w:t>Consolidated Statements of Financial Condition as of December 31, 2010 and 2009</w:t>
              </w:r>
            </w:hyperlink>
          </w:p>
        </w:tc>
        <w:tc>
          <w:tcPr>
            <w:tcW w:w="5160" w:type="dxa"/>
            <w:vAlign w:val="bottom"/>
            <w:gridSpan w:val="8"/>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54"/>
        </w:trPr>
        <w:tc>
          <w:tcPr>
            <w:tcW w:w="10840" w:type="dxa"/>
            <w:vAlign w:val="bottom"/>
            <w:gridSpan w:val="16"/>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Consolidated Statements of Operations for the years ended December 31, 2010, 2009 and 2008</w:t>
              </w:r>
            </w:hyperlink>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520" w:type="dxa"/>
            <w:vAlign w:val="bottom"/>
            <w:tcBorders>
              <w:bottom w:val="single" w:sz="8" w:color="0000EE"/>
            </w:tcBorders>
            <w:gridSpan w:val="11"/>
          </w:tcPr>
          <w:p>
            <w:pPr>
              <w:spacing w:after="0"/>
              <w:rPr>
                <w:rFonts w:ascii="Arial" w:cs="Arial" w:eastAsia="Arial" w:hAnsi="Arial"/>
                <w:sz w:val="17"/>
                <w:szCs w:val="17"/>
                <w:color w:val="0000EE"/>
                <w:w w:val="88"/>
              </w:rPr>
            </w:pPr>
            <w:hyperlink w:anchor="page80">
              <w:r>
                <w:rPr>
                  <w:rFonts w:ascii="Arial" w:cs="Arial" w:eastAsia="Arial" w:hAnsi="Arial"/>
                  <w:sz w:val="17"/>
                  <w:szCs w:val="17"/>
                  <w:color w:val="0000EE"/>
                  <w:w w:val="88"/>
                </w:rPr>
                <w:t>Consolidated Statements of Cash Flows for the years ended December 31, 2010, 2009 and 2008</w:t>
              </w:r>
            </w:hyperlink>
          </w:p>
        </w:tc>
        <w:tc>
          <w:tcPr>
            <w:tcW w:w="4320" w:type="dxa"/>
            <w:vAlign w:val="bottom"/>
            <w:gridSpan w:val="5"/>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54"/>
        </w:trPr>
        <w:tc>
          <w:tcPr>
            <w:tcW w:w="10840" w:type="dxa"/>
            <w:vAlign w:val="bottom"/>
            <w:gridSpan w:val="16"/>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Consolidated Statements of Changes in Stockholders’ Equity for the years ended December 31, 2010, 2009 and 2008</w:t>
              </w:r>
            </w:hyperlink>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54"/>
        </w:trPr>
        <w:tc>
          <w:tcPr>
            <w:tcW w:w="298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89"/>
              </w:rPr>
            </w:pPr>
            <w:hyperlink w:anchor="page84">
              <w:r>
                <w:rPr>
                  <w:rFonts w:ascii="Arial" w:cs="Arial" w:eastAsia="Arial" w:hAnsi="Arial"/>
                  <w:sz w:val="17"/>
                  <w:szCs w:val="17"/>
                  <w:color w:val="0000EE"/>
                  <w:w w:val="89"/>
                </w:rPr>
                <w:t>Notes to Consolidated Financial Statements</w:t>
              </w:r>
            </w:hyperlink>
          </w:p>
        </w:tc>
        <w:tc>
          <w:tcPr>
            <w:tcW w:w="5020" w:type="dxa"/>
            <w:vAlign w:val="bottom"/>
            <w:tcBorders>
              <w:top w:val="single" w:sz="8" w:color="0000EE"/>
            </w:tcBorders>
            <w:gridSpan w:val="10"/>
          </w:tcPr>
          <w:p>
            <w:pPr>
              <w:spacing w:after="0"/>
              <w:rPr>
                <w:sz w:val="22"/>
                <w:szCs w:val="22"/>
                <w:color w:val="auto"/>
              </w:rPr>
            </w:pPr>
          </w:p>
        </w:tc>
        <w:tc>
          <w:tcPr>
            <w:tcW w:w="2840" w:type="dxa"/>
            <w:vAlign w:val="bottom"/>
            <w:gridSpan w:val="2"/>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398"/>
        </w:trPr>
        <w:tc>
          <w:tcPr>
            <w:tcW w:w="2660" w:type="dxa"/>
            <w:vAlign w:val="bottom"/>
            <w:tcBorders>
              <w:bottom w:val="single" w:sz="8" w:color="0000EE"/>
            </w:tcBorders>
            <w:gridSpan w:val="3"/>
          </w:tcPr>
          <w:p>
            <w:pPr>
              <w:spacing w:after="0"/>
              <w:rPr>
                <w:rFonts w:ascii="Arial" w:cs="Arial" w:eastAsia="Arial" w:hAnsi="Arial"/>
                <w:sz w:val="17"/>
                <w:szCs w:val="17"/>
                <w:b w:val="1"/>
                <w:bCs w:val="1"/>
                <w:color w:val="0000EE"/>
                <w:w w:val="91"/>
              </w:rPr>
            </w:pPr>
            <w:hyperlink w:anchor="page136">
              <w:r>
                <w:rPr>
                  <w:rFonts w:ascii="Arial" w:cs="Arial" w:eastAsia="Arial" w:hAnsi="Arial"/>
                  <w:sz w:val="17"/>
                  <w:szCs w:val="17"/>
                  <w:b w:val="1"/>
                  <w:bCs w:val="1"/>
                  <w:color w:val="0000EE"/>
                  <w:w w:val="91"/>
                </w:rPr>
                <w:t>Supplemental Financial Information</w:t>
              </w:r>
            </w:hyperlink>
          </w:p>
        </w:tc>
        <w:tc>
          <w:tcPr>
            <w:tcW w:w="818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20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136">
              <w:r>
                <w:rPr>
                  <w:rFonts w:ascii="Arial" w:cs="Arial" w:eastAsia="Arial" w:hAnsi="Arial"/>
                  <w:sz w:val="17"/>
                  <w:szCs w:val="17"/>
                  <w:color w:val="0000EE"/>
                  <w:w w:val="89"/>
                </w:rPr>
                <w:t>Quarterly Results</w:t>
              </w:r>
            </w:hyperlink>
          </w:p>
        </w:tc>
        <w:tc>
          <w:tcPr>
            <w:tcW w:w="9640" w:type="dxa"/>
            <w:vAlign w:val="bottom"/>
            <w:gridSpan w:val="14"/>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435"/>
        </w:trPr>
        <w:tc>
          <w:tcPr>
            <w:tcW w:w="10840" w:type="dxa"/>
            <w:vAlign w:val="bottom"/>
            <w:gridSpan w:val="16"/>
          </w:tcPr>
          <w:p>
            <w:pPr>
              <w:spacing w:after="0"/>
              <w:rPr>
                <w:sz w:val="20"/>
                <w:szCs w:val="20"/>
                <w:color w:val="auto"/>
              </w:rPr>
            </w:pPr>
            <w:r>
              <w:rPr>
                <w:rFonts w:ascii="Arial" w:cs="Arial" w:eastAsia="Arial" w:hAnsi="Arial"/>
                <w:sz w:val="17"/>
                <w:szCs w:val="17"/>
                <w:b w:val="1"/>
                <w:bCs w:val="1"/>
                <w:color w:val="auto"/>
              </w:rPr>
              <w:t>Financial Statement Schedule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0840" w:type="dxa"/>
            <w:vAlign w:val="bottom"/>
            <w:gridSpan w:val="16"/>
          </w:tcPr>
          <w:p>
            <w:pPr>
              <w:spacing w:after="0"/>
              <w:rPr>
                <w:sz w:val="20"/>
                <w:szCs w:val="20"/>
                <w:color w:val="auto"/>
              </w:rPr>
            </w:pPr>
            <w:r>
              <w:rPr>
                <w:rFonts w:ascii="Arial" w:cs="Arial" w:eastAsia="Arial" w:hAnsi="Arial"/>
                <w:sz w:val="17"/>
                <w:szCs w:val="17"/>
                <w:color w:val="auto"/>
              </w:rPr>
              <w:t>Schedule I—Condensed Financial Information of Registrant (Parent Company Only)</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554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147">
              <w:r>
                <w:rPr>
                  <w:rFonts w:ascii="Arial" w:cs="Arial" w:eastAsia="Arial" w:hAnsi="Arial"/>
                  <w:sz w:val="17"/>
                  <w:szCs w:val="17"/>
                  <w:color w:val="0000EE"/>
                  <w:w w:val="89"/>
                </w:rPr>
                <w:t>Condensed Statements of Financial Condition as of December 31, 2010 and 2009</w:t>
              </w:r>
            </w:hyperlink>
          </w:p>
        </w:tc>
        <w:tc>
          <w:tcPr>
            <w:tcW w:w="4880" w:type="dxa"/>
            <w:vAlign w:val="bottom"/>
            <w:gridSpan w:val="7"/>
          </w:tcPr>
          <w:p>
            <w:pPr>
              <w:spacing w:after="0"/>
              <w:rPr>
                <w:sz w:val="20"/>
                <w:szCs w:val="20"/>
                <w:color w:val="auto"/>
              </w:rPr>
            </w:pPr>
          </w:p>
        </w:tc>
        <w:tc>
          <w:tcPr>
            <w:tcW w:w="500" w:type="dxa"/>
            <w:vAlign w:val="bottom"/>
            <w:gridSpan w:val="2"/>
          </w:tcPr>
          <w:p>
            <w:pPr>
              <w:ind w:left="240"/>
              <w:spacing w:after="0"/>
              <w:rPr>
                <w:sz w:val="20"/>
                <w:szCs w:val="20"/>
                <w:color w:val="auto"/>
              </w:rPr>
            </w:pPr>
            <w:r>
              <w:rPr>
                <w:rFonts w:ascii="Arial" w:cs="Arial" w:eastAsia="Arial" w:hAnsi="Arial"/>
                <w:sz w:val="17"/>
                <w:szCs w:val="17"/>
                <w:color w:val="auto"/>
                <w:w w:val="93"/>
              </w:rPr>
              <w:t>F-2</w:t>
            </w: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10420" w:type="dxa"/>
            <w:vAlign w:val="bottom"/>
            <w:gridSpan w:val="15"/>
          </w:tcPr>
          <w:p>
            <w:pPr>
              <w:spacing w:after="0"/>
              <w:rPr>
                <w:rFonts w:ascii="Arial" w:cs="Arial" w:eastAsia="Arial" w:hAnsi="Arial"/>
                <w:sz w:val="17"/>
                <w:szCs w:val="17"/>
                <w:color w:val="0000EE"/>
              </w:rPr>
            </w:pPr>
            <w:hyperlink w:anchor="page148">
              <w:r>
                <w:rPr>
                  <w:rFonts w:ascii="Arial" w:cs="Arial" w:eastAsia="Arial" w:hAnsi="Arial"/>
                  <w:sz w:val="17"/>
                  <w:szCs w:val="17"/>
                  <w:color w:val="0000EE"/>
                </w:rPr>
                <w:t>Condensed Statements of Operations for the years ended December 31, 2010, 2009 and 2008</w:t>
              </w:r>
            </w:hyperlink>
          </w:p>
        </w:tc>
        <w:tc>
          <w:tcPr>
            <w:tcW w:w="500" w:type="dxa"/>
            <w:vAlign w:val="bottom"/>
            <w:gridSpan w:val="2"/>
          </w:tcPr>
          <w:p>
            <w:pPr>
              <w:ind w:left="240"/>
              <w:spacing w:after="0"/>
              <w:rPr>
                <w:sz w:val="20"/>
                <w:szCs w:val="20"/>
                <w:color w:val="auto"/>
              </w:rPr>
            </w:pPr>
            <w:r>
              <w:rPr>
                <w:rFonts w:ascii="Arial" w:cs="Arial" w:eastAsia="Arial" w:hAnsi="Arial"/>
                <w:sz w:val="17"/>
                <w:szCs w:val="17"/>
                <w:color w:val="auto"/>
                <w:w w:val="93"/>
              </w:rPr>
              <w:t>F-3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35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20" w:type="dxa"/>
            <w:vAlign w:val="bottom"/>
          </w:tcPr>
          <w:p>
            <w:pPr>
              <w:spacing w:after="0"/>
              <w:rPr>
                <w:sz w:val="22"/>
                <w:szCs w:val="22"/>
                <w:color w:val="auto"/>
              </w:rPr>
            </w:pPr>
          </w:p>
        </w:tc>
        <w:tc>
          <w:tcPr>
            <w:tcW w:w="6380" w:type="dxa"/>
            <w:vAlign w:val="bottom"/>
            <w:tcBorders>
              <w:bottom w:val="single" w:sz="8" w:color="0000EE"/>
            </w:tcBorders>
            <w:gridSpan w:val="12"/>
          </w:tcPr>
          <w:p>
            <w:pPr>
              <w:spacing w:after="0"/>
              <w:rPr>
                <w:rFonts w:ascii="Arial" w:cs="Arial" w:eastAsia="Arial" w:hAnsi="Arial"/>
                <w:sz w:val="17"/>
                <w:szCs w:val="17"/>
                <w:color w:val="0000EE"/>
                <w:w w:val="88"/>
              </w:rPr>
            </w:pPr>
            <w:hyperlink w:anchor="page149">
              <w:r>
                <w:rPr>
                  <w:rFonts w:ascii="Arial" w:cs="Arial" w:eastAsia="Arial" w:hAnsi="Arial"/>
                  <w:sz w:val="17"/>
                  <w:szCs w:val="17"/>
                  <w:color w:val="0000EE"/>
                  <w:w w:val="88"/>
                </w:rPr>
                <w:t>Condensed Statements of Cash Flows for the years ended December 31, 2010, 2009 and 2008</w:t>
              </w:r>
            </w:hyperlink>
          </w:p>
        </w:tc>
        <w:tc>
          <w:tcPr>
            <w:tcW w:w="4040" w:type="dxa"/>
            <w:vAlign w:val="bottom"/>
            <w:gridSpan w:val="3"/>
          </w:tcPr>
          <w:p>
            <w:pPr>
              <w:spacing w:after="0"/>
              <w:rPr>
                <w:sz w:val="22"/>
                <w:szCs w:val="22"/>
                <w:color w:val="auto"/>
              </w:rPr>
            </w:pPr>
          </w:p>
        </w:tc>
        <w:tc>
          <w:tcPr>
            <w:tcW w:w="500" w:type="dxa"/>
            <w:vAlign w:val="bottom"/>
            <w:gridSpan w:val="2"/>
          </w:tcPr>
          <w:p>
            <w:pPr>
              <w:ind w:left="240"/>
              <w:spacing w:after="0"/>
              <w:rPr>
                <w:sz w:val="20"/>
                <w:szCs w:val="20"/>
                <w:color w:val="auto"/>
              </w:rPr>
            </w:pPr>
            <w:r>
              <w:rPr>
                <w:rFonts w:ascii="Arial" w:cs="Arial" w:eastAsia="Arial" w:hAnsi="Arial"/>
                <w:sz w:val="17"/>
                <w:szCs w:val="17"/>
                <w:color w:val="auto"/>
                <w:w w:val="93"/>
              </w:rPr>
              <w:t>F-4</w:t>
            </w: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7860" w:type="dxa"/>
            <w:vAlign w:val="bottom"/>
            <w:tcBorders>
              <w:bottom w:val="single" w:sz="8" w:color="0000EE"/>
            </w:tcBorders>
            <w:gridSpan w:val="14"/>
          </w:tcPr>
          <w:p>
            <w:pPr>
              <w:spacing w:after="0"/>
              <w:rPr>
                <w:rFonts w:ascii="Arial" w:cs="Arial" w:eastAsia="Arial" w:hAnsi="Arial"/>
                <w:sz w:val="17"/>
                <w:szCs w:val="17"/>
                <w:color w:val="0000EE"/>
                <w:w w:val="89"/>
              </w:rPr>
            </w:pPr>
            <w:hyperlink w:anchor="page150">
              <w:r>
                <w:rPr>
                  <w:rFonts w:ascii="Arial" w:cs="Arial" w:eastAsia="Arial" w:hAnsi="Arial"/>
                  <w:sz w:val="17"/>
                  <w:szCs w:val="17"/>
                  <w:color w:val="0000EE"/>
                  <w:w w:val="89"/>
                </w:rPr>
                <w:t>Condensed Statements of Changes in Stockholders’ Equity for the years ended December 31, 2010, 2009 and 2008</w:t>
              </w:r>
            </w:hyperlink>
          </w:p>
        </w:tc>
        <w:tc>
          <w:tcPr>
            <w:tcW w:w="2560" w:type="dxa"/>
            <w:vAlign w:val="bottom"/>
          </w:tcPr>
          <w:p>
            <w:pPr>
              <w:spacing w:after="0"/>
              <w:rPr>
                <w:sz w:val="22"/>
                <w:szCs w:val="22"/>
                <w:color w:val="auto"/>
              </w:rPr>
            </w:pPr>
          </w:p>
        </w:tc>
        <w:tc>
          <w:tcPr>
            <w:tcW w:w="500" w:type="dxa"/>
            <w:vAlign w:val="bottom"/>
            <w:gridSpan w:val="2"/>
          </w:tcPr>
          <w:p>
            <w:pPr>
              <w:ind w:left="240"/>
              <w:spacing w:after="0"/>
              <w:rPr>
                <w:sz w:val="20"/>
                <w:szCs w:val="20"/>
                <w:color w:val="auto"/>
              </w:rPr>
            </w:pPr>
            <w:r>
              <w:rPr>
                <w:rFonts w:ascii="Arial" w:cs="Arial" w:eastAsia="Arial" w:hAnsi="Arial"/>
                <w:sz w:val="17"/>
                <w:szCs w:val="17"/>
                <w:color w:val="auto"/>
                <w:w w:val="93"/>
              </w:rPr>
              <w:t>F-5</w:t>
            </w: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10420" w:type="dxa"/>
            <w:vAlign w:val="bottom"/>
            <w:gridSpan w:val="15"/>
          </w:tcPr>
          <w:p>
            <w:pPr>
              <w:spacing w:after="0"/>
              <w:rPr>
                <w:rFonts w:ascii="Arial" w:cs="Arial" w:eastAsia="Arial" w:hAnsi="Arial"/>
                <w:sz w:val="17"/>
                <w:szCs w:val="17"/>
                <w:color w:val="0000EE"/>
              </w:rPr>
            </w:pPr>
            <w:hyperlink w:anchor="page153">
              <w:r>
                <w:rPr>
                  <w:rFonts w:ascii="Arial" w:cs="Arial" w:eastAsia="Arial" w:hAnsi="Arial"/>
                  <w:sz w:val="17"/>
                  <w:szCs w:val="17"/>
                  <w:color w:val="0000EE"/>
                </w:rPr>
                <w:t>Notes to Condensed Financial Statements</w:t>
              </w:r>
            </w:hyperlink>
          </w:p>
        </w:tc>
        <w:tc>
          <w:tcPr>
            <w:tcW w:w="500" w:type="dxa"/>
            <w:vAlign w:val="bottom"/>
            <w:gridSpan w:val="2"/>
          </w:tcPr>
          <w:p>
            <w:pPr>
              <w:ind w:left="240"/>
              <w:spacing w:after="0"/>
              <w:rPr>
                <w:sz w:val="20"/>
                <w:szCs w:val="20"/>
                <w:color w:val="auto"/>
              </w:rPr>
            </w:pPr>
            <w:r>
              <w:rPr>
                <w:rFonts w:ascii="Arial" w:cs="Arial" w:eastAsia="Arial" w:hAnsi="Arial"/>
                <w:sz w:val="17"/>
                <w:szCs w:val="17"/>
                <w:color w:val="auto"/>
                <w:w w:val="93"/>
              </w:rPr>
              <w:t>F-8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right="60" w:firstLine="457"/>
        <w:spacing w:after="0" w:line="280"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consolidated financial statements or notes thereto.</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320"/>
          </w:cols>
          <w:pgMar w:left="240" w:top="448" w:right="33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(parent company only)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FINANCIAL CONDITION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2010 AND 2009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7"/>
              <w:spacing w:after="0" w:line="137" w:lineRule="exact"/>
              <w:rPr>
                <w:sz w:val="20"/>
                <w:szCs w:val="20"/>
                <w:color w:val="auto"/>
              </w:rPr>
            </w:pPr>
            <w:r>
              <w:rPr>
                <w:rFonts w:ascii="Arial" w:cs="Arial" w:eastAsia="Arial" w:hAnsi="Arial"/>
                <w:sz w:val="13"/>
                <w:szCs w:val="13"/>
                <w:b w:val="1"/>
                <w:bCs w:val="1"/>
                <w:color w:val="auto"/>
              </w:rPr>
              <w:t>2010</w:t>
            </w: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6"/>
              <w:spacing w:after="0" w:line="137"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00" w:type="dxa"/>
            <w:vAlign w:val="bottom"/>
          </w:tcPr>
          <w:p>
            <w:pPr>
              <w:ind w:left="420"/>
              <w:spacing w:after="0"/>
              <w:rPr>
                <w:sz w:val="20"/>
                <w:szCs w:val="20"/>
                <w:color w:val="auto"/>
              </w:rPr>
            </w:pPr>
            <w:r>
              <w:rPr>
                <w:rFonts w:ascii="Arial" w:cs="Arial" w:eastAsia="Arial" w:hAnsi="Arial"/>
                <w:sz w:val="17"/>
                <w:szCs w:val="17"/>
                <w:color w:val="auto"/>
              </w:rPr>
              <w:t>Cash and cash equivalents</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210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1,686</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Investments in subsidiaries, equity method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89"/>
              </w:rPr>
              <w:t>(1,835,651)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(1,691,559)</w:t>
            </w:r>
          </w:p>
        </w:tc>
        <w:tc>
          <w:tcPr>
            <w:tcW w:w="0" w:type="dxa"/>
            <w:vAlign w:val="bottom"/>
          </w:tcPr>
          <w:p>
            <w:pPr>
              <w:spacing w:after="0"/>
              <w:rPr>
                <w:sz w:val="1"/>
                <w:szCs w:val="1"/>
                <w:color w:val="auto"/>
              </w:rPr>
            </w:pPr>
          </w:p>
        </w:tc>
      </w:tr>
      <w:tr>
        <w:trPr>
          <w:trHeight w:val="215"/>
        </w:trPr>
        <w:tc>
          <w:tcPr>
            <w:tcW w:w="8700" w:type="dxa"/>
            <w:vAlign w:val="bottom"/>
          </w:tcPr>
          <w:p>
            <w:pPr>
              <w:ind w:left="420"/>
              <w:spacing w:after="0"/>
              <w:rPr>
                <w:sz w:val="20"/>
                <w:szCs w:val="20"/>
                <w:color w:val="auto"/>
              </w:rPr>
            </w:pPr>
            <w:r>
              <w:rPr>
                <w:rFonts w:ascii="Arial" w:cs="Arial" w:eastAsia="Arial" w:hAnsi="Arial"/>
                <w:sz w:val="17"/>
                <w:szCs w:val="17"/>
                <w:color w:val="auto"/>
              </w:rPr>
              <w:t>Due from subsidiaries</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2,488,286</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2,045,899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652,845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356,026</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8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7"/>
                <w:szCs w:val="17"/>
                <w:color w:val="auto"/>
              </w:rPr>
              <w:t>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Due to subsidiaries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15"/>
        </w:trPr>
        <w:tc>
          <w:tcPr>
            <w:tcW w:w="8700" w:type="dxa"/>
            <w:vAlign w:val="bottom"/>
          </w:tcPr>
          <w:p>
            <w:pPr>
              <w:ind w:left="420"/>
              <w:spacing w:after="0"/>
              <w:rPr>
                <w:sz w:val="20"/>
                <w:szCs w:val="20"/>
                <w:color w:val="auto"/>
              </w:rPr>
            </w:pPr>
            <w:r>
              <w:rPr>
                <w:rFonts w:ascii="Arial" w:cs="Arial" w:eastAsia="Arial" w:hAnsi="Arial"/>
                <w:sz w:val="17"/>
                <w:szCs w:val="17"/>
                <w:color w:val="auto"/>
              </w:rPr>
              <w:t>Other liabilities</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635</w:t>
            </w:r>
          </w:p>
        </w:tc>
        <w:tc>
          <w:tcPr>
            <w:tcW w:w="0" w:type="dxa"/>
            <w:vAlign w:val="bottom"/>
          </w:tcPr>
          <w:p>
            <w:pPr>
              <w:spacing w:after="0"/>
              <w:rPr>
                <w:sz w:val="1"/>
                <w:szCs w:val="1"/>
                <w:color w:val="auto"/>
              </w:rPr>
            </w:pPr>
          </w:p>
        </w:tc>
      </w:tr>
      <w:tr>
        <w:trPr>
          <w:trHeight w:val="376"/>
        </w:trPr>
        <w:tc>
          <w:tcPr>
            <w:tcW w:w="870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70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Preferred stock, par value $.01 per share; 15,000,000 shares authorized: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tcPr>
          <w:p>
            <w:pPr>
              <w:ind w:left="840"/>
              <w:spacing w:after="0"/>
              <w:rPr>
                <w:sz w:val="20"/>
                <w:szCs w:val="20"/>
                <w:color w:val="auto"/>
              </w:rPr>
            </w:pPr>
            <w:r>
              <w:rPr>
                <w:rFonts w:ascii="Arial" w:cs="Arial" w:eastAsia="Arial" w:hAnsi="Arial"/>
                <w:sz w:val="17"/>
                <w:szCs w:val="17"/>
                <w:color w:val="auto"/>
                <w:w w:val="97"/>
              </w:rPr>
              <w:t>Series A—22,021 and 26,883 shares issued and outstanding at December 31, 2010 and 2009, respectively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Series B—no shares issued and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700" w:type="dxa"/>
            <w:vAlign w:val="bottom"/>
          </w:tcPr>
          <w:p>
            <w:pPr>
              <w:ind w:left="420"/>
              <w:spacing w:after="0"/>
              <w:rPr>
                <w:sz w:val="20"/>
                <w:szCs w:val="20"/>
                <w:color w:val="auto"/>
              </w:rPr>
            </w:pPr>
            <w:r>
              <w:rPr>
                <w:rFonts w:ascii="Arial" w:cs="Arial" w:eastAsia="Arial" w:hAnsi="Arial"/>
                <w:sz w:val="17"/>
                <w:szCs w:val="17"/>
                <w:color w:val="auto"/>
              </w:rPr>
              <w:t>Common stock:</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70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1"/>
              </w:rPr>
              <w:t>Class A, par value $.01 per share (500,000,000 shares authorized; 119,697,936 and 92,165,912 shares issued at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7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December 31, 2010 and 2009, respectively, including shares held by a subsidiary as indicated below)</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922</w:t>
            </w:r>
          </w:p>
        </w:tc>
        <w:tc>
          <w:tcPr>
            <w:tcW w:w="0" w:type="dxa"/>
            <w:vAlign w:val="bottom"/>
          </w:tcPr>
          <w:p>
            <w:pPr>
              <w:spacing w:after="0"/>
              <w:rPr>
                <w:sz w:val="1"/>
                <w:szCs w:val="1"/>
                <w:color w:val="auto"/>
              </w:rPr>
            </w:pPr>
          </w:p>
        </w:tc>
      </w:tr>
      <w:tr>
        <w:trPr>
          <w:trHeight w:val="209"/>
        </w:trPr>
        <w:tc>
          <w:tcPr>
            <w:tcW w:w="8700" w:type="dxa"/>
            <w:vAlign w:val="bottom"/>
          </w:tcPr>
          <w:p>
            <w:pPr>
              <w:ind w:left="840"/>
              <w:spacing w:after="0"/>
              <w:rPr>
                <w:sz w:val="20"/>
                <w:szCs w:val="20"/>
                <w:color w:val="auto"/>
              </w:rPr>
            </w:pPr>
            <w:r>
              <w:rPr>
                <w:rFonts w:ascii="Arial" w:cs="Arial" w:eastAsia="Arial" w:hAnsi="Arial"/>
                <w:sz w:val="17"/>
                <w:szCs w:val="17"/>
                <w:color w:val="auto"/>
                <w:w w:val="93"/>
              </w:rPr>
              <w:t>Class B, par value $.01 per share (1 share authorized, issued and outstanding at December 31, 2010 and 2009)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Additional paid-in-capital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758,841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549,931</w:t>
            </w:r>
          </w:p>
        </w:tc>
        <w:tc>
          <w:tcPr>
            <w:tcW w:w="0" w:type="dxa"/>
            <w:vAlign w:val="bottom"/>
          </w:tcPr>
          <w:p>
            <w:pPr>
              <w:spacing w:after="0"/>
              <w:rPr>
                <w:sz w:val="1"/>
                <w:szCs w:val="1"/>
                <w:color w:val="auto"/>
              </w:rPr>
            </w:pPr>
          </w:p>
        </w:tc>
      </w:tr>
      <w:tr>
        <w:trPr>
          <w:trHeight w:val="209"/>
        </w:trPr>
        <w:tc>
          <w:tcPr>
            <w:tcW w:w="8700" w:type="dxa"/>
            <w:vAlign w:val="bottom"/>
          </w:tcPr>
          <w:p>
            <w:pPr>
              <w:ind w:left="420"/>
              <w:spacing w:after="0"/>
              <w:rPr>
                <w:sz w:val="20"/>
                <w:szCs w:val="20"/>
                <w:color w:val="auto"/>
              </w:rPr>
            </w:pPr>
            <w:r>
              <w:rPr>
                <w:rFonts w:ascii="Arial" w:cs="Arial" w:eastAsia="Arial" w:hAnsi="Arial"/>
                <w:sz w:val="17"/>
                <w:szCs w:val="17"/>
                <w:color w:val="auto"/>
              </w:rPr>
              <w:t>Retained earnings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166,468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52,726</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Accumulated other comprehensive income (loss), net of tax</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(46,158)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(57,048)</w:t>
            </w:r>
          </w:p>
        </w:tc>
        <w:tc>
          <w:tcPr>
            <w:tcW w:w="0" w:type="dxa"/>
            <w:vAlign w:val="bottom"/>
          </w:tcPr>
          <w:p>
            <w:pPr>
              <w:spacing w:after="0"/>
              <w:rPr>
                <w:sz w:val="1"/>
                <w:szCs w:val="1"/>
                <w:color w:val="auto"/>
              </w:rPr>
            </w:pPr>
          </w:p>
        </w:tc>
      </w:tr>
      <w:tr>
        <w:trPr>
          <w:trHeight w:val="214"/>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880,348</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546,531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Class A common stock held by a subsidiary, at cost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(6,847,508 and 5,850,775 shares at December 31, 2010 and 2009, respectively)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(227,950)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(191,140)</w:t>
            </w:r>
          </w:p>
        </w:tc>
        <w:tc>
          <w:tcPr>
            <w:tcW w:w="0" w:type="dxa"/>
            <w:vAlign w:val="bottom"/>
          </w:tcPr>
          <w:p>
            <w:pPr>
              <w:spacing w:after="0"/>
              <w:rPr>
                <w:sz w:val="1"/>
                <w:szCs w:val="1"/>
                <w:color w:val="auto"/>
              </w:rPr>
            </w:pPr>
          </w:p>
        </w:tc>
      </w:tr>
      <w:tr>
        <w:trPr>
          <w:trHeight w:val="221"/>
        </w:trPr>
        <w:tc>
          <w:tcPr>
            <w:tcW w:w="8700" w:type="dxa"/>
            <w:vAlign w:val="bottom"/>
          </w:tcPr>
          <w:p>
            <w:pPr>
              <w:ind w:left="840"/>
              <w:spacing w:after="0"/>
              <w:rPr>
                <w:sz w:val="20"/>
                <w:szCs w:val="20"/>
                <w:color w:val="auto"/>
              </w:rPr>
            </w:pPr>
            <w:r>
              <w:rPr>
                <w:rFonts w:ascii="Arial" w:cs="Arial" w:eastAsia="Arial" w:hAnsi="Arial"/>
                <w:sz w:val="17"/>
                <w:szCs w:val="17"/>
                <w:color w:val="auto"/>
              </w:rPr>
              <w:t>Total stockholders’ equity</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652,398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355,391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liabilities and stockholders’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652,845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356,026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20"/>
          </w:cols>
          <w:pgMar w:left="240" w:top="448" w:right="23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(parent company only)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2010, 2009 AND 2008</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w w:val="92"/>
              </w:rPr>
              <w:t>Year Ended December 31,</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ind w:right="118"/>
              <w:spacing w:after="0" w:line="137" w:lineRule="exact"/>
              <w:rPr>
                <w:sz w:val="20"/>
                <w:szCs w:val="20"/>
                <w:color w:val="auto"/>
              </w:rPr>
            </w:pPr>
            <w:r>
              <w:rPr>
                <w:rFonts w:ascii="Arial" w:cs="Arial" w:eastAsia="Arial" w:hAnsi="Arial"/>
                <w:sz w:val="13"/>
                <w:szCs w:val="13"/>
                <w:b w:val="1"/>
                <w:bCs w:val="1"/>
                <w:color w:val="auto"/>
              </w:rPr>
              <w:t>2010</w:t>
            </w:r>
          </w:p>
        </w:tc>
        <w:tc>
          <w:tcPr>
            <w:tcW w:w="1140" w:type="dxa"/>
            <w:vAlign w:val="bottom"/>
            <w:gridSpan w:val="2"/>
          </w:tcPr>
          <w:p>
            <w:pPr>
              <w:jc w:val="right"/>
              <w:ind w:right="135"/>
              <w:spacing w:after="0" w:line="137" w:lineRule="exact"/>
              <w:rPr>
                <w:sz w:val="20"/>
                <w:szCs w:val="20"/>
                <w:color w:val="auto"/>
              </w:rPr>
            </w:pPr>
            <w:r>
              <w:rPr>
                <w:rFonts w:ascii="Arial" w:cs="Arial" w:eastAsia="Arial" w:hAnsi="Arial"/>
                <w:sz w:val="13"/>
                <w:szCs w:val="13"/>
                <w:b w:val="1"/>
                <w:bCs w:val="1"/>
                <w:color w:val="auto"/>
              </w:rPr>
              <w:t>2009</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97"/>
              <w:spacing w:after="0" w:line="137" w:lineRule="exact"/>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40" w:type="dxa"/>
            <w:vAlign w:val="bottom"/>
          </w:tcPr>
          <w:p>
            <w:pPr>
              <w:ind w:left="420"/>
              <w:spacing w:after="0"/>
              <w:rPr>
                <w:sz w:val="20"/>
                <w:szCs w:val="20"/>
                <w:color w:val="auto"/>
              </w:rPr>
            </w:pPr>
            <w:r>
              <w:rPr>
                <w:rFonts w:ascii="Arial" w:cs="Arial" w:eastAsia="Arial" w:hAnsi="Arial"/>
                <w:sz w:val="17"/>
                <w:szCs w:val="17"/>
                <w:color w:val="auto"/>
              </w:rPr>
              <w:t>Equity in earnings (losses) of subsidiaries</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w w:val="90"/>
              </w:rPr>
              <w:t>$109,576</w:t>
            </w:r>
          </w:p>
        </w:tc>
        <w:tc>
          <w:tcPr>
            <w:tcW w:w="1580" w:type="dxa"/>
            <w:vAlign w:val="bottom"/>
            <w:gridSpan w:val="3"/>
          </w:tcPr>
          <w:p>
            <w:pPr>
              <w:jc w:val="right"/>
              <w:ind w:right="380"/>
              <w:spacing w:after="0"/>
              <w:rPr>
                <w:sz w:val="20"/>
                <w:szCs w:val="20"/>
                <w:color w:val="auto"/>
              </w:rPr>
            </w:pPr>
            <w:r>
              <w:rPr>
                <w:rFonts w:ascii="Arial" w:cs="Arial" w:eastAsia="Arial" w:hAnsi="Arial"/>
                <w:sz w:val="17"/>
                <w:szCs w:val="17"/>
                <w:color w:val="auto"/>
              </w:rPr>
              <w:t>$(193,493)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(50,044)</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66,722</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64,884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54,714</w:t>
            </w:r>
          </w:p>
        </w:tc>
        <w:tc>
          <w:tcPr>
            <w:tcW w:w="0" w:type="dxa"/>
            <w:vAlign w:val="bottom"/>
          </w:tcPr>
          <w:p>
            <w:pPr>
              <w:spacing w:after="0"/>
              <w:rPr>
                <w:sz w:val="1"/>
                <w:szCs w:val="1"/>
                <w:color w:val="auto"/>
              </w:rPr>
            </w:pPr>
          </w:p>
        </w:tc>
      </w:tr>
      <w:tr>
        <w:trPr>
          <w:trHeight w:val="209"/>
        </w:trPr>
        <w:tc>
          <w:tcPr>
            <w:tcW w:w="8440" w:type="dxa"/>
            <w:vAlign w:val="bottom"/>
          </w:tcPr>
          <w:p>
            <w:pPr>
              <w:ind w:left="4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revenue</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176,298</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(128,607)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4,672</w:t>
            </w:r>
          </w:p>
        </w:tc>
        <w:tc>
          <w:tcPr>
            <w:tcW w:w="0" w:type="dxa"/>
            <w:vAlign w:val="bottom"/>
          </w:tcPr>
          <w:p>
            <w:pPr>
              <w:spacing w:after="0"/>
              <w:rPr>
                <w:sz w:val="1"/>
                <w:szCs w:val="1"/>
                <w:color w:val="auto"/>
              </w:rPr>
            </w:pPr>
          </w:p>
        </w:tc>
      </w:tr>
      <w:tr>
        <w:trPr>
          <w:trHeight w:val="209"/>
        </w:trPr>
        <w:tc>
          <w:tcPr>
            <w:tcW w:w="844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Net revenue</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176,298</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(128,607)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4,625</w:t>
            </w:r>
          </w:p>
        </w:tc>
        <w:tc>
          <w:tcPr>
            <w:tcW w:w="0" w:type="dxa"/>
            <w:vAlign w:val="bottom"/>
          </w:tcPr>
          <w:p>
            <w:pPr>
              <w:spacing w:after="0"/>
              <w:rPr>
                <w:sz w:val="1"/>
                <w:szCs w:val="1"/>
                <w:color w:val="auto"/>
              </w:rPr>
            </w:pPr>
          </w:p>
        </w:tc>
      </w:tr>
      <w:tr>
        <w:trPr>
          <w:trHeight w:val="214"/>
        </w:trPr>
        <w:tc>
          <w:tcPr>
            <w:tcW w:w="844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Professional services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1,504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1,345</w:t>
            </w:r>
          </w:p>
        </w:tc>
        <w:tc>
          <w:tcPr>
            <w:tcW w:w="0" w:type="dxa"/>
            <w:vAlign w:val="bottom"/>
          </w:tcPr>
          <w:p>
            <w:pPr>
              <w:spacing w:after="0"/>
              <w:rPr>
                <w:sz w:val="1"/>
                <w:szCs w:val="1"/>
                <w:color w:val="auto"/>
              </w:rPr>
            </w:pPr>
          </w:p>
        </w:tc>
      </w:tr>
      <w:tr>
        <w:trPr>
          <w:trHeight w:val="209"/>
        </w:trPr>
        <w:tc>
          <w:tcPr>
            <w:tcW w:w="8440" w:type="dxa"/>
            <w:vAlign w:val="bottom"/>
          </w:tcPr>
          <w:p>
            <w:pPr>
              <w:ind w:left="4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102</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operating expenses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1,487</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7"/>
                <w:szCs w:val="17"/>
                <w:b w:val="1"/>
                <w:bCs w:val="1"/>
                <w:color w:val="auto"/>
              </w:rPr>
              <w:t>NET INCOME (LOSS)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40" w:type="dxa"/>
            <w:vAlign w:val="bottom"/>
            <w:vMerge w:val="continue"/>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174,979</w:t>
            </w:r>
          </w:p>
        </w:tc>
        <w:tc>
          <w:tcPr>
            <w:tcW w:w="1580" w:type="dxa"/>
            <w:vAlign w:val="bottom"/>
            <w:gridSpan w:val="3"/>
          </w:tcPr>
          <w:p>
            <w:pPr>
              <w:jc w:val="right"/>
              <w:ind w:right="3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(130,242)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3,138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48" w:right="23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(parent company only)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CASH FLOWS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2010, 2009 AND 2008</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8"/>
              <w:spacing w:after="0" w:line="137" w:lineRule="exact"/>
              <w:rPr>
                <w:sz w:val="20"/>
                <w:szCs w:val="20"/>
                <w:color w:val="auto"/>
              </w:rPr>
            </w:pPr>
            <w:r>
              <w:rPr>
                <w:rFonts w:ascii="Arial" w:cs="Arial" w:eastAsia="Arial" w:hAnsi="Arial"/>
                <w:sz w:val="13"/>
                <w:szCs w:val="13"/>
                <w:b w:val="1"/>
                <w:bCs w:val="1"/>
                <w:color w:val="auto"/>
              </w:rPr>
              <w:t>2010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7"/>
              <w:spacing w:after="0" w:line="137" w:lineRule="exact"/>
              <w:rPr>
                <w:sz w:val="20"/>
                <w:szCs w:val="20"/>
                <w:color w:val="auto"/>
              </w:rPr>
            </w:pPr>
            <w:r>
              <w:rPr>
                <w:rFonts w:ascii="Arial" w:cs="Arial" w:eastAsia="Arial" w:hAnsi="Arial"/>
                <w:sz w:val="13"/>
                <w:szCs w:val="13"/>
                <w:b w:val="1"/>
                <w:bCs w:val="1"/>
                <w:color w:val="auto"/>
              </w:rPr>
              <w:t>2009</w:t>
            </w: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7"/>
              <w:spacing w:after="0" w:line="137"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174,979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w w:val="87"/>
              </w:rPr>
              <w:t>(130,242)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3,138</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840"/>
              <w:spacing w:after="0"/>
              <w:rPr>
                <w:sz w:val="20"/>
                <w:szCs w:val="20"/>
                <w:color w:val="auto"/>
              </w:rPr>
            </w:pPr>
            <w:r>
              <w:rPr>
                <w:rFonts w:ascii="Arial" w:cs="Arial" w:eastAsia="Arial" w:hAnsi="Arial"/>
                <w:sz w:val="17"/>
                <w:szCs w:val="17"/>
                <w:color w:val="auto"/>
              </w:rPr>
              <w:t>Noncash items included in net income (loss):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Equity in (earnings) losses of subsidiaries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(109,576)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193,493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50,044</w:t>
            </w:r>
          </w:p>
        </w:tc>
        <w:tc>
          <w:tcPr>
            <w:tcW w:w="0" w:type="dxa"/>
            <w:vAlign w:val="bottom"/>
          </w:tcPr>
          <w:p>
            <w:pPr>
              <w:spacing w:after="0"/>
              <w:rPr>
                <w:sz w:val="1"/>
                <w:szCs w:val="1"/>
                <w:color w:val="auto"/>
              </w:rPr>
            </w:pPr>
          </w:p>
        </w:tc>
      </w:tr>
      <w:tr>
        <w:trPr>
          <w:trHeight w:val="209"/>
        </w:trPr>
        <w:tc>
          <w:tcPr>
            <w:tcW w:w="8680" w:type="dxa"/>
            <w:vAlign w:val="bottom"/>
          </w:tcPr>
          <w:p>
            <w:pPr>
              <w:ind w:left="1260"/>
              <w:spacing w:after="0"/>
              <w:rPr>
                <w:sz w:val="20"/>
                <w:szCs w:val="20"/>
                <w:color w:val="auto"/>
              </w:rPr>
            </w:pPr>
            <w:r>
              <w:rPr>
                <w:rFonts w:ascii="Arial" w:cs="Arial" w:eastAsia="Arial" w:hAnsi="Arial"/>
                <w:sz w:val="17"/>
                <w:szCs w:val="17"/>
                <w:color w:val="auto"/>
              </w:rPr>
              <w:t>Amortization of share-based incentive compensation</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Changes in due to/from subsidiaries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(16,215)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(31,354)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(29,637)</w:t>
            </w:r>
          </w:p>
        </w:tc>
        <w:tc>
          <w:tcPr>
            <w:tcW w:w="0" w:type="dxa"/>
            <w:vAlign w:val="bottom"/>
          </w:tcPr>
          <w:p>
            <w:pPr>
              <w:spacing w:after="0"/>
              <w:rPr>
                <w:sz w:val="1"/>
                <w:szCs w:val="1"/>
                <w:color w:val="auto"/>
              </w:rPr>
            </w:pPr>
          </w:p>
        </w:tc>
      </w:tr>
      <w:tr>
        <w:trPr>
          <w:trHeight w:val="209"/>
        </w:trPr>
        <w:tc>
          <w:tcPr>
            <w:tcW w:w="8680" w:type="dxa"/>
            <w:vAlign w:val="bottom"/>
          </w:tcPr>
          <w:p>
            <w:pPr>
              <w:ind w:left="840"/>
              <w:spacing w:after="0"/>
              <w:rPr>
                <w:sz w:val="20"/>
                <w:szCs w:val="20"/>
                <w:color w:val="auto"/>
              </w:rPr>
            </w:pPr>
            <w:r>
              <w:rPr>
                <w:rFonts w:ascii="Arial" w:cs="Arial" w:eastAsia="Arial" w:hAnsi="Arial"/>
                <w:sz w:val="17"/>
                <w:szCs w:val="17"/>
                <w:color w:val="auto"/>
              </w:rPr>
              <w:t>Changes in other operating assets and liabilities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6"/>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24,746</w:t>
            </w:r>
          </w:p>
        </w:tc>
        <w:tc>
          <w:tcPr>
            <w:tcW w:w="0" w:type="dxa"/>
            <w:vAlign w:val="bottom"/>
          </w:tcPr>
          <w:p>
            <w:pPr>
              <w:spacing w:after="0"/>
              <w:rPr>
                <w:sz w:val="1"/>
                <w:szCs w:val="1"/>
                <w:color w:val="auto"/>
              </w:rPr>
            </w:pPr>
          </w:p>
        </w:tc>
      </w:tr>
      <w:tr>
        <w:trPr>
          <w:trHeight w:val="214"/>
        </w:trPr>
        <w:tc>
          <w:tcPr>
            <w:tcW w:w="86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Class A common stock dividends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(50,581)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(33,451)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(23,056)</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Arial" w:cs="Arial" w:eastAsia="Arial" w:hAnsi="Arial"/>
                <w:sz w:val="17"/>
                <w:szCs w:val="17"/>
                <w:color w:val="auto"/>
              </w:rPr>
              <w:t>Other financing activities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6"/>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(50,581)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(33,502)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(23,068)</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7"/>
                <w:szCs w:val="17"/>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(1,476)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(115)</w:t>
            </w: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1,678</w:t>
            </w:r>
          </w:p>
        </w:tc>
        <w:tc>
          <w:tcPr>
            <w:tcW w:w="0" w:type="dxa"/>
            <w:vAlign w:val="bottom"/>
          </w:tcPr>
          <w:p>
            <w:pPr>
              <w:spacing w:after="0"/>
              <w:rPr>
                <w:sz w:val="1"/>
                <w:szCs w:val="1"/>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January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7"/>
                <w:szCs w:val="17"/>
                <w:color w:val="auto"/>
              </w:rPr>
              <w:t>Cash and cash equivalents, December 31</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6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210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1,686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1,801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7"/>
                <w:szCs w:val="17"/>
                <w:b w:val="1"/>
                <w:bCs w:val="1"/>
                <w:color w:val="auto"/>
              </w:rPr>
              <w:t>Supplemental investing non-cash transaction: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Class A common stock issued/issuable in connection with business acquisitions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41,174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9,282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48"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(parent company only)</w:t>
      </w:r>
    </w:p>
    <w:p>
      <w:pPr>
        <w:spacing w:after="0" w:line="68" w:lineRule="exact"/>
        <w:rPr>
          <w:sz w:val="20"/>
          <w:szCs w:val="20"/>
          <w:color w:val="auto"/>
        </w:rPr>
      </w:pPr>
    </w:p>
    <w:p>
      <w:pPr>
        <w:jc w:val="center"/>
        <w:spacing w:after="0" w:line="270" w:lineRule="auto"/>
        <w:rPr>
          <w:sz w:val="20"/>
          <w:szCs w:val="20"/>
          <w:color w:val="auto"/>
        </w:rPr>
      </w:pPr>
      <w:r>
        <w:rPr>
          <w:rFonts w:ascii="Arial" w:cs="Arial" w:eastAsia="Arial" w:hAnsi="Arial"/>
          <w:sz w:val="17"/>
          <w:szCs w:val="17"/>
          <w:b w:val="1"/>
          <w:bCs w:val="1"/>
          <w:color w:val="auto"/>
        </w:rPr>
        <w:t>CONDENSED STATEMENTS OF CHANGES IN STOCKHOLDERS’ EQUITY FOR THE YEARS ENDED DECEMBER 31, 2010, 2009 AND 2008 (dollars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0"/>
              </w:rPr>
              <w:t>Accumulated</w:t>
            </w:r>
          </w:p>
        </w:tc>
        <w:tc>
          <w:tcPr>
            <w:tcW w:w="60" w:type="dxa"/>
            <w:vAlign w:val="bottom"/>
            <w:shd w:val="clear" w:color="auto" w:fill="CCEEFF"/>
          </w:tcPr>
          <w:p>
            <w:pPr>
              <w:spacing w:after="0"/>
              <w:rPr>
                <w:sz w:val="13"/>
                <w:szCs w:val="13"/>
                <w:color w:val="auto"/>
              </w:rPr>
            </w:pPr>
          </w:p>
        </w:tc>
        <w:tc>
          <w:tcPr>
            <w:tcW w:w="1320" w:type="dxa"/>
            <w:vAlign w:val="bottom"/>
            <w:gridSpan w:val="5"/>
            <w:shd w:val="clear" w:color="auto" w:fill="CCEEFF"/>
          </w:tcPr>
          <w:p>
            <w:pPr>
              <w:jc w:val="center"/>
              <w:ind w:right="20"/>
              <w:spacing w:after="0"/>
              <w:rPr>
                <w:sz w:val="20"/>
                <w:szCs w:val="20"/>
                <w:color w:val="auto"/>
              </w:rPr>
            </w:pPr>
            <w:r>
              <w:rPr>
                <w:rFonts w:ascii="Arial" w:cs="Arial" w:eastAsia="Arial" w:hAnsi="Arial"/>
                <w:sz w:val="13"/>
                <w:szCs w:val="13"/>
                <w:b w:val="1"/>
                <w:bCs w:val="1"/>
                <w:color w:val="auto"/>
                <w:w w:val="87"/>
              </w:rPr>
              <w:t>Class A</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gridSpan w:val="6"/>
            <w:shd w:val="clear" w:color="auto" w:fill="CCEEFF"/>
          </w:tcPr>
          <w:p>
            <w:pPr>
              <w:jc w:val="right"/>
              <w:ind w:right="140"/>
              <w:spacing w:after="0" w:line="124" w:lineRule="exact"/>
              <w:rPr>
                <w:sz w:val="20"/>
                <w:szCs w:val="20"/>
                <w:color w:val="auto"/>
              </w:rPr>
            </w:pPr>
            <w:r>
              <w:rPr>
                <w:rFonts w:ascii="Arial" w:cs="Arial" w:eastAsia="Arial" w:hAnsi="Arial"/>
                <w:sz w:val="13"/>
                <w:szCs w:val="13"/>
                <w:b w:val="1"/>
                <w:bCs w:val="1"/>
                <w:color w:val="auto"/>
                <w:w w:val="92"/>
              </w:rPr>
              <w:t>Preferred Stock</w:t>
            </w:r>
          </w:p>
        </w:tc>
        <w:tc>
          <w:tcPr>
            <w:tcW w:w="2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center"/>
              <w:ind w:right="80"/>
              <w:spacing w:after="0" w:line="124"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gridSpan w:val="5"/>
            <w:shd w:val="clear" w:color="auto" w:fill="CCEEFF"/>
          </w:tcPr>
          <w:p>
            <w:pPr>
              <w:jc w:val="center"/>
              <w:ind w:right="20"/>
              <w:spacing w:after="0" w:line="124" w:lineRule="exact"/>
              <w:rPr>
                <w:sz w:val="20"/>
                <w:szCs w:val="20"/>
                <w:color w:val="auto"/>
              </w:rPr>
            </w:pPr>
            <w:r>
              <w:rPr>
                <w:rFonts w:ascii="Arial" w:cs="Arial" w:eastAsia="Arial" w:hAnsi="Arial"/>
                <w:sz w:val="13"/>
                <w:szCs w:val="13"/>
                <w:b w:val="1"/>
                <w:bCs w:val="1"/>
                <w:color w:val="auto"/>
                <w:w w:val="90"/>
              </w:rPr>
              <w:t>Common Stock</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center"/>
              <w:ind w:right="80"/>
              <w:spacing w:after="0" w:line="12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center"/>
              <w:ind w:right="80"/>
              <w:spacing w:after="0" w:line="124" w:lineRule="exact"/>
              <w:rPr>
                <w:sz w:val="20"/>
                <w:szCs w:val="20"/>
                <w:color w:val="auto"/>
              </w:rPr>
            </w:pPr>
            <w:r>
              <w:rPr>
                <w:rFonts w:ascii="Arial" w:cs="Arial" w:eastAsia="Arial" w:hAnsi="Arial"/>
                <w:sz w:val="13"/>
                <w:szCs w:val="13"/>
                <w:b w:val="1"/>
                <w:bCs w:val="1"/>
                <w:color w:val="auto"/>
                <w:w w:val="94"/>
              </w:rPr>
              <w:t>Additional</w:t>
            </w:r>
          </w:p>
        </w:tc>
        <w:tc>
          <w:tcPr>
            <w:tcW w:w="6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80"/>
              <w:spacing w:after="0" w:line="124" w:lineRule="exact"/>
              <w:rPr>
                <w:sz w:val="20"/>
                <w:szCs w:val="20"/>
                <w:color w:val="auto"/>
              </w:rPr>
            </w:pPr>
            <w:r>
              <w:rPr>
                <w:rFonts w:ascii="Arial" w:cs="Arial" w:eastAsia="Arial" w:hAnsi="Arial"/>
                <w:sz w:val="13"/>
                <w:szCs w:val="13"/>
                <w:b w:val="1"/>
                <w:bCs w:val="1"/>
                <w:color w:val="auto"/>
                <w:w w:val="88"/>
              </w:rPr>
              <w:t>Comprehensive</w:t>
            </w:r>
          </w:p>
        </w:tc>
        <w:tc>
          <w:tcPr>
            <w:tcW w:w="60" w:type="dxa"/>
            <w:vAlign w:val="bottom"/>
          </w:tcPr>
          <w:p>
            <w:pPr>
              <w:spacing w:after="0"/>
              <w:rPr>
                <w:sz w:val="10"/>
                <w:szCs w:val="10"/>
                <w:color w:val="auto"/>
              </w:rPr>
            </w:pPr>
          </w:p>
        </w:tc>
        <w:tc>
          <w:tcPr>
            <w:tcW w:w="1320" w:type="dxa"/>
            <w:vAlign w:val="bottom"/>
            <w:gridSpan w:val="5"/>
            <w:shd w:val="clear" w:color="auto" w:fill="CCEEFF"/>
          </w:tcPr>
          <w:p>
            <w:pPr>
              <w:jc w:val="center"/>
              <w:ind w:right="20"/>
              <w:spacing w:after="0" w:line="124" w:lineRule="exact"/>
              <w:rPr>
                <w:sz w:val="20"/>
                <w:szCs w:val="20"/>
                <w:color w:val="auto"/>
              </w:rPr>
            </w:pPr>
            <w:r>
              <w:rPr>
                <w:rFonts w:ascii="Arial" w:cs="Arial" w:eastAsia="Arial" w:hAnsi="Arial"/>
                <w:sz w:val="13"/>
                <w:szCs w:val="13"/>
                <w:b w:val="1"/>
                <w:bCs w:val="1"/>
                <w:color w:val="auto"/>
                <w:w w:val="94"/>
              </w:rPr>
              <w:t>Held By</w:t>
            </w:r>
          </w:p>
        </w:tc>
        <w:tc>
          <w:tcPr>
            <w:tcW w:w="80" w:type="dxa"/>
            <w:vAlign w:val="bottom"/>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center"/>
              <w:ind w:right="80"/>
              <w:spacing w:after="0" w:line="124" w:lineRule="exact"/>
              <w:rPr>
                <w:sz w:val="20"/>
                <w:szCs w:val="20"/>
                <w:color w:val="auto"/>
              </w:rPr>
            </w:pPr>
            <w:r>
              <w:rPr>
                <w:rFonts w:ascii="Arial" w:cs="Arial" w:eastAsia="Arial" w:hAnsi="Arial"/>
                <w:sz w:val="13"/>
                <w:szCs w:val="13"/>
                <w:b w:val="1"/>
                <w:bCs w:val="1"/>
                <w:color w:val="auto"/>
                <w:w w:val="97"/>
              </w:rPr>
              <w:t>Lazard Ltd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20" w:type="dxa"/>
            <w:vAlign w:val="bottom"/>
            <w:gridSpan w:val="4"/>
          </w:tcPr>
          <w:p>
            <w:pPr>
              <w:jc w:val="right"/>
              <w:ind w:right="115"/>
              <w:spacing w:after="0"/>
              <w:rPr>
                <w:sz w:val="20"/>
                <w:szCs w:val="20"/>
                <w:color w:val="auto"/>
              </w:rPr>
            </w:pPr>
            <w:r>
              <w:rPr>
                <w:rFonts w:ascii="Arial" w:cs="Arial" w:eastAsia="Arial" w:hAnsi="Arial"/>
                <w:sz w:val="13"/>
                <w:szCs w:val="13"/>
                <w:b w:val="1"/>
                <w:bCs w:val="1"/>
                <w:color w:val="auto"/>
              </w:rPr>
              <w:t>Series A</w:t>
            </w:r>
          </w:p>
        </w:tc>
        <w:tc>
          <w:tcPr>
            <w:tcW w:w="120" w:type="dxa"/>
            <w:vAlign w:val="bottom"/>
          </w:tcPr>
          <w:p>
            <w:pPr>
              <w:spacing w:after="0"/>
              <w:rPr>
                <w:sz w:val="13"/>
                <w:szCs w:val="13"/>
                <w:color w:val="auto"/>
              </w:rPr>
            </w:pPr>
          </w:p>
        </w:tc>
        <w:tc>
          <w:tcPr>
            <w:tcW w:w="920" w:type="dxa"/>
            <w:vAlign w:val="bottom"/>
            <w:gridSpan w:val="4"/>
          </w:tcPr>
          <w:p>
            <w:pPr>
              <w:ind w:left="180"/>
              <w:spacing w:after="0"/>
              <w:rPr>
                <w:sz w:val="20"/>
                <w:szCs w:val="20"/>
                <w:color w:val="auto"/>
              </w:rPr>
            </w:pPr>
            <w:r>
              <w:rPr>
                <w:rFonts w:ascii="Arial" w:cs="Arial" w:eastAsia="Arial" w:hAnsi="Arial"/>
                <w:sz w:val="13"/>
                <w:szCs w:val="13"/>
                <w:b w:val="1"/>
                <w:bCs w:val="1"/>
                <w:color w:val="auto"/>
              </w:rPr>
              <w:t>Series B</w:t>
            </w:r>
          </w:p>
        </w:tc>
        <w:tc>
          <w:tcPr>
            <w:tcW w:w="1160" w:type="dxa"/>
            <w:vAlign w:val="bottom"/>
            <w:gridSpan w:val="5"/>
            <w:shd w:val="clear" w:color="auto" w:fill="CCEEFF"/>
          </w:tcPr>
          <w:p>
            <w:pPr>
              <w:ind w:left="14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w w:val="98"/>
              </w:rPr>
              <w:t>Retained</w:t>
            </w:r>
          </w:p>
        </w:tc>
        <w:tc>
          <w:tcPr>
            <w:tcW w:w="6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89"/>
              </w:rPr>
              <w:t>Income (Loss),</w:t>
            </w:r>
          </w:p>
        </w:tc>
        <w:tc>
          <w:tcPr>
            <w:tcW w:w="60" w:type="dxa"/>
            <w:vAlign w:val="bottom"/>
          </w:tcPr>
          <w:p>
            <w:pPr>
              <w:spacing w:after="0"/>
              <w:rPr>
                <w:sz w:val="13"/>
                <w:szCs w:val="13"/>
                <w:color w:val="auto"/>
              </w:rPr>
            </w:pPr>
          </w:p>
        </w:tc>
        <w:tc>
          <w:tcPr>
            <w:tcW w:w="1320" w:type="dxa"/>
            <w:vAlign w:val="bottom"/>
            <w:gridSpan w:val="5"/>
            <w:shd w:val="clear" w:color="auto" w:fill="CCEEFF"/>
          </w:tcPr>
          <w:p>
            <w:pPr>
              <w:jc w:val="center"/>
              <w:ind w:right="40"/>
              <w:spacing w:after="0"/>
              <w:rPr>
                <w:sz w:val="20"/>
                <w:szCs w:val="20"/>
                <w:color w:val="auto"/>
              </w:rPr>
            </w:pPr>
            <w:r>
              <w:rPr>
                <w:rFonts w:ascii="Arial" w:cs="Arial" w:eastAsia="Arial" w:hAnsi="Arial"/>
                <w:sz w:val="13"/>
                <w:szCs w:val="13"/>
                <w:b w:val="1"/>
                <w:bCs w:val="1"/>
                <w:color w:val="auto"/>
                <w:w w:val="90"/>
              </w:rPr>
              <w:t>A Subsidiary</w:t>
            </w:r>
          </w:p>
        </w:tc>
        <w:tc>
          <w:tcPr>
            <w:tcW w:w="80" w:type="dxa"/>
            <w:vAlign w:val="bottom"/>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4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7"/>
              </w:rPr>
              <w:t>Shares</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ind w:right="35"/>
              <w:spacing w:after="0" w:line="137"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540" w:type="dxa"/>
            <w:vAlign w:val="bottom"/>
            <w:tcBorders>
              <w:top w:val="single" w:sz="8" w:color="auto"/>
            </w:tcBorders>
            <w:gridSpan w:val="2"/>
          </w:tcPr>
          <w:p>
            <w:pPr>
              <w:jc w:val="right"/>
              <w:ind w:right="160"/>
              <w:spacing w:after="0" w:line="137" w:lineRule="exact"/>
              <w:rPr>
                <w:sz w:val="20"/>
                <w:szCs w:val="20"/>
                <w:color w:val="auto"/>
              </w:rPr>
            </w:pPr>
            <w:r>
              <w:rPr>
                <w:rFonts w:ascii="Arial" w:cs="Arial" w:eastAsia="Arial" w:hAnsi="Arial"/>
                <w:sz w:val="13"/>
                <w:szCs w:val="13"/>
                <w:b w:val="1"/>
                <w:bCs w:val="1"/>
                <w:color w:val="auto"/>
                <w:w w:val="82"/>
              </w:rPr>
              <w:t>Shares</w:t>
            </w:r>
          </w:p>
        </w:tc>
        <w:tc>
          <w:tcPr>
            <w:tcW w:w="260" w:type="dxa"/>
            <w:vAlign w:val="bottom"/>
            <w:tcBorders>
              <w:top w:val="single" w:sz="8" w:color="auto"/>
            </w:tcBorders>
          </w:tcPr>
          <w:p>
            <w:pPr>
              <w:jc w:val="right"/>
              <w:ind w:right="35"/>
              <w:spacing w:after="0" w:line="137"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120"/>
              <w:spacing w:after="0" w:line="137" w:lineRule="exact"/>
              <w:rPr>
                <w:sz w:val="20"/>
                <w:szCs w:val="20"/>
                <w:color w:val="auto"/>
              </w:rPr>
            </w:pPr>
            <w:r>
              <w:rPr>
                <w:rFonts w:ascii="Arial" w:cs="Arial" w:eastAsia="Arial" w:hAnsi="Arial"/>
                <w:sz w:val="13"/>
                <w:szCs w:val="13"/>
                <w:b w:val="1"/>
                <w:bCs w:val="1"/>
                <w:color w:val="auto"/>
                <w:w w:val="98"/>
              </w:rPr>
              <w:t>Shares(*)</w:t>
            </w:r>
          </w:p>
        </w:tc>
        <w:tc>
          <w:tcPr>
            <w:tcW w:w="380" w:type="dxa"/>
            <w:vAlign w:val="bottom"/>
            <w:tcBorders>
              <w:top w:val="single" w:sz="8" w:color="auto"/>
            </w:tcBorders>
            <w:gridSpan w:val="2"/>
          </w:tcPr>
          <w:p>
            <w:pPr>
              <w:jc w:val="right"/>
              <w:ind w:right="120"/>
              <w:spacing w:after="0" w:line="137" w:lineRule="exact"/>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CCEE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gridSpan w:val="2"/>
            <w:shd w:val="clear" w:color="auto" w:fill="CCEEFF"/>
          </w:tcPr>
          <w:p>
            <w:pPr>
              <w:jc w:val="center"/>
              <w:ind w:right="80"/>
              <w:spacing w:after="0" w:line="137"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gridSpan w:val="2"/>
            <w:shd w:val="clear" w:color="auto" w:fill="CCEEFF"/>
          </w:tcPr>
          <w:p>
            <w:pPr>
              <w:jc w:val="right"/>
              <w:ind w:right="220"/>
              <w:spacing w:after="0" w:line="137" w:lineRule="exact"/>
              <w:rPr>
                <w:sz w:val="20"/>
                <w:szCs w:val="20"/>
                <w:color w:val="auto"/>
              </w:rPr>
            </w:pPr>
            <w:r>
              <w:rPr>
                <w:rFonts w:ascii="Arial" w:cs="Arial" w:eastAsia="Arial" w:hAnsi="Arial"/>
                <w:sz w:val="13"/>
                <w:szCs w:val="13"/>
                <w:b w:val="1"/>
                <w:bCs w:val="1"/>
                <w:color w:val="auto"/>
                <w:w w:val="96"/>
              </w:rPr>
              <w:t>Earnings</w:t>
            </w:r>
          </w:p>
        </w:tc>
        <w:tc>
          <w:tcPr>
            <w:tcW w:w="60" w:type="dxa"/>
            <w:vAlign w:val="bottom"/>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gridSpan w:val="2"/>
            <w:shd w:val="clear" w:color="auto" w:fill="CCEEFF"/>
          </w:tcPr>
          <w:p>
            <w:pPr>
              <w:jc w:val="center"/>
              <w:ind w:right="80"/>
              <w:spacing w:after="0" w:line="137" w:lineRule="exact"/>
              <w:rPr>
                <w:sz w:val="20"/>
                <w:szCs w:val="20"/>
                <w:color w:val="auto"/>
              </w:rPr>
            </w:pPr>
            <w:r>
              <w:rPr>
                <w:rFonts w:ascii="Arial" w:cs="Arial" w:eastAsia="Arial" w:hAnsi="Arial"/>
                <w:sz w:val="13"/>
                <w:szCs w:val="13"/>
                <w:b w:val="1"/>
                <w:bCs w:val="1"/>
                <w:color w:val="auto"/>
                <w:w w:val="92"/>
              </w:rPr>
              <w:t>Net of Tax</w:t>
            </w:r>
          </w:p>
        </w:tc>
        <w:tc>
          <w:tcPr>
            <w:tcW w:w="60" w:type="dxa"/>
            <w:vAlign w:val="bottom"/>
          </w:tcPr>
          <w:p>
            <w:pPr>
              <w:spacing w:after="0"/>
              <w:rPr>
                <w:sz w:val="11"/>
                <w:szCs w:val="11"/>
                <w:color w:val="auto"/>
              </w:rPr>
            </w:pPr>
          </w:p>
        </w:tc>
        <w:tc>
          <w:tcPr>
            <w:tcW w:w="660" w:type="dxa"/>
            <w:vAlign w:val="bottom"/>
            <w:tcBorders>
              <w:top w:val="single" w:sz="8" w:color="auto"/>
            </w:tcBorders>
            <w:gridSpan w:val="2"/>
          </w:tcPr>
          <w:p>
            <w:pPr>
              <w:jc w:val="center"/>
              <w:ind w:right="80"/>
              <w:spacing w:after="0" w:line="137" w:lineRule="exact"/>
              <w:rPr>
                <w:sz w:val="20"/>
                <w:szCs w:val="20"/>
                <w:color w:val="auto"/>
              </w:rPr>
            </w:pPr>
            <w:r>
              <w:rPr>
                <w:rFonts w:ascii="Arial" w:cs="Arial" w:eastAsia="Arial" w:hAnsi="Arial"/>
                <w:sz w:val="13"/>
                <w:szCs w:val="13"/>
                <w:b w:val="1"/>
                <w:bCs w:val="1"/>
                <w:color w:val="auto"/>
                <w:w w:val="87"/>
              </w:rPr>
              <w:t>Shares</w:t>
            </w:r>
          </w:p>
        </w:tc>
        <w:tc>
          <w:tcPr>
            <w:tcW w:w="580" w:type="dxa"/>
            <w:vAlign w:val="bottom"/>
            <w:tcBorders>
              <w:top w:val="single" w:sz="8" w:color="auto"/>
            </w:tcBorders>
            <w:gridSpan w:val="2"/>
          </w:tcPr>
          <w:p>
            <w:pPr>
              <w:jc w:val="right"/>
              <w:ind w:right="220"/>
              <w:spacing w:after="0" w:line="137" w:lineRule="exact"/>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CCEEFF"/>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gridSpan w:val="2"/>
            <w:shd w:val="clear" w:color="auto" w:fill="CCEEFF"/>
          </w:tcPr>
          <w:p>
            <w:pPr>
              <w:jc w:val="center"/>
              <w:ind w:right="80"/>
              <w:spacing w:after="0" w:line="137"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316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Balance – January 1, 2008</w:t>
            </w:r>
          </w:p>
        </w:tc>
        <w:tc>
          <w:tcPr>
            <w:tcW w:w="42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36,607</w:t>
            </w: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CEEFF"/>
          </w:tcPr>
          <w:p>
            <w:pPr>
              <w:ind w:left="320"/>
              <w:spacing w:after="0" w:line="137" w:lineRule="exact"/>
              <w:rPr>
                <w:sz w:val="20"/>
                <w:szCs w:val="20"/>
                <w:color w:val="auto"/>
              </w:rPr>
            </w:pPr>
            <w:r>
              <w:rPr>
                <w:rFonts w:ascii="Arial" w:cs="Arial" w:eastAsia="Arial" w:hAnsi="Arial"/>
                <w:sz w:val="13"/>
                <w:szCs w:val="13"/>
                <w:b w:val="1"/>
                <w:bCs w:val="1"/>
                <w:color w:val="auto"/>
                <w:w w:val="73"/>
              </w:rPr>
              <w:t>277</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0"/>
              <w:spacing w:after="0" w:line="137" w:lineRule="exact"/>
              <w:rPr>
                <w:sz w:val="20"/>
                <w:szCs w:val="20"/>
                <w:color w:val="auto"/>
              </w:rPr>
            </w:pPr>
            <w:r>
              <w:rPr>
                <w:rFonts w:ascii="Arial" w:cs="Arial" w:eastAsia="Arial" w:hAnsi="Arial"/>
                <w:sz w:val="13"/>
                <w:szCs w:val="13"/>
                <w:b w:val="1"/>
                <w:bCs w:val="1"/>
                <w:color w:val="auto"/>
                <w:w w:val="78"/>
              </w:rPr>
              <w:t>$—</w:t>
            </w:r>
          </w:p>
        </w:tc>
        <w:tc>
          <w:tcPr>
            <w:tcW w:w="7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b w:val="1"/>
                <w:bCs w:val="1"/>
                <w:color w:val="auto"/>
                <w:w w:val="92"/>
              </w:rPr>
              <w:t>51,745,826</w:t>
            </w:r>
          </w:p>
        </w:tc>
        <w:tc>
          <w:tcPr>
            <w:tcW w:w="3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$ 517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3"/>
                <w:szCs w:val="13"/>
                <w:b w:val="1"/>
                <w:bCs w:val="1"/>
                <w:color w:val="auto"/>
              </w:rPr>
              <w:t>(119,038)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b w:val="1"/>
                <w:bCs w:val="1"/>
                <w:color w:val="auto"/>
              </w:rPr>
              <w:t>248,551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w w:val="82"/>
              </w:rPr>
              <w:t>$</w:t>
            </w:r>
          </w:p>
        </w:tc>
        <w:tc>
          <w:tcPr>
            <w:tcW w:w="9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b w:val="1"/>
                <w:bCs w:val="1"/>
                <w:color w:val="auto"/>
              </w:rPr>
              <w:t>23,725</w:t>
            </w:r>
          </w:p>
        </w:tc>
        <w:tc>
          <w:tcPr>
            <w:tcW w:w="620" w:type="dxa"/>
            <w:vAlign w:val="bottom"/>
            <w:gridSpan w:val="2"/>
            <w:shd w:val="clear" w:color="auto" w:fill="CCEEFF"/>
          </w:tcPr>
          <w:p>
            <w:pPr>
              <w:jc w:val="center"/>
              <w:ind w:left="35"/>
              <w:spacing w:after="0" w:line="137" w:lineRule="exact"/>
              <w:rPr>
                <w:sz w:val="20"/>
                <w:szCs w:val="20"/>
                <w:color w:val="auto"/>
              </w:rPr>
            </w:pPr>
            <w:r>
              <w:rPr>
                <w:rFonts w:ascii="Arial" w:cs="Arial" w:eastAsia="Arial" w:hAnsi="Arial"/>
                <w:sz w:val="13"/>
                <w:szCs w:val="13"/>
                <w:b w:val="1"/>
                <w:bCs w:val="1"/>
                <w:color w:val="auto"/>
                <w:w w:val="89"/>
              </w:rPr>
              <w:t>1,712,846</w:t>
            </w: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3"/>
                <w:szCs w:val="13"/>
                <w:b w:val="1"/>
                <w:bCs w:val="1"/>
                <w:color w:val="auto"/>
              </w:rPr>
              <w:t>$ (69,296)</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84,459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18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Net income</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3,138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3,138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ind w:left="200"/>
              <w:spacing w:after="0" w:line="144" w:lineRule="exact"/>
              <w:rPr>
                <w:sz w:val="20"/>
                <w:szCs w:val="20"/>
                <w:color w:val="auto"/>
              </w:rPr>
            </w:pPr>
            <w:r>
              <w:rPr>
                <w:rFonts w:ascii="Arial" w:cs="Arial" w:eastAsia="Arial" w:hAnsi="Arial"/>
                <w:sz w:val="13"/>
                <w:szCs w:val="13"/>
                <w:color w:val="auto"/>
              </w:rPr>
              <w:t>Other comprehensive income (loss) - net of tax:</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shd w:val="clear" w:color="auto" w:fill="CCEEFF"/>
          </w:tcPr>
          <w:p>
            <w:pPr>
              <w:ind w:left="620"/>
              <w:spacing w:after="0" w:line="144" w:lineRule="exact"/>
              <w:rPr>
                <w:sz w:val="20"/>
                <w:szCs w:val="20"/>
                <w:color w:val="auto"/>
              </w:rPr>
            </w:pPr>
            <w:r>
              <w:rPr>
                <w:rFonts w:ascii="Arial" w:cs="Arial" w:eastAsia="Arial" w:hAnsi="Arial"/>
                <w:sz w:val="13"/>
                <w:szCs w:val="13"/>
                <w:color w:val="auto"/>
              </w:rPr>
              <w:t>Currency translation adjustments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(95,198)</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(95,198)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ind w:left="620"/>
              <w:spacing w:after="0" w:line="144" w:lineRule="exact"/>
              <w:rPr>
                <w:sz w:val="20"/>
                <w:szCs w:val="20"/>
                <w:color w:val="auto"/>
              </w:rPr>
            </w:pPr>
            <w:r>
              <w:rPr>
                <w:rFonts w:ascii="Arial" w:cs="Arial" w:eastAsia="Arial" w:hAnsi="Arial"/>
                <w:sz w:val="13"/>
                <w:szCs w:val="13"/>
                <w:color w:val="auto"/>
              </w:rPr>
              <w:t>Amortization of interest rate hedge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778</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778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shd w:val="clear" w:color="auto" w:fill="CCEEFF"/>
          </w:tcPr>
          <w:p>
            <w:pPr>
              <w:ind w:left="620"/>
              <w:spacing w:after="0" w:line="144" w:lineRule="exact"/>
              <w:rPr>
                <w:sz w:val="20"/>
                <w:szCs w:val="20"/>
                <w:color w:val="auto"/>
              </w:rPr>
            </w:pPr>
            <w:r>
              <w:rPr>
                <w:rFonts w:ascii="Arial" w:cs="Arial" w:eastAsia="Arial" w:hAnsi="Arial"/>
                <w:sz w:val="13"/>
                <w:szCs w:val="13"/>
                <w:color w:val="auto"/>
              </w:rPr>
              <w:t>Available-for-sale securities: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ind w:left="1020"/>
              <w:spacing w:after="0" w:line="144" w:lineRule="exact"/>
              <w:rPr>
                <w:sz w:val="20"/>
                <w:szCs w:val="20"/>
                <w:color w:val="auto"/>
              </w:rPr>
            </w:pPr>
            <w:r>
              <w:rPr>
                <w:rFonts w:ascii="Arial" w:cs="Arial" w:eastAsia="Arial" w:hAnsi="Arial"/>
                <w:sz w:val="13"/>
                <w:szCs w:val="13"/>
                <w:color w:val="auto"/>
              </w:rPr>
              <w:t>Net unrealized loss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(25,496)</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(25,496)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ind w:left="1020"/>
              <w:spacing w:after="0" w:line="135" w:lineRule="exact"/>
              <w:rPr>
                <w:sz w:val="20"/>
                <w:szCs w:val="20"/>
                <w:color w:val="auto"/>
              </w:rPr>
            </w:pPr>
            <w:r>
              <w:rPr>
                <w:rFonts w:ascii="Arial" w:cs="Arial" w:eastAsia="Arial" w:hAnsi="Arial"/>
                <w:sz w:val="13"/>
                <w:szCs w:val="13"/>
                <w:color w:val="auto"/>
              </w:rPr>
              <w:t>Adjustment for items reclassified to</w:t>
            </w: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60" w:type="dxa"/>
            <w:vAlign w:val="bottom"/>
            <w:shd w:val="clear" w:color="auto" w:fill="CCEEFF"/>
          </w:tcPr>
          <w:p>
            <w:pPr>
              <w:ind w:left="1240"/>
              <w:spacing w:after="0"/>
              <w:rPr>
                <w:sz w:val="20"/>
                <w:szCs w:val="20"/>
                <w:color w:val="auto"/>
              </w:rPr>
            </w:pPr>
            <w:r>
              <w:rPr>
                <w:rFonts w:ascii="Arial" w:cs="Arial" w:eastAsia="Arial" w:hAnsi="Arial"/>
                <w:sz w:val="13"/>
                <w:szCs w:val="13"/>
                <w:color w:val="auto"/>
              </w:rPr>
              <w:t>earnings</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ind w:left="620"/>
              <w:spacing w:after="0" w:line="144" w:lineRule="exact"/>
              <w:rPr>
                <w:sz w:val="20"/>
                <w:szCs w:val="20"/>
                <w:color w:val="auto"/>
              </w:rPr>
            </w:pPr>
            <w:r>
              <w:rPr>
                <w:rFonts w:ascii="Arial" w:cs="Arial" w:eastAsia="Arial" w:hAnsi="Arial"/>
                <w:sz w:val="13"/>
                <w:szCs w:val="13"/>
                <w:color w:val="auto"/>
              </w:rPr>
              <w:t>Employee benefit plans: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shd w:val="clear" w:color="auto" w:fill="CCEEFF"/>
          </w:tcPr>
          <w:p>
            <w:pPr>
              <w:ind w:left="1020"/>
              <w:spacing w:after="0" w:line="144" w:lineRule="exact"/>
              <w:rPr>
                <w:sz w:val="20"/>
                <w:szCs w:val="20"/>
                <w:color w:val="auto"/>
              </w:rPr>
            </w:pPr>
            <w:r>
              <w:rPr>
                <w:rFonts w:ascii="Arial" w:cs="Arial" w:eastAsia="Arial" w:hAnsi="Arial"/>
                <w:sz w:val="13"/>
                <w:szCs w:val="13"/>
                <w:color w:val="auto"/>
              </w:rPr>
              <w:t>Net actuarial gain</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8,834</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8,834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ind w:left="1020"/>
              <w:spacing w:after="0" w:line="135" w:lineRule="exact"/>
              <w:rPr>
                <w:sz w:val="20"/>
                <w:szCs w:val="20"/>
                <w:color w:val="auto"/>
              </w:rPr>
            </w:pPr>
            <w:r>
              <w:rPr>
                <w:rFonts w:ascii="Arial" w:cs="Arial" w:eastAsia="Arial" w:hAnsi="Arial"/>
                <w:sz w:val="13"/>
                <w:szCs w:val="13"/>
                <w:color w:val="auto"/>
              </w:rPr>
              <w:t>Adjustment for items reclassified to</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60" w:type="dxa"/>
            <w:vAlign w:val="bottom"/>
          </w:tcPr>
          <w:p>
            <w:pPr>
              <w:ind w:left="1240"/>
              <w:spacing w:after="0"/>
              <w:rPr>
                <w:sz w:val="20"/>
                <w:szCs w:val="20"/>
                <w:color w:val="auto"/>
              </w:rPr>
            </w:pPr>
            <w:r>
              <w:rPr>
                <w:rFonts w:ascii="Arial" w:cs="Arial" w:eastAsia="Arial" w:hAnsi="Arial"/>
                <w:sz w:val="13"/>
                <w:szCs w:val="13"/>
                <w:color w:val="auto"/>
              </w:rPr>
              <w:t>earnings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77</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Comprehensive loss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(107,864)</w:t>
            </w:r>
          </w:p>
        </w:tc>
        <w:tc>
          <w:tcPr>
            <w:tcW w:w="0" w:type="dxa"/>
            <w:vAlign w:val="bottom"/>
          </w:tcPr>
          <w:p>
            <w:pPr>
              <w:spacing w:after="0"/>
              <w:rPr>
                <w:sz w:val="1"/>
                <w:szCs w:val="1"/>
                <w:color w:val="auto"/>
              </w:rPr>
            </w:pPr>
          </w:p>
        </w:tc>
      </w:tr>
      <w:tr>
        <w:trPr>
          <w:trHeight w:val="141"/>
        </w:trPr>
        <w:tc>
          <w:tcPr>
            <w:tcW w:w="3180" w:type="dxa"/>
            <w:vAlign w:val="bottom"/>
            <w:gridSpan w:val="2"/>
          </w:tcPr>
          <w:p>
            <w:pPr>
              <w:spacing w:after="0" w:line="141" w:lineRule="exact"/>
              <w:rPr>
                <w:sz w:val="20"/>
                <w:szCs w:val="20"/>
                <w:color w:val="auto"/>
              </w:rPr>
            </w:pPr>
            <w:r>
              <w:rPr>
                <w:rFonts w:ascii="Arial" w:cs="Arial" w:eastAsia="Arial" w:hAnsi="Arial"/>
                <w:sz w:val="13"/>
                <w:szCs w:val="13"/>
                <w:color w:val="auto"/>
                <w:w w:val="95"/>
              </w:rPr>
              <w:t>Class A common stock issued/issuable in connection with</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ind w:left="200"/>
              <w:spacing w:after="0" w:line="144" w:lineRule="exact"/>
              <w:rPr>
                <w:sz w:val="20"/>
                <w:szCs w:val="20"/>
                <w:color w:val="auto"/>
              </w:rPr>
            </w:pPr>
            <w:r>
              <w:rPr>
                <w:rFonts w:ascii="Arial" w:cs="Arial" w:eastAsia="Arial" w:hAnsi="Arial"/>
                <w:sz w:val="13"/>
                <w:szCs w:val="13"/>
                <w:color w:val="auto"/>
              </w:rPr>
              <w:t>business acquisitions and LAM Merger and related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60" w:type="dxa"/>
            <w:vAlign w:val="bottom"/>
          </w:tcPr>
          <w:p>
            <w:pPr>
              <w:ind w:left="200"/>
              <w:spacing w:after="0"/>
              <w:rPr>
                <w:sz w:val="20"/>
                <w:szCs w:val="20"/>
                <w:color w:val="auto"/>
              </w:rPr>
            </w:pPr>
            <w:r>
              <w:rPr>
                <w:rFonts w:ascii="Arial" w:cs="Arial" w:eastAsia="Arial" w:hAnsi="Arial"/>
                <w:sz w:val="13"/>
                <w:szCs w:val="13"/>
                <w:color w:val="auto"/>
              </w:rPr>
              <w:t>amortization</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203,890</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69,174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69,176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Conversion of Series A and Series B preferred stock into</w:t>
            </w: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Class A common stock</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(4,862)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(277)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450,259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w w:val="95"/>
              </w:rPr>
              <w:t>Repurchase of common membership interests from LAZ-</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60" w:type="dxa"/>
            <w:vAlign w:val="bottom"/>
          </w:tcPr>
          <w:p>
            <w:pPr>
              <w:ind w:left="200"/>
              <w:spacing w:after="0"/>
              <w:rPr>
                <w:sz w:val="20"/>
                <w:szCs w:val="20"/>
                <w:color w:val="auto"/>
              </w:rPr>
            </w:pPr>
            <w:r>
              <w:rPr>
                <w:rFonts w:ascii="Arial" w:cs="Arial" w:eastAsia="Arial" w:hAnsi="Arial"/>
                <w:sz w:val="13"/>
                <w:szCs w:val="13"/>
                <w:color w:val="auto"/>
              </w:rPr>
              <w:t>MD Holdings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(1,597)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(1,597)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Amortization of share-based incentive compensation</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147,763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147,763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spacing w:after="0" w:line="144" w:lineRule="exact"/>
              <w:rPr>
                <w:sz w:val="20"/>
                <w:szCs w:val="20"/>
                <w:color w:val="auto"/>
              </w:rPr>
            </w:pPr>
            <w:r>
              <w:rPr>
                <w:rFonts w:ascii="Arial" w:cs="Arial" w:eastAsia="Arial" w:hAnsi="Arial"/>
                <w:sz w:val="13"/>
                <w:szCs w:val="13"/>
                <w:color w:val="auto"/>
              </w:rPr>
              <w:t>Dividend-equivalents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7,211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(7,223)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Class A common stock dividends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(23,056)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(23,056)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spacing w:after="0" w:line="144" w:lineRule="exact"/>
              <w:rPr>
                <w:sz w:val="20"/>
                <w:szCs w:val="20"/>
                <w:color w:val="auto"/>
              </w:rPr>
            </w:pPr>
            <w:r>
              <w:rPr>
                <w:rFonts w:ascii="Arial" w:cs="Arial" w:eastAsia="Arial" w:hAnsi="Arial"/>
                <w:sz w:val="13"/>
                <w:szCs w:val="13"/>
                <w:color w:val="auto"/>
              </w:rPr>
              <w:t>Purchase of Class A common stock</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left="35"/>
              <w:spacing w:after="0" w:line="144" w:lineRule="exact"/>
              <w:rPr>
                <w:sz w:val="20"/>
                <w:szCs w:val="20"/>
                <w:color w:val="auto"/>
              </w:rPr>
            </w:pPr>
            <w:r>
              <w:rPr>
                <w:rFonts w:ascii="Arial" w:cs="Arial" w:eastAsia="Arial" w:hAnsi="Arial"/>
                <w:sz w:val="13"/>
                <w:szCs w:val="13"/>
                <w:color w:val="auto"/>
                <w:w w:val="89"/>
              </w:rPr>
              <w:t>8,308,170</w:t>
            </w:r>
          </w:p>
        </w:tc>
        <w:tc>
          <w:tcPr>
            <w:tcW w:w="100" w:type="dxa"/>
            <w:vAlign w:val="bottom"/>
          </w:tcPr>
          <w:p>
            <w:pPr>
              <w:spacing w:after="0"/>
              <w:rPr>
                <w:sz w:val="12"/>
                <w:szCs w:val="12"/>
                <w:color w:val="auto"/>
              </w:rPr>
            </w:pPr>
          </w:p>
        </w:tc>
        <w:tc>
          <w:tcPr>
            <w:tcW w:w="660" w:type="dxa"/>
            <w:vAlign w:val="bottom"/>
            <w:gridSpan w:val="3"/>
          </w:tcPr>
          <w:p>
            <w:pPr>
              <w:jc w:val="right"/>
              <w:ind w:right="20"/>
              <w:spacing w:after="0" w:line="144" w:lineRule="exact"/>
              <w:rPr>
                <w:sz w:val="20"/>
                <w:szCs w:val="20"/>
                <w:color w:val="auto"/>
              </w:rPr>
            </w:pPr>
            <w:r>
              <w:rPr>
                <w:rFonts w:ascii="Arial" w:cs="Arial" w:eastAsia="Arial" w:hAnsi="Arial"/>
                <w:sz w:val="13"/>
                <w:szCs w:val="13"/>
                <w:color w:val="auto"/>
              </w:rPr>
              <w:t>(277,064)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(277,064)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Delivery of Class A common stock in connection with</w:t>
            </w: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share-based incentive compensation</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(29,024)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(644,854)</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24,508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spacing w:after="0" w:line="144" w:lineRule="exact"/>
              <w:rPr>
                <w:sz w:val="20"/>
                <w:szCs w:val="20"/>
                <w:color w:val="auto"/>
              </w:rPr>
            </w:pPr>
            <w:r>
              <w:rPr>
                <w:rFonts w:ascii="Arial" w:cs="Arial" w:eastAsia="Arial" w:hAnsi="Arial"/>
                <w:sz w:val="13"/>
                <w:szCs w:val="13"/>
                <w:color w:val="auto"/>
              </w:rPr>
              <w:t>Class A common stock issued in connection with:</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8"/>
              </w:rPr>
              <w:t>Settlement of the purchase contracts forming part of</w:t>
            </w: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the ESUs</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14,582,750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272,930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273,076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ind w:left="200"/>
              <w:spacing w:after="0" w:line="135" w:lineRule="exact"/>
              <w:rPr>
                <w:sz w:val="20"/>
                <w:szCs w:val="20"/>
                <w:color w:val="auto"/>
              </w:rPr>
            </w:pPr>
            <w:r>
              <w:rPr>
                <w:rFonts w:ascii="Arial" w:cs="Arial" w:eastAsia="Arial" w:hAnsi="Arial"/>
                <w:sz w:val="13"/>
                <w:szCs w:val="13"/>
                <w:color w:val="auto"/>
              </w:rPr>
              <w:t>Exchange for Lazard Group common membership</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ind w:left="400"/>
              <w:spacing w:after="0" w:line="144" w:lineRule="exact"/>
              <w:rPr>
                <w:sz w:val="20"/>
                <w:szCs w:val="20"/>
                <w:color w:val="auto"/>
              </w:rPr>
            </w:pPr>
            <w:r>
              <w:rPr>
                <w:rFonts w:ascii="Arial" w:cs="Arial" w:eastAsia="Arial" w:hAnsi="Arial"/>
                <w:sz w:val="13"/>
                <w:szCs w:val="13"/>
                <w:color w:val="auto"/>
                <w:w w:val="98"/>
              </w:rPr>
              <w:t>interests, including in connection with secondary</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60" w:type="dxa"/>
            <w:vAlign w:val="bottom"/>
          </w:tcPr>
          <w:p>
            <w:pPr>
              <w:ind w:left="400"/>
              <w:spacing w:after="0"/>
              <w:rPr>
                <w:sz w:val="20"/>
                <w:szCs w:val="20"/>
                <w:color w:val="auto"/>
              </w:rPr>
            </w:pPr>
            <w:r>
              <w:rPr>
                <w:rFonts w:ascii="Arial" w:cs="Arial" w:eastAsia="Arial" w:hAnsi="Arial"/>
                <w:sz w:val="13"/>
                <w:szCs w:val="13"/>
                <w:color w:val="auto"/>
              </w:rPr>
              <w:t>offering</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9,312,188</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(93)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spacing w:after="0" w:line="144" w:lineRule="exact"/>
              <w:rPr>
                <w:sz w:val="20"/>
                <w:szCs w:val="20"/>
                <w:color w:val="auto"/>
              </w:rPr>
            </w:pPr>
            <w:r>
              <w:rPr>
                <w:rFonts w:ascii="Arial" w:cs="Arial" w:eastAsia="Arial" w:hAnsi="Arial"/>
                <w:sz w:val="13"/>
                <w:szCs w:val="13"/>
                <w:color w:val="auto"/>
              </w:rPr>
              <w:t>Adjustment related to noncontrolling interests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82,229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7,842</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90,071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Balance – December 31, 2008</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31,745</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w:t>
            </w:r>
          </w:p>
        </w:tc>
        <w:tc>
          <w:tcPr>
            <w:tcW w:w="380" w:type="dxa"/>
            <w:vAlign w:val="bottom"/>
            <w:gridSpan w:val="2"/>
            <w:shd w:val="clear" w:color="auto" w:fill="CCEEFF"/>
          </w:tcPr>
          <w:p>
            <w:pPr>
              <w:jc w:val="right"/>
              <w:ind w:right="200"/>
              <w:spacing w:after="0" w:line="144" w:lineRule="exact"/>
              <w:rPr>
                <w:sz w:val="20"/>
                <w:szCs w:val="20"/>
                <w:color w:val="auto"/>
              </w:rPr>
            </w:pPr>
            <w:r>
              <w:rPr>
                <w:rFonts w:ascii="Arial" w:cs="Arial" w:eastAsia="Arial" w:hAnsi="Arial"/>
                <w:sz w:val="13"/>
                <w:szCs w:val="13"/>
                <w:b w:val="1"/>
                <w:bCs w:val="1"/>
                <w:color w:val="auto"/>
                <w:w w:val="78"/>
              </w:rPr>
              <w:t>$—</w:t>
            </w:r>
          </w:p>
        </w:tc>
        <w:tc>
          <w:tcPr>
            <w:tcW w:w="7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b w:val="1"/>
                <w:bCs w:val="1"/>
                <w:color w:val="auto"/>
                <w:w w:val="92"/>
              </w:rPr>
              <w:t>76,294,913</w:t>
            </w:r>
          </w:p>
        </w:tc>
        <w:tc>
          <w:tcPr>
            <w:tcW w:w="3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$ 763</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b w:val="1"/>
                <w:bCs w:val="1"/>
                <w:color w:val="auto"/>
              </w:rPr>
              <w:t>429,694</w:t>
            </w:r>
          </w:p>
        </w:tc>
        <w:tc>
          <w:tcPr>
            <w:tcW w:w="20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b w:val="1"/>
                <w:bCs w:val="1"/>
                <w:color w:val="auto"/>
              </w:rPr>
              <w:t>221,410</w:t>
            </w:r>
          </w:p>
        </w:tc>
        <w:tc>
          <w:tcPr>
            <w:tcW w:w="14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b w:val="1"/>
                <w:bCs w:val="1"/>
                <w:color w:val="auto"/>
                <w:w w:val="82"/>
              </w:rPr>
              <w:t>$</w:t>
            </w:r>
          </w:p>
        </w:tc>
        <w:tc>
          <w:tcPr>
            <w:tcW w:w="9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b w:val="1"/>
                <w:bCs w:val="1"/>
                <w:color w:val="auto"/>
              </w:rPr>
              <w:t>(79,435)</w:t>
            </w:r>
          </w:p>
        </w:tc>
        <w:tc>
          <w:tcPr>
            <w:tcW w:w="620" w:type="dxa"/>
            <w:vAlign w:val="bottom"/>
            <w:gridSpan w:val="2"/>
            <w:shd w:val="clear" w:color="auto" w:fill="CCEEFF"/>
          </w:tcPr>
          <w:p>
            <w:pPr>
              <w:jc w:val="center"/>
              <w:ind w:left="35"/>
              <w:spacing w:after="0" w:line="144" w:lineRule="exact"/>
              <w:rPr>
                <w:sz w:val="20"/>
                <w:szCs w:val="20"/>
                <w:color w:val="auto"/>
              </w:rPr>
            </w:pPr>
            <w:r>
              <w:rPr>
                <w:rFonts w:ascii="Arial" w:cs="Arial" w:eastAsia="Arial" w:hAnsi="Arial"/>
                <w:sz w:val="13"/>
                <w:szCs w:val="13"/>
                <w:b w:val="1"/>
                <w:bCs w:val="1"/>
                <w:color w:val="auto"/>
                <w:w w:val="89"/>
              </w:rPr>
              <w:t>9,376,162</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
              <w:spacing w:after="0" w:line="144" w:lineRule="exact"/>
              <w:rPr>
                <w:sz w:val="20"/>
                <w:szCs w:val="20"/>
                <w:color w:val="auto"/>
              </w:rPr>
            </w:pPr>
            <w:r>
              <w:rPr>
                <w:rFonts w:ascii="Arial" w:cs="Arial" w:eastAsia="Arial" w:hAnsi="Arial"/>
                <w:sz w:val="13"/>
                <w:szCs w:val="13"/>
                <w:b w:val="1"/>
                <w:bCs w:val="1"/>
                <w:u w:val="single" w:color="auto"/>
                <w:color w:val="auto"/>
                <w:w w:val="98"/>
              </w:rPr>
              <w:t>$</w:t>
            </w:r>
            <w:r>
              <w:rPr>
                <w:rFonts w:ascii="Arial" w:cs="Arial" w:eastAsia="Arial" w:hAnsi="Arial"/>
                <w:sz w:val="13"/>
                <w:szCs w:val="13"/>
                <w:b w:val="1"/>
                <w:bCs w:val="1"/>
                <w:color w:val="auto"/>
                <w:w w:val="98"/>
              </w:rPr>
              <w:t>(321,852)</w:t>
            </w:r>
          </w:p>
        </w:tc>
        <w:tc>
          <w:tcPr>
            <w:tcW w:w="1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250,580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48" w:right="2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(parent company only)</w:t>
      </w:r>
    </w:p>
    <w:p>
      <w:pPr>
        <w:spacing w:after="0" w:line="68" w:lineRule="exact"/>
        <w:rPr>
          <w:sz w:val="20"/>
          <w:szCs w:val="20"/>
          <w:color w:val="auto"/>
        </w:rPr>
      </w:pPr>
    </w:p>
    <w:p>
      <w:pPr>
        <w:jc w:val="center"/>
        <w:ind w:left="260" w:right="2740"/>
        <w:spacing w:after="0" w:line="270" w:lineRule="auto"/>
        <w:rPr>
          <w:sz w:val="20"/>
          <w:szCs w:val="20"/>
          <w:color w:val="auto"/>
        </w:rPr>
      </w:pPr>
      <w:r>
        <w:rPr>
          <w:rFonts w:ascii="Arial" w:cs="Arial" w:eastAsia="Arial" w:hAnsi="Arial"/>
          <w:sz w:val="17"/>
          <w:szCs w:val="17"/>
          <w:b w:val="1"/>
          <w:bCs w:val="1"/>
          <w:color w:val="auto"/>
        </w:rPr>
        <w:t>CONDENSED STATEMENTS OF CHANGES IN STOCKHOLDERS’ EQUITY FOR THE YEARS ENDED DECEMBER 31, 2010, 2009 AND 2008—(Continued) (dollars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4"/>
              </w:rPr>
              <w:t>Series A</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Accumulated</w:t>
            </w:r>
          </w:p>
        </w:tc>
        <w:tc>
          <w:tcPr>
            <w:tcW w:w="150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87"/>
              </w:rPr>
              <w:t>Class A</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2"/>
            <w:vMerge w:val="restart"/>
          </w:tcPr>
          <w:p>
            <w:pPr>
              <w:jc w:val="center"/>
              <w:ind w:right="220"/>
              <w:spacing w:after="0" w:line="144" w:lineRule="exact"/>
              <w:rPr>
                <w:sz w:val="20"/>
                <w:szCs w:val="20"/>
                <w:color w:val="auto"/>
              </w:rPr>
            </w:pPr>
            <w:r>
              <w:rPr>
                <w:rFonts w:ascii="Arial" w:cs="Arial" w:eastAsia="Arial" w:hAnsi="Arial"/>
                <w:sz w:val="13"/>
                <w:szCs w:val="13"/>
                <w:b w:val="1"/>
                <w:bCs w:val="1"/>
                <w:color w:val="auto"/>
                <w:w w:val="92"/>
              </w:rPr>
              <w:t>Other</w:t>
            </w:r>
          </w:p>
        </w:tc>
        <w:tc>
          <w:tcPr>
            <w:tcW w:w="150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840" w:type="dxa"/>
            <w:vAlign w:val="bottom"/>
            <w:gridSpan w:val="3"/>
            <w:vMerge w:val="restart"/>
          </w:tcPr>
          <w:p>
            <w:pPr>
              <w:jc w:val="center"/>
              <w:spacing w:after="0" w:line="144" w:lineRule="exact"/>
              <w:rPr>
                <w:sz w:val="20"/>
                <w:szCs w:val="20"/>
                <w:color w:val="auto"/>
              </w:rPr>
            </w:pPr>
            <w:r>
              <w:rPr>
                <w:rFonts w:ascii="Arial" w:cs="Arial" w:eastAsia="Arial" w:hAnsi="Arial"/>
                <w:sz w:val="13"/>
                <w:szCs w:val="13"/>
                <w:b w:val="1"/>
                <w:bCs w:val="1"/>
                <w:color w:val="auto"/>
                <w:w w:val="89"/>
              </w:rPr>
              <w:t>Preferred</w:t>
            </w: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00" w:type="dxa"/>
            <w:vAlign w:val="bottom"/>
            <w:gridSpan w:val="4"/>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Common Stock</w:t>
            </w:r>
          </w:p>
        </w:tc>
        <w:tc>
          <w:tcPr>
            <w:tcW w:w="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3"/>
            <w:vMerge w:val="restart"/>
          </w:tcPr>
          <w:p>
            <w:pPr>
              <w:spacing w:after="0" w:line="144"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3"/>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Comprehensive</w:t>
            </w:r>
          </w:p>
        </w:tc>
        <w:tc>
          <w:tcPr>
            <w:tcW w:w="150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Lazard Ltd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0"/>
              </w:rPr>
              <w:t>Stock</w:t>
            </w:r>
          </w:p>
        </w:tc>
        <w:tc>
          <w:tcPr>
            <w:tcW w:w="140" w:type="dxa"/>
            <w:vAlign w:val="bottom"/>
          </w:tcPr>
          <w:p>
            <w:pPr>
              <w:spacing w:after="0"/>
              <w:rPr>
                <w:sz w:val="4"/>
                <w:szCs w:val="4"/>
                <w:color w:val="auto"/>
              </w:rPr>
            </w:pPr>
          </w:p>
        </w:tc>
        <w:tc>
          <w:tcPr>
            <w:tcW w:w="124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Common Stock</w:t>
            </w:r>
          </w:p>
        </w:tc>
        <w:tc>
          <w:tcPr>
            <w:tcW w:w="7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50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2"/>
              </w:rPr>
              <w:t>Held By A Subsidiary</w:t>
            </w:r>
          </w:p>
        </w:tc>
        <w:tc>
          <w:tcPr>
            <w:tcW w:w="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0"/>
                <w:szCs w:val="10"/>
                <w:color w:val="auto"/>
              </w:rPr>
            </w:pPr>
          </w:p>
        </w:tc>
        <w:tc>
          <w:tcPr>
            <w:tcW w:w="62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w w:val="76"/>
              </w:rPr>
              <w:t>Retained</w:t>
            </w:r>
          </w:p>
        </w:tc>
        <w:tc>
          <w:tcPr>
            <w:tcW w:w="60" w:type="dxa"/>
            <w:vAlign w:val="bottom"/>
          </w:tcPr>
          <w:p>
            <w:pPr>
              <w:spacing w:after="0"/>
              <w:rPr>
                <w:sz w:val="10"/>
                <w:szCs w:val="10"/>
                <w:color w:val="auto"/>
              </w:rPr>
            </w:pPr>
          </w:p>
        </w:tc>
        <w:tc>
          <w:tcPr>
            <w:tcW w:w="98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85"/>
              </w:rPr>
              <w:t>Loss, Net of</w:t>
            </w:r>
          </w:p>
        </w:tc>
        <w:tc>
          <w:tcPr>
            <w:tcW w:w="1500" w:type="dxa"/>
            <w:vAlign w:val="bottom"/>
            <w:gridSpan w:val="4"/>
            <w:vMerge w:val="continue"/>
          </w:tcPr>
          <w:p>
            <w:pPr>
              <w:spacing w:after="0"/>
              <w:rPr>
                <w:sz w:val="10"/>
                <w:szCs w:val="10"/>
                <w:color w:val="auto"/>
              </w:rPr>
            </w:pPr>
          </w:p>
        </w:tc>
        <w:tc>
          <w:tcPr>
            <w:tcW w:w="8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w w:val="98"/>
              </w:rPr>
              <w:t>Shares(*)</w:t>
            </w: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79"/>
              </w:rPr>
              <w:t>Earnings</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Tax</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36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Balance – January 1, 2009</w:t>
            </w:r>
          </w:p>
        </w:tc>
        <w:tc>
          <w:tcPr>
            <w:tcW w:w="58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3"/>
                <w:szCs w:val="13"/>
                <w:b w:val="1"/>
                <w:bCs w:val="1"/>
                <w:color w:val="auto"/>
              </w:rPr>
              <w:t>31,745</w:t>
            </w:r>
          </w:p>
        </w:tc>
        <w:tc>
          <w:tcPr>
            <w:tcW w:w="260" w:type="dxa"/>
            <w:vAlign w:val="bottom"/>
            <w:shd w:val="clear" w:color="auto" w:fill="CCEEFF"/>
          </w:tcPr>
          <w:p>
            <w:pPr>
              <w:jc w:val="right"/>
              <w:ind w:right="15"/>
              <w:spacing w:after="0" w:line="137" w:lineRule="exact"/>
              <w:rPr>
                <w:sz w:val="20"/>
                <w:szCs w:val="20"/>
                <w:color w:val="auto"/>
              </w:rPr>
            </w:pPr>
            <w:r>
              <w:rPr>
                <w:rFonts w:ascii="Arial" w:cs="Arial" w:eastAsia="Arial" w:hAnsi="Arial"/>
                <w:sz w:val="13"/>
                <w:szCs w:val="13"/>
                <w:b w:val="1"/>
                <w:bCs w:val="1"/>
                <w:color w:val="auto"/>
                <w:w w:val="78"/>
              </w:rPr>
              <w:t>$—</w:t>
            </w:r>
          </w:p>
        </w:tc>
        <w:tc>
          <w:tcPr>
            <w:tcW w:w="840" w:type="dxa"/>
            <w:vAlign w:val="bottom"/>
            <w:gridSpan w:val="3"/>
            <w:shd w:val="clear" w:color="auto" w:fill="CCEEFF"/>
          </w:tcPr>
          <w:p>
            <w:pPr>
              <w:jc w:val="right"/>
              <w:ind w:right="80"/>
              <w:spacing w:after="0" w:line="137" w:lineRule="exact"/>
              <w:rPr>
                <w:sz w:val="20"/>
                <w:szCs w:val="20"/>
                <w:color w:val="auto"/>
              </w:rPr>
            </w:pPr>
            <w:r>
              <w:rPr>
                <w:rFonts w:ascii="Arial" w:cs="Arial" w:eastAsia="Arial" w:hAnsi="Arial"/>
                <w:sz w:val="13"/>
                <w:szCs w:val="13"/>
                <w:b w:val="1"/>
                <w:bCs w:val="1"/>
                <w:color w:val="auto"/>
              </w:rPr>
              <w:t>76,294,913</w:t>
            </w:r>
          </w:p>
        </w:tc>
        <w:tc>
          <w:tcPr>
            <w:tcW w:w="5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3"/>
                <w:szCs w:val="13"/>
                <w:b w:val="1"/>
                <w:bCs w:val="1"/>
                <w:color w:val="auto"/>
              </w:rPr>
              <w:t>$ 763</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429,694</w:t>
            </w: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3"/>
                <w:szCs w:val="13"/>
                <w:b w:val="1"/>
                <w:bCs w:val="1"/>
                <w:color w:val="auto"/>
                <w:w w:val="93"/>
              </w:rPr>
              <w:t>221,410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b w:val="1"/>
                <w:bCs w:val="1"/>
                <w:color w:val="auto"/>
              </w:rPr>
              <w:t>(79,435)</w:t>
            </w:r>
          </w:p>
        </w:tc>
        <w:tc>
          <w:tcPr>
            <w:tcW w:w="80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3"/>
                <w:szCs w:val="13"/>
                <w:b w:val="1"/>
                <w:bCs w:val="1"/>
                <w:color w:val="auto"/>
              </w:rPr>
              <w:t>9,376,162</w:t>
            </w:r>
          </w:p>
        </w:tc>
        <w:tc>
          <w:tcPr>
            <w:tcW w:w="70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3"/>
                <w:szCs w:val="13"/>
                <w:b w:val="1"/>
                <w:bCs w:val="1"/>
                <w:color w:val="auto"/>
                <w:w w:val="85"/>
              </w:rPr>
              <w:t>$(321,852)</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250,580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38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Net loss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w w:val="89"/>
              </w:rPr>
              <w:t>(130,242)</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(130,242)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ind w:left="200"/>
              <w:spacing w:after="0" w:line="144" w:lineRule="exact"/>
              <w:rPr>
                <w:sz w:val="20"/>
                <w:szCs w:val="20"/>
                <w:color w:val="auto"/>
              </w:rPr>
            </w:pPr>
            <w:r>
              <w:rPr>
                <w:rFonts w:ascii="Arial" w:cs="Arial" w:eastAsia="Arial" w:hAnsi="Arial"/>
                <w:sz w:val="13"/>
                <w:szCs w:val="13"/>
                <w:color w:val="auto"/>
              </w:rPr>
              <w:t>Other comprehensive income (loss) - net of tax:</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shd w:val="clear" w:color="auto" w:fill="CCEEFF"/>
          </w:tcPr>
          <w:p>
            <w:pPr>
              <w:ind w:left="620"/>
              <w:spacing w:after="0" w:line="144" w:lineRule="exact"/>
              <w:rPr>
                <w:sz w:val="20"/>
                <w:szCs w:val="20"/>
                <w:color w:val="auto"/>
              </w:rPr>
            </w:pPr>
            <w:r>
              <w:rPr>
                <w:rFonts w:ascii="Arial" w:cs="Arial" w:eastAsia="Arial" w:hAnsi="Arial"/>
                <w:sz w:val="13"/>
                <w:szCs w:val="13"/>
                <w:color w:val="auto"/>
              </w:rPr>
              <w:t>Currency translation adjustments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37,355</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37,355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ind w:left="620"/>
              <w:spacing w:after="0" w:line="144" w:lineRule="exact"/>
              <w:rPr>
                <w:sz w:val="20"/>
                <w:szCs w:val="20"/>
                <w:color w:val="auto"/>
              </w:rPr>
            </w:pPr>
            <w:r>
              <w:rPr>
                <w:rFonts w:ascii="Arial" w:cs="Arial" w:eastAsia="Arial" w:hAnsi="Arial"/>
                <w:sz w:val="13"/>
                <w:szCs w:val="13"/>
                <w:color w:val="auto"/>
              </w:rPr>
              <w:t>Amortization of interest rate hedge</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803</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803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shd w:val="clear" w:color="auto" w:fill="CCEEFF"/>
          </w:tcPr>
          <w:p>
            <w:pPr>
              <w:ind w:left="620"/>
              <w:spacing w:after="0" w:line="144" w:lineRule="exact"/>
              <w:rPr>
                <w:sz w:val="20"/>
                <w:szCs w:val="20"/>
                <w:color w:val="auto"/>
              </w:rPr>
            </w:pPr>
            <w:r>
              <w:rPr>
                <w:rFonts w:ascii="Arial" w:cs="Arial" w:eastAsia="Arial" w:hAnsi="Arial"/>
                <w:sz w:val="13"/>
                <w:szCs w:val="13"/>
                <w:color w:val="auto"/>
              </w:rPr>
              <w:t>Available-for-sale securities: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ind w:left="1020"/>
              <w:spacing w:after="0" w:line="144" w:lineRule="exact"/>
              <w:rPr>
                <w:sz w:val="20"/>
                <w:szCs w:val="20"/>
                <w:color w:val="auto"/>
              </w:rPr>
            </w:pPr>
            <w:r>
              <w:rPr>
                <w:rFonts w:ascii="Arial" w:cs="Arial" w:eastAsia="Arial" w:hAnsi="Arial"/>
                <w:sz w:val="13"/>
                <w:szCs w:val="13"/>
                <w:color w:val="auto"/>
              </w:rPr>
              <w:t>Net unrealized gain</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20,575</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20,575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shd w:val="clear" w:color="auto" w:fill="CCEEFF"/>
          </w:tcPr>
          <w:p>
            <w:pPr>
              <w:ind w:left="1020"/>
              <w:spacing w:after="0" w:line="144" w:lineRule="exact"/>
              <w:rPr>
                <w:sz w:val="20"/>
                <w:szCs w:val="20"/>
                <w:color w:val="auto"/>
              </w:rPr>
            </w:pPr>
            <w:r>
              <w:rPr>
                <w:rFonts w:ascii="Arial" w:cs="Arial" w:eastAsia="Arial" w:hAnsi="Arial"/>
                <w:sz w:val="13"/>
                <w:szCs w:val="13"/>
                <w:color w:val="auto"/>
              </w:rPr>
              <w:t>Adjustment for items reclassified to earnings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945</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ind w:left="620"/>
              <w:spacing w:after="0" w:line="144" w:lineRule="exact"/>
              <w:rPr>
                <w:sz w:val="20"/>
                <w:szCs w:val="20"/>
                <w:color w:val="auto"/>
              </w:rPr>
            </w:pPr>
            <w:r>
              <w:rPr>
                <w:rFonts w:ascii="Arial" w:cs="Arial" w:eastAsia="Arial" w:hAnsi="Arial"/>
                <w:sz w:val="13"/>
                <w:szCs w:val="13"/>
                <w:color w:val="auto"/>
              </w:rPr>
              <w:t>Employee benefit plans: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60" w:type="dxa"/>
            <w:vAlign w:val="bottom"/>
            <w:shd w:val="clear" w:color="auto" w:fill="CCEEFF"/>
          </w:tcPr>
          <w:p>
            <w:pPr>
              <w:ind w:left="1020"/>
              <w:spacing w:after="0"/>
              <w:rPr>
                <w:sz w:val="20"/>
                <w:szCs w:val="20"/>
                <w:color w:val="auto"/>
              </w:rPr>
            </w:pPr>
            <w:r>
              <w:rPr>
                <w:rFonts w:ascii="Arial" w:cs="Arial" w:eastAsia="Arial" w:hAnsi="Arial"/>
                <w:sz w:val="13"/>
                <w:szCs w:val="13"/>
                <w:color w:val="auto"/>
              </w:rPr>
              <w:t>Prior service costs</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(11,290)</w:t>
            </w: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ind w:left="1020"/>
              <w:spacing w:after="0" w:line="144" w:lineRule="exact"/>
              <w:rPr>
                <w:sz w:val="20"/>
                <w:szCs w:val="20"/>
                <w:color w:val="auto"/>
              </w:rPr>
            </w:pPr>
            <w:r>
              <w:rPr>
                <w:rFonts w:ascii="Arial" w:cs="Arial" w:eastAsia="Arial" w:hAnsi="Arial"/>
                <w:sz w:val="13"/>
                <w:szCs w:val="13"/>
                <w:color w:val="auto"/>
              </w:rPr>
              <w:t>Net actuarial loss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(13,573)</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(13,573)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shd w:val="clear" w:color="auto" w:fill="CCEEFF"/>
          </w:tcPr>
          <w:p>
            <w:pPr>
              <w:ind w:left="1020"/>
              <w:spacing w:after="0" w:line="144" w:lineRule="exact"/>
              <w:rPr>
                <w:sz w:val="20"/>
                <w:szCs w:val="20"/>
                <w:color w:val="auto"/>
              </w:rPr>
            </w:pPr>
            <w:r>
              <w:rPr>
                <w:rFonts w:ascii="Arial" w:cs="Arial" w:eastAsia="Arial" w:hAnsi="Arial"/>
                <w:sz w:val="13"/>
                <w:szCs w:val="13"/>
                <w:color w:val="auto"/>
              </w:rPr>
              <w:t>Adjustment for items reclassified to earnings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2,260</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2,260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ind w:left="200"/>
              <w:spacing w:after="0"/>
              <w:rPr>
                <w:sz w:val="20"/>
                <w:szCs w:val="20"/>
                <w:color w:val="auto"/>
              </w:rPr>
            </w:pPr>
            <w:r>
              <w:rPr>
                <w:rFonts w:ascii="Arial" w:cs="Arial" w:eastAsia="Arial" w:hAnsi="Arial"/>
                <w:sz w:val="13"/>
                <w:szCs w:val="13"/>
                <w:color w:val="auto"/>
              </w:rPr>
              <w:t>Comprehensive loss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(93,167)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Class A common stock issued/issuable in connection with business acquisitions</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and LAM Merger and related amortization</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1,473,866</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28,126</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28,141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spacing w:after="0" w:line="144" w:lineRule="exact"/>
              <w:rPr>
                <w:sz w:val="20"/>
                <w:szCs w:val="20"/>
                <w:color w:val="auto"/>
              </w:rPr>
            </w:pPr>
            <w:r>
              <w:rPr>
                <w:rFonts w:ascii="Arial" w:cs="Arial" w:eastAsia="Arial" w:hAnsi="Arial"/>
                <w:sz w:val="13"/>
                <w:szCs w:val="13"/>
                <w:color w:val="auto"/>
              </w:rPr>
              <w:t>Conversion of Series A preferred stock into Class A common stock</w:t>
            </w:r>
          </w:p>
        </w:tc>
        <w:tc>
          <w:tcPr>
            <w:tcW w:w="5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(4,862)</w:t>
            </w:r>
          </w:p>
        </w:tc>
        <w:tc>
          <w:tcPr>
            <w:tcW w:w="260" w:type="dxa"/>
            <w:vAlign w:val="bottom"/>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479,732</w:t>
            </w:r>
          </w:p>
        </w:tc>
        <w:tc>
          <w:tcPr>
            <w:tcW w:w="540" w:type="dxa"/>
            <w:vAlign w:val="bottom"/>
            <w:gridSpan w:val="3"/>
          </w:tcPr>
          <w:p>
            <w:pPr>
              <w:jc w:val="right"/>
              <w:ind w:right="140"/>
              <w:spacing w:after="0" w:line="144" w:lineRule="exact"/>
              <w:rPr>
                <w:sz w:val="20"/>
                <w:szCs w:val="20"/>
                <w:color w:val="auto"/>
              </w:rPr>
            </w:pPr>
            <w:r>
              <w:rPr>
                <w:rFonts w:ascii="Arial" w:cs="Arial" w:eastAsia="Arial" w:hAnsi="Arial"/>
                <w:sz w:val="13"/>
                <w:szCs w:val="13"/>
                <w:color w:val="auto"/>
              </w:rPr>
              <w:t>5</w:t>
            </w: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Amortization of share-based incentive compensation</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268,129</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268,129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spacing w:after="0" w:line="144" w:lineRule="exact"/>
              <w:rPr>
                <w:sz w:val="20"/>
                <w:szCs w:val="20"/>
                <w:color w:val="auto"/>
              </w:rPr>
            </w:pPr>
            <w:r>
              <w:rPr>
                <w:rFonts w:ascii="Arial" w:cs="Arial" w:eastAsia="Arial" w:hAnsi="Arial"/>
                <w:sz w:val="13"/>
                <w:szCs w:val="13"/>
                <w:color w:val="auto"/>
              </w:rPr>
              <w:t>Dividend-equivalents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4,951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(4,991)</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Class A common stock dividends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(33,451)</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(33,451)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spacing w:after="0" w:line="144" w:lineRule="exact"/>
              <w:rPr>
                <w:sz w:val="20"/>
                <w:szCs w:val="20"/>
                <w:color w:val="auto"/>
              </w:rPr>
            </w:pPr>
            <w:r>
              <w:rPr>
                <w:rFonts w:ascii="Arial" w:cs="Arial" w:eastAsia="Arial" w:hAnsi="Arial"/>
                <w:sz w:val="13"/>
                <w:szCs w:val="13"/>
                <w:color w:val="auto"/>
              </w:rPr>
              <w:t>Purchase of Class A common stock</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1,984,997</w:t>
            </w:r>
          </w:p>
        </w:tc>
        <w:tc>
          <w:tcPr>
            <w:tcW w:w="7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(50,479)</w:t>
            </w:r>
          </w:p>
        </w:tc>
        <w:tc>
          <w:tcPr>
            <w:tcW w:w="60" w:type="dxa"/>
            <w:vAlign w:val="bottom"/>
          </w:tcPr>
          <w:p>
            <w:pPr>
              <w:spacing w:after="0"/>
              <w:rPr>
                <w:sz w:val="12"/>
                <w:szCs w:val="12"/>
                <w:color w:val="auto"/>
              </w:rPr>
            </w:pPr>
          </w:p>
        </w:tc>
        <w:tc>
          <w:tcPr>
            <w:tcW w:w="7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(50,479)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Delivery of Class A common stock in connection with share-based incentive</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compensation</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(194,670)</w:t>
            </w: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(5,510,384)</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181,191</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spacing w:after="0" w:line="144" w:lineRule="exact"/>
              <w:rPr>
                <w:sz w:val="20"/>
                <w:szCs w:val="20"/>
                <w:color w:val="auto"/>
              </w:rPr>
            </w:pPr>
            <w:r>
              <w:rPr>
                <w:rFonts w:ascii="Arial" w:cs="Arial" w:eastAsia="Arial" w:hAnsi="Arial"/>
                <w:sz w:val="13"/>
                <w:szCs w:val="13"/>
                <w:color w:val="auto"/>
              </w:rPr>
              <w:t>Repurchase of common membership interests from LAZ-MD Holdings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(9,900)</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(9,900)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Class A common stock issued in exchange for Lazard Group common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membership interests, including in connection with secondary offerings</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13,917,402</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139</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(139)</w:t>
            </w: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spacing w:after="0" w:line="144" w:lineRule="exact"/>
              <w:rPr>
                <w:sz w:val="20"/>
                <w:szCs w:val="20"/>
                <w:color w:val="auto"/>
              </w:rPr>
            </w:pPr>
            <w:r>
              <w:rPr>
                <w:rFonts w:ascii="Arial" w:cs="Arial" w:eastAsia="Arial" w:hAnsi="Arial"/>
                <w:sz w:val="13"/>
                <w:szCs w:val="13"/>
                <w:color w:val="auto"/>
              </w:rPr>
              <w:t>Adjustments related to noncontrolling interests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23,745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(14,688)</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9,057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Balance – December 31, 2009</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26,883</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b w:val="1"/>
                <w:bCs w:val="1"/>
                <w:color w:val="auto"/>
                <w:w w:val="78"/>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b w:val="1"/>
                <w:bCs w:val="1"/>
                <w:color w:val="auto"/>
                <w:w w:val="92"/>
              </w:rPr>
              <w:t>92,165,913</w:t>
            </w:r>
          </w:p>
        </w:tc>
        <w:tc>
          <w:tcPr>
            <w:tcW w:w="540" w:type="dxa"/>
            <w:vAlign w:val="bottom"/>
            <w:gridSpan w:val="3"/>
            <w:shd w:val="clear" w:color="auto" w:fill="CCEEFF"/>
          </w:tcPr>
          <w:p>
            <w:pPr>
              <w:jc w:val="right"/>
              <w:ind w:right="140"/>
              <w:spacing w:after="0" w:line="144" w:lineRule="exact"/>
              <w:rPr>
                <w:sz w:val="20"/>
                <w:szCs w:val="20"/>
                <w:color w:val="auto"/>
              </w:rPr>
            </w:pPr>
            <w:r>
              <w:rPr>
                <w:rFonts w:ascii="Arial" w:cs="Arial" w:eastAsia="Arial" w:hAnsi="Arial"/>
                <w:sz w:val="13"/>
                <w:szCs w:val="13"/>
                <w:b w:val="1"/>
                <w:bCs w:val="1"/>
                <w:color w:val="auto"/>
              </w:rPr>
              <w:t>$ 922</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549,931</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b w:val="1"/>
                <w:bCs w:val="1"/>
                <w:color w:val="auto"/>
              </w:rPr>
              <w:t>52,726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b w:val="1"/>
                <w:bCs w:val="1"/>
                <w:color w:val="auto"/>
              </w:rPr>
              <w:t>(57,048)</w:t>
            </w:r>
          </w:p>
        </w:tc>
        <w:tc>
          <w:tcPr>
            <w:tcW w:w="8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b w:val="1"/>
                <w:bCs w:val="1"/>
                <w:color w:val="auto"/>
              </w:rPr>
              <w:t>5,850,775</w:t>
            </w: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(191,140)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355,391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8" w:right="2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LAZARD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(parent company only)</w:t>
      </w:r>
    </w:p>
    <w:p>
      <w:pPr>
        <w:spacing w:after="0" w:line="68" w:lineRule="exact"/>
        <w:rPr>
          <w:sz w:val="20"/>
          <w:szCs w:val="20"/>
          <w:color w:val="auto"/>
        </w:rPr>
      </w:pPr>
    </w:p>
    <w:p>
      <w:pPr>
        <w:jc w:val="center"/>
        <w:spacing w:after="0" w:line="270" w:lineRule="auto"/>
        <w:rPr>
          <w:sz w:val="20"/>
          <w:szCs w:val="20"/>
          <w:color w:val="auto"/>
        </w:rPr>
      </w:pPr>
      <w:r>
        <w:rPr>
          <w:rFonts w:ascii="Arial" w:cs="Arial" w:eastAsia="Arial" w:hAnsi="Arial"/>
          <w:sz w:val="17"/>
          <w:szCs w:val="17"/>
          <w:b w:val="1"/>
          <w:bCs w:val="1"/>
          <w:color w:val="auto"/>
        </w:rPr>
        <w:t>CONDENSED STATEMENTS OF CHANGES IN STOCKHOLDERS’ EQUITY FOR THE YEARS ENDED DECEMBER 31, 2010, 2009 AND 2008—(Continued)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Accumulated</w:t>
            </w:r>
          </w:p>
        </w:tc>
        <w:tc>
          <w:tcPr>
            <w:tcW w:w="150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87"/>
              </w:rPr>
              <w:t>Class A</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2"/>
            <w:vMerge w:val="restart"/>
          </w:tcPr>
          <w:p>
            <w:pPr>
              <w:jc w:val="center"/>
              <w:ind w:right="220"/>
              <w:spacing w:after="0" w:line="144" w:lineRule="exact"/>
              <w:rPr>
                <w:sz w:val="20"/>
                <w:szCs w:val="20"/>
                <w:color w:val="auto"/>
              </w:rPr>
            </w:pPr>
            <w:r>
              <w:rPr>
                <w:rFonts w:ascii="Arial" w:cs="Arial" w:eastAsia="Arial" w:hAnsi="Arial"/>
                <w:sz w:val="13"/>
                <w:szCs w:val="13"/>
                <w:b w:val="1"/>
                <w:bCs w:val="1"/>
                <w:color w:val="auto"/>
                <w:w w:val="92"/>
              </w:rPr>
              <w:t>Other</w:t>
            </w:r>
          </w:p>
        </w:tc>
        <w:tc>
          <w:tcPr>
            <w:tcW w:w="150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right"/>
              <w:ind w:right="32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160" w:type="dxa"/>
            <w:vAlign w:val="bottom"/>
          </w:tcPr>
          <w:p>
            <w:pPr>
              <w:spacing w:after="0"/>
              <w:rPr>
                <w:sz w:val="4"/>
                <w:szCs w:val="4"/>
                <w:color w:val="auto"/>
              </w:rPr>
            </w:pPr>
          </w:p>
        </w:tc>
        <w:tc>
          <w:tcPr>
            <w:tcW w:w="720" w:type="dxa"/>
            <w:vAlign w:val="bottom"/>
            <w:gridSpan w:val="3"/>
            <w:vMerge w:val="restart"/>
          </w:tcPr>
          <w:p>
            <w:pPr>
              <w:jc w:val="center"/>
              <w:ind w:left="155"/>
              <w:spacing w:after="0" w:line="144" w:lineRule="exact"/>
              <w:rPr>
                <w:sz w:val="20"/>
                <w:szCs w:val="20"/>
                <w:color w:val="auto"/>
              </w:rPr>
            </w:pPr>
            <w:r>
              <w:rPr>
                <w:rFonts w:ascii="Arial" w:cs="Arial" w:eastAsia="Arial" w:hAnsi="Arial"/>
                <w:sz w:val="13"/>
                <w:szCs w:val="13"/>
                <w:b w:val="1"/>
                <w:bCs w:val="1"/>
                <w:color w:val="auto"/>
                <w:w w:val="88"/>
              </w:rPr>
              <w:t>Series A</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00" w:type="dxa"/>
            <w:vAlign w:val="bottom"/>
            <w:gridSpan w:val="4"/>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Common Stock</w:t>
            </w:r>
          </w:p>
        </w:tc>
        <w:tc>
          <w:tcPr>
            <w:tcW w:w="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16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2"/>
            <w:vMerge w:val="restart"/>
          </w:tcPr>
          <w:p>
            <w:pPr>
              <w:spacing w:after="0" w:line="144"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3"/>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Comprehensive</w:t>
            </w:r>
          </w:p>
        </w:tc>
        <w:tc>
          <w:tcPr>
            <w:tcW w:w="150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right"/>
              <w:ind w:right="140"/>
              <w:spacing w:after="0" w:line="144" w:lineRule="exact"/>
              <w:rPr>
                <w:sz w:val="20"/>
                <w:szCs w:val="20"/>
                <w:color w:val="auto"/>
              </w:rPr>
            </w:pPr>
            <w:r>
              <w:rPr>
                <w:rFonts w:ascii="Arial" w:cs="Arial" w:eastAsia="Arial" w:hAnsi="Arial"/>
                <w:sz w:val="13"/>
                <w:szCs w:val="13"/>
                <w:b w:val="1"/>
                <w:bCs w:val="1"/>
                <w:color w:val="auto"/>
                <w:w w:val="94"/>
              </w:rPr>
              <w:t>Lazard Ltd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160" w:type="dxa"/>
            <w:vAlign w:val="bottom"/>
          </w:tcPr>
          <w:p>
            <w:pPr>
              <w:spacing w:after="0"/>
              <w:rPr>
                <w:sz w:val="4"/>
                <w:szCs w:val="4"/>
                <w:color w:val="auto"/>
              </w:rPr>
            </w:pPr>
          </w:p>
        </w:tc>
        <w:tc>
          <w:tcPr>
            <w:tcW w:w="9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0"/>
              </w:rPr>
              <w:t>Preferred Stock</w:t>
            </w:r>
          </w:p>
        </w:tc>
        <w:tc>
          <w:tcPr>
            <w:tcW w:w="140" w:type="dxa"/>
            <w:vAlign w:val="bottom"/>
          </w:tcPr>
          <w:p>
            <w:pPr>
              <w:spacing w:after="0"/>
              <w:rPr>
                <w:sz w:val="4"/>
                <w:szCs w:val="4"/>
                <w:color w:val="auto"/>
              </w:rPr>
            </w:pPr>
          </w:p>
        </w:tc>
        <w:tc>
          <w:tcPr>
            <w:tcW w:w="1200" w:type="dxa"/>
            <w:vAlign w:val="bottom"/>
            <w:gridSpan w:val="4"/>
            <w:vMerge w:val="restart"/>
          </w:tcPr>
          <w:p>
            <w:pPr>
              <w:jc w:val="right"/>
              <w:ind w:right="115"/>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50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2"/>
              </w:rPr>
              <w:t>Held By A Subsidiary</w:t>
            </w:r>
          </w:p>
        </w:tc>
        <w:tc>
          <w:tcPr>
            <w:tcW w:w="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rPr>
              <w:t>Paid-In-</w:t>
            </w:r>
          </w:p>
        </w:tc>
        <w:tc>
          <w:tcPr>
            <w:tcW w:w="66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0"/>
                <w:szCs w:val="10"/>
                <w:color w:val="auto"/>
              </w:rPr>
            </w:pPr>
          </w:p>
        </w:tc>
        <w:tc>
          <w:tcPr>
            <w:tcW w:w="98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85"/>
              </w:rPr>
              <w:t>Loss, Net of</w:t>
            </w:r>
          </w:p>
        </w:tc>
        <w:tc>
          <w:tcPr>
            <w:tcW w:w="1500" w:type="dxa"/>
            <w:vAlign w:val="bottom"/>
            <w:gridSpan w:val="4"/>
            <w:vMerge w:val="continue"/>
          </w:tcPr>
          <w:p>
            <w:pPr>
              <w:spacing w:after="0"/>
              <w:rPr>
                <w:sz w:val="10"/>
                <w:szCs w:val="10"/>
                <w:color w:val="auto"/>
              </w:rPr>
            </w:pPr>
          </w:p>
        </w:tc>
        <w:tc>
          <w:tcPr>
            <w:tcW w:w="8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Tax</w:t>
            </w:r>
          </w:p>
        </w:tc>
        <w:tc>
          <w:tcPr>
            <w:tcW w:w="8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416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Balance – January 1, 2010</w:t>
            </w:r>
          </w:p>
        </w:tc>
        <w:tc>
          <w:tcPr>
            <w:tcW w:w="56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3"/>
                <w:szCs w:val="13"/>
                <w:b w:val="1"/>
                <w:bCs w:val="1"/>
                <w:color w:val="auto"/>
                <w:w w:val="95"/>
              </w:rPr>
              <w:t>26,883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240" w:type="dxa"/>
            <w:vAlign w:val="bottom"/>
            <w:shd w:val="clear" w:color="auto" w:fill="CCEEFF"/>
          </w:tcPr>
          <w:p>
            <w:pPr>
              <w:ind w:left="40"/>
              <w:spacing w:after="0" w:line="137"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92,165,913</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  922</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5"/>
                <w:szCs w:val="5"/>
                <w:b w:val="1"/>
                <w:bCs w:val="1"/>
                <w:color w:val="auto"/>
                <w:w w:val="70"/>
              </w:rPr>
              <w:t>$</w:t>
            </w:r>
          </w:p>
        </w:tc>
        <w:tc>
          <w:tcPr>
            <w:tcW w:w="70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3"/>
                <w:szCs w:val="13"/>
                <w:b w:val="1"/>
                <w:bCs w:val="1"/>
                <w:color w:val="auto"/>
              </w:rPr>
              <w:t>549,931</w:t>
            </w:r>
          </w:p>
        </w:tc>
        <w:tc>
          <w:tcPr>
            <w:tcW w:w="8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w w:val="82"/>
              </w:rPr>
              <w:t>$</w:t>
            </w:r>
          </w:p>
        </w:tc>
        <w:tc>
          <w:tcPr>
            <w:tcW w:w="58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3"/>
                <w:szCs w:val="13"/>
                <w:b w:val="1"/>
                <w:bCs w:val="1"/>
                <w:color w:val="auto"/>
              </w:rPr>
              <w:t>52,726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b w:val="1"/>
                <w:bCs w:val="1"/>
                <w:color w:val="auto"/>
              </w:rPr>
              <w:t>(57,048)</w:t>
            </w:r>
          </w:p>
        </w:tc>
        <w:tc>
          <w:tcPr>
            <w:tcW w:w="80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3"/>
                <w:szCs w:val="13"/>
                <w:b w:val="1"/>
                <w:bCs w:val="1"/>
                <w:color w:val="auto"/>
              </w:rPr>
              <w:t>5,850,775</w:t>
            </w:r>
          </w:p>
        </w:tc>
        <w:tc>
          <w:tcPr>
            <w:tcW w:w="70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3"/>
                <w:szCs w:val="13"/>
                <w:b w:val="1"/>
                <w:bCs w:val="1"/>
                <w:color w:val="auto"/>
                <w:w w:val="85"/>
              </w:rPr>
              <w:t>$(191,140)</w:t>
            </w: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355,391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18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Net income</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85"/>
              </w:rPr>
              <w:t>174,979</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174,979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ind w:left="200"/>
              <w:spacing w:after="0" w:line="144" w:lineRule="exact"/>
              <w:rPr>
                <w:sz w:val="20"/>
                <w:szCs w:val="20"/>
                <w:color w:val="auto"/>
              </w:rPr>
            </w:pPr>
            <w:r>
              <w:rPr>
                <w:rFonts w:ascii="Arial" w:cs="Arial" w:eastAsia="Arial" w:hAnsi="Arial"/>
                <w:sz w:val="13"/>
                <w:szCs w:val="13"/>
                <w:color w:val="auto"/>
              </w:rPr>
              <w:t>Other comprehensive income (loss) - net of tax:</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shd w:val="clear" w:color="auto" w:fill="CCEEFF"/>
          </w:tcPr>
          <w:p>
            <w:pPr>
              <w:ind w:left="620"/>
              <w:spacing w:after="0" w:line="144" w:lineRule="exact"/>
              <w:rPr>
                <w:sz w:val="20"/>
                <w:szCs w:val="20"/>
                <w:color w:val="auto"/>
              </w:rPr>
            </w:pPr>
            <w:r>
              <w:rPr>
                <w:rFonts w:ascii="Arial" w:cs="Arial" w:eastAsia="Arial" w:hAnsi="Arial"/>
                <w:sz w:val="13"/>
                <w:szCs w:val="13"/>
                <w:color w:val="auto"/>
              </w:rPr>
              <w:t>Currency translation adjustments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(8,937)</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(8,937)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ind w:left="620"/>
              <w:spacing w:after="0" w:line="144" w:lineRule="exact"/>
              <w:rPr>
                <w:sz w:val="20"/>
                <w:szCs w:val="20"/>
                <w:color w:val="auto"/>
              </w:rPr>
            </w:pPr>
            <w:r>
              <w:rPr>
                <w:rFonts w:ascii="Arial" w:cs="Arial" w:eastAsia="Arial" w:hAnsi="Arial"/>
                <w:sz w:val="13"/>
                <w:szCs w:val="13"/>
                <w:color w:val="auto"/>
              </w:rPr>
              <w:t>Amortization of interest rate hedge</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1,093</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1,093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shd w:val="clear" w:color="auto" w:fill="CCEEFF"/>
          </w:tcPr>
          <w:p>
            <w:pPr>
              <w:ind w:left="620"/>
              <w:spacing w:after="0" w:line="144" w:lineRule="exact"/>
              <w:rPr>
                <w:sz w:val="20"/>
                <w:szCs w:val="20"/>
                <w:color w:val="auto"/>
              </w:rPr>
            </w:pPr>
            <w:r>
              <w:rPr>
                <w:rFonts w:ascii="Arial" w:cs="Arial" w:eastAsia="Arial" w:hAnsi="Arial"/>
                <w:sz w:val="13"/>
                <w:szCs w:val="13"/>
                <w:color w:val="auto"/>
              </w:rPr>
              <w:t>Available-for-sale securities: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ind w:left="1020"/>
              <w:spacing w:after="0" w:line="144" w:lineRule="exact"/>
              <w:rPr>
                <w:sz w:val="20"/>
                <w:szCs w:val="20"/>
                <w:color w:val="auto"/>
              </w:rPr>
            </w:pPr>
            <w:r>
              <w:rPr>
                <w:rFonts w:ascii="Arial" w:cs="Arial" w:eastAsia="Arial" w:hAnsi="Arial"/>
                <w:sz w:val="13"/>
                <w:szCs w:val="13"/>
                <w:color w:val="auto"/>
              </w:rPr>
              <w:t>Net unrealized gain</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2,941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2,941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shd w:val="clear" w:color="auto" w:fill="CCEEFF"/>
          </w:tcPr>
          <w:p>
            <w:pPr>
              <w:ind w:left="1020"/>
              <w:spacing w:after="0" w:line="144" w:lineRule="exact"/>
              <w:rPr>
                <w:sz w:val="20"/>
                <w:szCs w:val="20"/>
                <w:color w:val="auto"/>
              </w:rPr>
            </w:pPr>
            <w:r>
              <w:rPr>
                <w:rFonts w:ascii="Arial" w:cs="Arial" w:eastAsia="Arial" w:hAnsi="Arial"/>
                <w:sz w:val="13"/>
                <w:szCs w:val="13"/>
                <w:color w:val="auto"/>
              </w:rPr>
              <w:t>Adjustment for items reclassified to earnings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8,930</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8,930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ind w:left="620"/>
              <w:spacing w:after="0" w:line="144" w:lineRule="exact"/>
              <w:rPr>
                <w:sz w:val="20"/>
                <w:szCs w:val="20"/>
                <w:color w:val="auto"/>
              </w:rPr>
            </w:pPr>
            <w:r>
              <w:rPr>
                <w:rFonts w:ascii="Arial" w:cs="Arial" w:eastAsia="Arial" w:hAnsi="Arial"/>
                <w:sz w:val="13"/>
                <w:szCs w:val="13"/>
                <w:color w:val="auto"/>
              </w:rPr>
              <w:t>Employee benefit plans: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shd w:val="clear" w:color="auto" w:fill="CCEEFF"/>
          </w:tcPr>
          <w:p>
            <w:pPr>
              <w:ind w:left="1020"/>
              <w:spacing w:after="0" w:line="144" w:lineRule="exact"/>
              <w:rPr>
                <w:sz w:val="20"/>
                <w:szCs w:val="20"/>
                <w:color w:val="auto"/>
              </w:rPr>
            </w:pPr>
            <w:r>
              <w:rPr>
                <w:rFonts w:ascii="Arial" w:cs="Arial" w:eastAsia="Arial" w:hAnsi="Arial"/>
                <w:sz w:val="13"/>
                <w:szCs w:val="13"/>
                <w:color w:val="auto"/>
              </w:rPr>
              <w:t>Net actuarial gain</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16,769</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16,769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60" w:type="dxa"/>
            <w:vAlign w:val="bottom"/>
          </w:tcPr>
          <w:p>
            <w:pPr>
              <w:ind w:left="1020"/>
              <w:spacing w:after="0" w:line="144" w:lineRule="exact"/>
              <w:rPr>
                <w:sz w:val="20"/>
                <w:szCs w:val="20"/>
                <w:color w:val="auto"/>
              </w:rPr>
            </w:pPr>
            <w:r>
              <w:rPr>
                <w:rFonts w:ascii="Arial" w:cs="Arial" w:eastAsia="Arial" w:hAnsi="Arial"/>
                <w:sz w:val="13"/>
                <w:szCs w:val="13"/>
                <w:color w:val="auto"/>
              </w:rPr>
              <w:t>Adjustment for items reclassified to earnings</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1,544</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1,544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Comprehensive income</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197,319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80" w:type="dxa"/>
            <w:vAlign w:val="bottom"/>
            <w:gridSpan w:val="2"/>
          </w:tcPr>
          <w:p>
            <w:pPr>
              <w:spacing w:after="0" w:line="141" w:lineRule="exact"/>
              <w:rPr>
                <w:sz w:val="20"/>
                <w:szCs w:val="20"/>
                <w:color w:val="auto"/>
              </w:rPr>
            </w:pPr>
            <w:r>
              <w:rPr>
                <w:rFonts w:ascii="Arial" w:cs="Arial" w:eastAsia="Arial" w:hAnsi="Arial"/>
                <w:sz w:val="13"/>
                <w:szCs w:val="13"/>
                <w:color w:val="auto"/>
              </w:rPr>
              <w:t>Class A common stock issued/issuable in connection with business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60" w:type="dxa"/>
            <w:vAlign w:val="bottom"/>
          </w:tcPr>
          <w:p>
            <w:pPr>
              <w:ind w:left="200"/>
              <w:spacing w:after="0"/>
              <w:rPr>
                <w:sz w:val="20"/>
                <w:szCs w:val="20"/>
                <w:color w:val="auto"/>
              </w:rPr>
            </w:pPr>
            <w:r>
              <w:rPr>
                <w:rFonts w:ascii="Arial" w:cs="Arial" w:eastAsia="Arial" w:hAnsi="Arial"/>
                <w:sz w:val="13"/>
                <w:szCs w:val="13"/>
                <w:color w:val="auto"/>
              </w:rPr>
              <w:t>acquisitions and LAM Merger and related amortization</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315,617</w:t>
            </w: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46,220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46,223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Conversion of Series A preferred stock into Class A common stock</w:t>
            </w:r>
          </w:p>
        </w:tc>
        <w:tc>
          <w:tcPr>
            <w:tcW w:w="5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(4,862)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572,988</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6</w:t>
            </w:r>
          </w:p>
        </w:tc>
        <w:tc>
          <w:tcPr>
            <w:tcW w:w="2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line="144" w:lineRule="exact"/>
              <w:rPr>
                <w:sz w:val="20"/>
                <w:szCs w:val="20"/>
                <w:color w:val="auto"/>
              </w:rPr>
            </w:pPr>
            <w:r>
              <w:rPr>
                <w:rFonts w:ascii="Arial" w:cs="Arial" w:eastAsia="Arial" w:hAnsi="Arial"/>
                <w:sz w:val="13"/>
                <w:szCs w:val="13"/>
                <w:color w:val="auto"/>
              </w:rPr>
              <w:t>Amortization of share-based incentive compensation</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286,957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286,957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Dividend-equivalents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10,606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w w:val="94"/>
              </w:rPr>
              <w:t>(10,656)</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line="144" w:lineRule="exact"/>
              <w:rPr>
                <w:sz w:val="20"/>
                <w:szCs w:val="20"/>
                <w:color w:val="auto"/>
              </w:rPr>
            </w:pPr>
            <w:r>
              <w:rPr>
                <w:rFonts w:ascii="Arial" w:cs="Arial" w:eastAsia="Arial" w:hAnsi="Arial"/>
                <w:sz w:val="13"/>
                <w:szCs w:val="13"/>
                <w:color w:val="auto"/>
              </w:rPr>
              <w:t>Class A common stock dividends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w w:val="94"/>
              </w:rPr>
              <w:t>(50,581)</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(50,581)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Purchase of Class A common stock</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4,686,892</w:t>
            </w: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6"/>
              </w:rPr>
              <w:t>(149,981)</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(149,981)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w w:val="95"/>
              </w:rPr>
              <w:t>Delivery of Class A common stock in connection with share-based incentive</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60" w:type="dxa"/>
            <w:vAlign w:val="bottom"/>
          </w:tcPr>
          <w:p>
            <w:pPr>
              <w:ind w:left="200"/>
              <w:spacing w:after="0"/>
              <w:rPr>
                <w:sz w:val="20"/>
                <w:szCs w:val="20"/>
                <w:color w:val="auto"/>
              </w:rPr>
            </w:pPr>
            <w:r>
              <w:rPr>
                <w:rFonts w:ascii="Arial" w:cs="Arial" w:eastAsia="Arial" w:hAnsi="Arial"/>
                <w:sz w:val="13"/>
                <w:szCs w:val="13"/>
                <w:color w:val="auto"/>
              </w:rPr>
              <w:t>compensation</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(286,847)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(6,690,159)</w:t>
            </w:r>
          </w:p>
        </w:tc>
        <w:tc>
          <w:tcPr>
            <w:tcW w:w="520" w:type="dxa"/>
            <w:vAlign w:val="bottom"/>
          </w:tcPr>
          <w:p>
            <w:pPr>
              <w:jc w:val="right"/>
              <w:spacing w:after="0"/>
              <w:rPr>
                <w:sz w:val="20"/>
                <w:szCs w:val="20"/>
                <w:color w:val="auto"/>
              </w:rPr>
            </w:pPr>
            <w:r>
              <w:rPr>
                <w:rFonts w:ascii="Arial" w:cs="Arial" w:eastAsia="Arial" w:hAnsi="Arial"/>
                <w:sz w:val="13"/>
                <w:szCs w:val="13"/>
                <w:color w:val="auto"/>
              </w:rPr>
              <w:t>229,271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(57,576)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Repurchase of common membership interests from LAZ-MD Holdings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(6,812)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(6,812)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line="144" w:lineRule="exact"/>
              <w:rPr>
                <w:sz w:val="20"/>
                <w:szCs w:val="20"/>
                <w:color w:val="auto"/>
              </w:rPr>
            </w:pPr>
            <w:r>
              <w:rPr>
                <w:rFonts w:ascii="Arial" w:cs="Arial" w:eastAsia="Arial" w:hAnsi="Arial"/>
                <w:sz w:val="13"/>
                <w:szCs w:val="13"/>
                <w:color w:val="auto"/>
              </w:rPr>
              <w:t>Issuance of Class A common stock</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2"/>
                <w:szCs w:val="12"/>
                <w:color w:val="auto"/>
              </w:rPr>
            </w:pPr>
          </w:p>
        </w:tc>
        <w:tc>
          <w:tcPr>
            <w:tcW w:w="4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30</w:t>
            </w:r>
          </w:p>
        </w:tc>
        <w:tc>
          <w:tcPr>
            <w:tcW w:w="200" w:type="dxa"/>
            <w:vAlign w:val="bottom"/>
          </w:tcPr>
          <w:p>
            <w:pPr>
              <w:spacing w:after="0"/>
              <w:rPr>
                <w:sz w:val="12"/>
                <w:szCs w:val="12"/>
                <w:color w:val="auto"/>
              </w:rPr>
            </w:pPr>
          </w:p>
        </w:tc>
        <w:tc>
          <w:tcPr>
            <w:tcW w:w="7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116,070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3,000,000</w:t>
            </w:r>
          </w:p>
        </w:tc>
        <w:tc>
          <w:tcPr>
            <w:tcW w:w="7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w w:val="96"/>
              </w:rPr>
              <w:t>(116,100)</w:t>
            </w: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Class A common stock issued in exchange for Lazard Group common</w:t>
            </w: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6"/>
              </w:rPr>
              <w:t>membership interests, including in connection with secondary offerings</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23,643,419</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2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line="144" w:lineRule="exact"/>
              <w:rPr>
                <w:sz w:val="20"/>
                <w:szCs w:val="20"/>
                <w:color w:val="auto"/>
              </w:rPr>
            </w:pPr>
            <w:r>
              <w:rPr>
                <w:rFonts w:ascii="Arial" w:cs="Arial" w:eastAsia="Arial" w:hAnsi="Arial"/>
                <w:sz w:val="13"/>
                <w:szCs w:val="13"/>
                <w:color w:val="auto"/>
              </w:rPr>
              <w:t>Adjustments related to noncontrolling interests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42,958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(11,450)</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31,508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Balance – December 31, 2010</w:t>
            </w:r>
          </w:p>
        </w:tc>
        <w:tc>
          <w:tcPr>
            <w:tcW w:w="5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b w:val="1"/>
                <w:bCs w:val="1"/>
                <w:color w:val="auto"/>
                <w:w w:val="95"/>
              </w:rPr>
              <w:t>22,021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24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w:t>
            </w:r>
          </w:p>
        </w:tc>
        <w:tc>
          <w:tcPr>
            <w:tcW w:w="90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b w:val="1"/>
                <w:bCs w:val="1"/>
                <w:color w:val="auto"/>
              </w:rPr>
              <w:t>119,697,937</w:t>
            </w:r>
          </w:p>
        </w:tc>
        <w:tc>
          <w:tcPr>
            <w:tcW w:w="4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1,197</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5"/>
                <w:szCs w:val="5"/>
                <w:b w:val="1"/>
                <w:bCs w:val="1"/>
                <w:color w:val="auto"/>
                <w:w w:val="70"/>
              </w:rPr>
              <w:t>$</w:t>
            </w:r>
          </w:p>
        </w:tc>
        <w:tc>
          <w:tcPr>
            <w:tcW w:w="7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b w:val="1"/>
                <w:bCs w:val="1"/>
                <w:color w:val="auto"/>
              </w:rPr>
              <w:t>758,841</w:t>
            </w:r>
          </w:p>
        </w:tc>
        <w:tc>
          <w:tcPr>
            <w:tcW w:w="8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w w:val="82"/>
              </w:rPr>
              <w:t>$</w:t>
            </w:r>
          </w:p>
        </w:tc>
        <w:tc>
          <w:tcPr>
            <w:tcW w:w="5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b w:val="1"/>
                <w:bCs w:val="1"/>
                <w:color w:val="auto"/>
                <w:w w:val="85"/>
              </w:rPr>
              <w:t>166,468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b w:val="1"/>
                <w:bCs w:val="1"/>
                <w:color w:val="auto"/>
              </w:rPr>
              <w:t>(46,158)</w:t>
            </w:r>
          </w:p>
        </w:tc>
        <w:tc>
          <w:tcPr>
            <w:tcW w:w="8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b w:val="1"/>
                <w:bCs w:val="1"/>
                <w:color w:val="auto"/>
              </w:rPr>
              <w:t>6,847,508</w:t>
            </w: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(227,950)</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652,398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340" w:right="280" w:hanging="336"/>
        <w:spacing w:after="0" w:line="183" w:lineRule="auto"/>
        <w:tabs>
          <w:tab w:leader="none" w:pos="340" w:val="left"/>
        </w:tabs>
        <w:numPr>
          <w:ilvl w:val="0"/>
          <w:numId w:val="80"/>
        </w:numPr>
        <w:rPr>
          <w:rFonts w:ascii="Arial" w:cs="Arial" w:eastAsia="Arial" w:hAnsi="Arial"/>
          <w:sz w:val="22"/>
          <w:szCs w:val="22"/>
          <w:color w:val="auto"/>
          <w:vertAlign w:val="superscript"/>
        </w:rPr>
      </w:pPr>
      <w:r>
        <w:rPr>
          <w:rFonts w:ascii="Arial" w:cs="Arial" w:eastAsia="Arial" w:hAnsi="Arial"/>
          <w:sz w:val="13"/>
          <w:szCs w:val="13"/>
          <w:color w:val="auto"/>
        </w:rPr>
        <w:t>Includes 76,294,912, 92,165,912 and 119,697,936 shares of the Company’s Class A common stock issued at December 31, 2008, 2009 and 2010,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-213360</wp:posOffset>
            </wp:positionV>
            <wp:extent cx="7289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48" w:right="2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LAZARD LTD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(parent company only)</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161" w:lineRule="exact"/>
        <w:rPr>
          <w:sz w:val="20"/>
          <w:szCs w:val="20"/>
          <w:color w:val="auto"/>
        </w:rPr>
      </w:pPr>
    </w:p>
    <w:p>
      <w:pPr>
        <w:ind w:left="300" w:hanging="296"/>
        <w:spacing w:after="0"/>
        <w:tabs>
          <w:tab w:leader="none" w:pos="300" w:val="left"/>
        </w:tabs>
        <w:numPr>
          <w:ilvl w:val="0"/>
          <w:numId w:val="8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BASIS OF PRESENTATION</w:t>
      </w:r>
    </w:p>
    <w:p>
      <w:pPr>
        <w:spacing w:after="0" w:line="79" w:lineRule="exact"/>
        <w:rPr>
          <w:sz w:val="20"/>
          <w:szCs w:val="20"/>
          <w:color w:val="auto"/>
        </w:rPr>
      </w:pPr>
    </w:p>
    <w:p>
      <w:pPr>
        <w:ind w:right="400" w:firstLine="457"/>
        <w:spacing w:after="0" w:line="280" w:lineRule="auto"/>
        <w:rPr>
          <w:sz w:val="20"/>
          <w:szCs w:val="20"/>
          <w:color w:val="auto"/>
        </w:rPr>
      </w:pPr>
      <w:r>
        <w:rPr>
          <w:rFonts w:ascii="Arial" w:cs="Arial" w:eastAsia="Arial" w:hAnsi="Arial"/>
          <w:sz w:val="17"/>
          <w:szCs w:val="17"/>
          <w:color w:val="auto"/>
        </w:rPr>
        <w:t>The accompanying Lazard Ltd condensed financial statements (the “Parent Company Financial Statements”), including the notes thereto, should be read in conjunction with the consolidated financial statements of Lazard Ltd and its subsidiaries (“the Company”) and the notes thereto.</w:t>
      </w:r>
    </w:p>
    <w:p>
      <w:pPr>
        <w:spacing w:after="0" w:line="105"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The Parent Company Financial Statements as of December 31, 2010 and 2009, and for each of the three years in the period ended December 31, 2010,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Parent Company Financial Statements include investments in subsidiaries, accounted for under the equity method.</w:t>
      </w:r>
    </w:p>
    <w:p>
      <w:pPr>
        <w:spacing w:after="0" w:line="15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40" w:top="448" w:right="25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SIGNATURES</w:t>
      </w:r>
    </w:p>
    <w:p>
      <w:pPr>
        <w:spacing w:after="0" w:line="161" w:lineRule="exact"/>
        <w:rPr>
          <w:sz w:val="20"/>
          <w:szCs w:val="20"/>
          <w:color w:val="auto"/>
        </w:rPr>
      </w:pPr>
    </w:p>
    <w:p>
      <w:pPr>
        <w:ind w:firstLine="457"/>
        <w:spacing w:after="0" w:line="280"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28, 2011</w:t>
      </w:r>
    </w:p>
    <w:p>
      <w:pPr>
        <w:spacing w:after="0" w:line="15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LAZARD LTD</w:t>
      </w:r>
    </w:p>
    <w:p>
      <w:pPr>
        <w:spacing w:after="0" w:line="222"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7"/>
          <w:szCs w:val="17"/>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13970</wp:posOffset>
            </wp:positionV>
            <wp:extent cx="26682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68270" cy="8255"/>
                    </a:xfrm>
                    <a:prstGeom prst="rect">
                      <a:avLst/>
                    </a:prstGeom>
                    <a:noFill/>
                  </pic:spPr>
                </pic:pic>
              </a:graphicData>
            </a:graphic>
          </wp:anchor>
        </w:drawing>
      </w:r>
    </w:p>
    <w:p>
      <w:pPr>
        <w:spacing w:after="0" w:line="19"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Kenneth M. Jacobs</w:t>
      </w:r>
    </w:p>
    <w:p>
      <w:pPr>
        <w:spacing w:after="0" w:line="26"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Chairman and Chief Executive Officer</w:t>
      </w:r>
    </w:p>
    <w:p>
      <w:pPr>
        <w:spacing w:after="0" w:line="157" w:lineRule="exact"/>
        <w:rPr>
          <w:sz w:val="20"/>
          <w:szCs w:val="20"/>
          <w:color w:val="auto"/>
        </w:rPr>
      </w:pPr>
    </w:p>
    <w:p>
      <w:pPr>
        <w:ind w:right="100" w:firstLine="457"/>
        <w:spacing w:after="0" w:line="280"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101" w:lineRule="exact"/>
        <w:rPr>
          <w:sz w:val="20"/>
          <w:szCs w:val="20"/>
          <w:color w:val="auto"/>
        </w:rPr>
      </w:pPr>
    </w:p>
    <w:tbl>
      <w:tblPr>
        <w:tblLayout w:type="fixed"/>
        <w:tblInd w:w="500"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Signature</w:t>
            </w:r>
          </w:p>
        </w:tc>
        <w:tc>
          <w:tcPr>
            <w:tcW w:w="2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Capacity</w:t>
            </w:r>
          </w:p>
        </w:tc>
        <w:tc>
          <w:tcPr>
            <w:tcW w:w="3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500" w:type="dxa"/>
            <w:vAlign w:val="bottom"/>
          </w:tcPr>
          <w:p>
            <w:pPr>
              <w:spacing w:after="0"/>
              <w:rPr>
                <w:sz w:val="13"/>
                <w:szCs w:val="13"/>
                <w:color w:val="auto"/>
              </w:rPr>
            </w:pPr>
          </w:p>
        </w:tc>
      </w:tr>
      <w:tr>
        <w:trPr>
          <w:trHeight w:val="408"/>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Kenneth M. Jacobs</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240"/>
              <w:spacing w:after="0"/>
              <w:rPr>
                <w:sz w:val="20"/>
                <w:szCs w:val="20"/>
                <w:color w:val="auto"/>
              </w:rPr>
            </w:pPr>
            <w:r>
              <w:rPr>
                <w:rFonts w:ascii="Arial" w:cs="Arial" w:eastAsia="Arial" w:hAnsi="Arial"/>
                <w:sz w:val="17"/>
                <w:szCs w:val="17"/>
                <w:color w:val="auto"/>
              </w:rPr>
              <w:t>Chairman, Chief Executive Officer and Director</w:t>
            </w:r>
          </w:p>
        </w:tc>
        <w:tc>
          <w:tcPr>
            <w:tcW w:w="2000" w:type="dxa"/>
            <w:vAlign w:val="bottom"/>
            <w:gridSpan w:val="3"/>
          </w:tcPr>
          <w:p>
            <w:pPr>
              <w:jc w:val="center"/>
              <w:ind w:left="655"/>
              <w:spacing w:after="0"/>
              <w:rPr>
                <w:sz w:val="20"/>
                <w:szCs w:val="20"/>
                <w:color w:val="auto"/>
              </w:rPr>
            </w:pPr>
            <w:r>
              <w:rPr>
                <w:rFonts w:ascii="Arial" w:cs="Arial" w:eastAsia="Arial" w:hAnsi="Arial"/>
                <w:sz w:val="17"/>
                <w:szCs w:val="17"/>
                <w:color w:val="auto"/>
                <w:w w:val="90"/>
              </w:rPr>
              <w:t>February 28, 2011</w:t>
            </w:r>
          </w:p>
        </w:tc>
      </w:tr>
      <w:tr>
        <w:trPr>
          <w:trHeight w:val="210"/>
        </w:trPr>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7"/>
                <w:szCs w:val="17"/>
                <w:color w:val="auto"/>
              </w:rPr>
              <w:t>Kenneth M. Jacobs</w:t>
            </w:r>
          </w:p>
        </w:tc>
        <w:tc>
          <w:tcPr>
            <w:tcW w:w="2000" w:type="dxa"/>
            <w:vAlign w:val="bottom"/>
          </w:tcPr>
          <w:p>
            <w:pPr>
              <w:spacing w:after="0"/>
              <w:rPr>
                <w:sz w:val="18"/>
                <w:szCs w:val="18"/>
                <w:color w:val="auto"/>
              </w:rPr>
            </w:pPr>
          </w:p>
        </w:tc>
        <w:tc>
          <w:tcPr>
            <w:tcW w:w="4280" w:type="dxa"/>
            <w:vAlign w:val="bottom"/>
            <w:gridSpan w:val="3"/>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2"/>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Michael J. Castellano</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240"/>
              <w:spacing w:after="0"/>
              <w:rPr>
                <w:sz w:val="20"/>
                <w:szCs w:val="20"/>
                <w:color w:val="auto"/>
              </w:rPr>
            </w:pPr>
            <w:r>
              <w:rPr>
                <w:rFonts w:ascii="Arial" w:cs="Arial" w:eastAsia="Arial" w:hAnsi="Arial"/>
                <w:sz w:val="17"/>
                <w:szCs w:val="17"/>
                <w:color w:val="auto"/>
              </w:rPr>
              <w:t>Chief Financial Officer</w:t>
            </w:r>
          </w:p>
        </w:tc>
        <w:tc>
          <w:tcPr>
            <w:tcW w:w="2000" w:type="dxa"/>
            <w:vAlign w:val="bottom"/>
            <w:gridSpan w:val="3"/>
          </w:tcPr>
          <w:p>
            <w:pPr>
              <w:jc w:val="center"/>
              <w:ind w:left="655"/>
              <w:spacing w:after="0"/>
              <w:rPr>
                <w:sz w:val="20"/>
                <w:szCs w:val="20"/>
                <w:color w:val="auto"/>
              </w:rPr>
            </w:pPr>
            <w:r>
              <w:rPr>
                <w:rFonts w:ascii="Arial" w:cs="Arial" w:eastAsia="Arial" w:hAnsi="Arial"/>
                <w:sz w:val="17"/>
                <w:szCs w:val="17"/>
                <w:color w:val="auto"/>
                <w:w w:val="90"/>
              </w:rPr>
              <w:t>February 28, 2011</w:t>
            </w:r>
          </w:p>
        </w:tc>
      </w:tr>
      <w:tr>
        <w:trPr>
          <w:trHeight w:val="210"/>
        </w:trPr>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7"/>
                <w:szCs w:val="17"/>
                <w:color w:val="auto"/>
              </w:rPr>
              <w:t>Michael J. Castellano</w:t>
            </w:r>
          </w:p>
        </w:tc>
        <w:tc>
          <w:tcPr>
            <w:tcW w:w="2000" w:type="dxa"/>
            <w:vAlign w:val="bottom"/>
          </w:tcPr>
          <w:p>
            <w:pPr>
              <w:spacing w:after="0"/>
              <w:rPr>
                <w:sz w:val="18"/>
                <w:szCs w:val="18"/>
                <w:color w:val="auto"/>
              </w:rPr>
            </w:pPr>
          </w:p>
        </w:tc>
        <w:tc>
          <w:tcPr>
            <w:tcW w:w="4280" w:type="dxa"/>
            <w:vAlign w:val="bottom"/>
            <w:gridSpan w:val="3"/>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3"/>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Ashish Bhutani</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5"/>
              <w:spacing w:after="0"/>
              <w:rPr>
                <w:sz w:val="20"/>
                <w:szCs w:val="20"/>
                <w:color w:val="auto"/>
              </w:rPr>
            </w:pPr>
            <w:r>
              <w:rPr>
                <w:rFonts w:ascii="Arial" w:cs="Arial" w:eastAsia="Arial" w:hAnsi="Arial"/>
                <w:sz w:val="17"/>
                <w:szCs w:val="17"/>
                <w:color w:val="auto"/>
                <w:w w:val="90"/>
              </w:rPr>
              <w:t>February 28, 2011</w:t>
            </w:r>
          </w:p>
        </w:tc>
      </w:tr>
      <w:tr>
        <w:trPr>
          <w:trHeight w:val="209"/>
        </w:trPr>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7"/>
                <w:szCs w:val="17"/>
                <w:color w:val="auto"/>
              </w:rPr>
              <w:t>Ashish Bhutani</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3"/>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Ronald J. Doerfler</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5"/>
              <w:spacing w:after="0"/>
              <w:rPr>
                <w:sz w:val="20"/>
                <w:szCs w:val="20"/>
                <w:color w:val="auto"/>
              </w:rPr>
            </w:pPr>
            <w:r>
              <w:rPr>
                <w:rFonts w:ascii="Arial" w:cs="Arial" w:eastAsia="Arial" w:hAnsi="Arial"/>
                <w:sz w:val="17"/>
                <w:szCs w:val="17"/>
                <w:color w:val="auto"/>
                <w:w w:val="90"/>
              </w:rPr>
              <w:t>February 28, 2011</w:t>
            </w:r>
          </w:p>
        </w:tc>
      </w:tr>
      <w:tr>
        <w:trPr>
          <w:trHeight w:val="209"/>
        </w:trPr>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7"/>
                <w:szCs w:val="17"/>
                <w:color w:val="auto"/>
              </w:rPr>
              <w:t>Ronald J. Doerfler</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3"/>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Laurent Mignon</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5"/>
              <w:spacing w:after="0"/>
              <w:rPr>
                <w:sz w:val="20"/>
                <w:szCs w:val="20"/>
                <w:color w:val="auto"/>
              </w:rPr>
            </w:pPr>
            <w:r>
              <w:rPr>
                <w:rFonts w:ascii="Arial" w:cs="Arial" w:eastAsia="Arial" w:hAnsi="Arial"/>
                <w:sz w:val="17"/>
                <w:szCs w:val="17"/>
                <w:color w:val="auto"/>
                <w:w w:val="90"/>
              </w:rPr>
              <w:t>February 28, 2011</w:t>
            </w:r>
          </w:p>
        </w:tc>
      </w:tr>
      <w:tr>
        <w:trPr>
          <w:trHeight w:val="209"/>
        </w:trPr>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7"/>
                <w:szCs w:val="17"/>
                <w:color w:val="auto"/>
              </w:rPr>
              <w:t>Laurent Mignon</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3"/>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Steven J. Heyer</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5"/>
              <w:spacing w:after="0"/>
              <w:rPr>
                <w:sz w:val="20"/>
                <w:szCs w:val="20"/>
                <w:color w:val="auto"/>
              </w:rPr>
            </w:pPr>
            <w:r>
              <w:rPr>
                <w:rFonts w:ascii="Arial" w:cs="Arial" w:eastAsia="Arial" w:hAnsi="Arial"/>
                <w:sz w:val="17"/>
                <w:szCs w:val="17"/>
                <w:color w:val="auto"/>
                <w:w w:val="90"/>
              </w:rPr>
              <w:t>February 28, 2011</w:t>
            </w:r>
          </w:p>
        </w:tc>
      </w:tr>
      <w:tr>
        <w:trPr>
          <w:trHeight w:val="209"/>
        </w:trPr>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7"/>
                <w:szCs w:val="17"/>
                <w:color w:val="auto"/>
              </w:rPr>
              <w:t>Steven J. Heyer</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3"/>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Sylvia Jay</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5"/>
              <w:spacing w:after="0"/>
              <w:rPr>
                <w:sz w:val="20"/>
                <w:szCs w:val="20"/>
                <w:color w:val="auto"/>
              </w:rPr>
            </w:pPr>
            <w:r>
              <w:rPr>
                <w:rFonts w:ascii="Arial" w:cs="Arial" w:eastAsia="Arial" w:hAnsi="Arial"/>
                <w:sz w:val="17"/>
                <w:szCs w:val="17"/>
                <w:color w:val="auto"/>
                <w:w w:val="90"/>
              </w:rPr>
              <w:t>February 28, 2011</w:t>
            </w:r>
          </w:p>
        </w:tc>
      </w:tr>
      <w:tr>
        <w:trPr>
          <w:trHeight w:val="209"/>
        </w:trPr>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7"/>
                <w:szCs w:val="17"/>
                <w:color w:val="auto"/>
              </w:rPr>
              <w:t>Sylvia Jay</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3"/>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Vernon E. Jordan, Jr.</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5"/>
              <w:spacing w:after="0"/>
              <w:rPr>
                <w:sz w:val="20"/>
                <w:szCs w:val="20"/>
                <w:color w:val="auto"/>
              </w:rPr>
            </w:pPr>
            <w:r>
              <w:rPr>
                <w:rFonts w:ascii="Arial" w:cs="Arial" w:eastAsia="Arial" w:hAnsi="Arial"/>
                <w:sz w:val="17"/>
                <w:szCs w:val="17"/>
                <w:color w:val="auto"/>
                <w:w w:val="90"/>
              </w:rPr>
              <w:t>February 28, 2011</w:t>
            </w:r>
          </w:p>
        </w:tc>
      </w:tr>
      <w:tr>
        <w:trPr>
          <w:trHeight w:val="209"/>
        </w:trPr>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7"/>
                <w:szCs w:val="17"/>
                <w:color w:val="auto"/>
              </w:rPr>
              <w:t>Vernon E. Jordan, Jr.</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3"/>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Philip A. Laskawy</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5"/>
              <w:spacing w:after="0"/>
              <w:rPr>
                <w:sz w:val="20"/>
                <w:szCs w:val="20"/>
                <w:color w:val="auto"/>
              </w:rPr>
            </w:pPr>
            <w:r>
              <w:rPr>
                <w:rFonts w:ascii="Arial" w:cs="Arial" w:eastAsia="Arial" w:hAnsi="Arial"/>
                <w:sz w:val="17"/>
                <w:szCs w:val="17"/>
                <w:color w:val="auto"/>
                <w:w w:val="90"/>
              </w:rPr>
              <w:t>February 28, 2011</w:t>
            </w:r>
          </w:p>
        </w:tc>
      </w:tr>
      <w:tr>
        <w:trPr>
          <w:trHeight w:val="209"/>
        </w:trPr>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7"/>
                <w:szCs w:val="17"/>
                <w:color w:val="auto"/>
              </w:rPr>
              <w:t>Philip A. Laskawy</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3"/>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Gary W. Parr</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000" w:type="dxa"/>
            <w:vAlign w:val="bottom"/>
            <w:gridSpan w:val="3"/>
          </w:tcPr>
          <w:p>
            <w:pPr>
              <w:jc w:val="center"/>
              <w:ind w:left="655"/>
              <w:spacing w:after="0"/>
              <w:rPr>
                <w:sz w:val="20"/>
                <w:szCs w:val="20"/>
                <w:color w:val="auto"/>
              </w:rPr>
            </w:pPr>
            <w:r>
              <w:rPr>
                <w:rFonts w:ascii="Arial" w:cs="Arial" w:eastAsia="Arial" w:hAnsi="Arial"/>
                <w:sz w:val="17"/>
                <w:szCs w:val="17"/>
                <w:color w:val="auto"/>
                <w:w w:val="90"/>
              </w:rPr>
              <w:t>February 28, 2011</w:t>
            </w:r>
          </w:p>
        </w:tc>
      </w:tr>
      <w:tr>
        <w:trPr>
          <w:trHeight w:val="209"/>
        </w:trPr>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7"/>
                <w:szCs w:val="17"/>
                <w:color w:val="auto"/>
              </w:rPr>
              <w:t>Gary W. Parr</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57"/>
        </w:trPr>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20" w:type="dxa"/>
            <w:vAlign w:val="bottom"/>
          </w:tcPr>
          <w:p>
            <w:pPr>
              <w:ind w:left="240"/>
              <w:spacing w:after="0"/>
              <w:rPr>
                <w:sz w:val="20"/>
                <w:szCs w:val="20"/>
                <w:color w:val="auto"/>
              </w:rPr>
            </w:pPr>
            <w:r>
              <w:rPr>
                <w:rFonts w:ascii="Arial" w:cs="Arial" w:eastAsia="Arial" w:hAnsi="Arial"/>
                <w:sz w:val="17"/>
                <w:szCs w:val="17"/>
                <w:color w:val="auto"/>
              </w:rPr>
              <w:t>II-1</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40"/>
          </w:cols>
          <w:pgMar w:left="240" w:top="448" w:right="31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tbl>
      <w:tblPr>
        <w:tblLayout w:type="fixed"/>
        <w:tblInd w:w="500" w:type="dxa"/>
        <w:tblCellMar>
          <w:top w:w="0" w:type="dxa"/>
          <w:left w:w="0" w:type="dxa"/>
          <w:bottom w:w="0" w:type="dxa"/>
          <w:right w:w="0" w:type="dxa"/>
        </w:tblCellMar>
      </w:tblPr>
      <w:tr>
        <w:trPr>
          <w:trHeight w:val="156"/>
        </w:trPr>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Signature</w:t>
            </w:r>
          </w:p>
        </w:tc>
        <w:tc>
          <w:tcPr>
            <w:tcW w:w="2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Capacity</w:t>
            </w:r>
          </w:p>
        </w:tc>
        <w:tc>
          <w:tcPr>
            <w:tcW w:w="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500" w:type="dxa"/>
            <w:vAlign w:val="bottom"/>
          </w:tcPr>
          <w:p>
            <w:pPr>
              <w:spacing w:after="0"/>
              <w:rPr>
                <w:sz w:val="13"/>
                <w:szCs w:val="13"/>
                <w:color w:val="auto"/>
              </w:rPr>
            </w:pPr>
          </w:p>
        </w:tc>
      </w:tr>
      <w:tr>
        <w:trPr>
          <w:trHeight w:val="410"/>
        </w:trPr>
        <w:tc>
          <w:tcPr>
            <w:tcW w:w="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Hal S. Scott</w:t>
            </w:r>
          </w:p>
        </w:tc>
        <w:tc>
          <w:tcPr>
            <w:tcW w:w="2000" w:type="dxa"/>
            <w:vAlign w:val="bottom"/>
            <w:tcBorders>
              <w:bottom w:val="single" w:sz="8" w:color="auto"/>
            </w:tcBorders>
          </w:tcPr>
          <w:p>
            <w:pPr>
              <w:spacing w:after="0"/>
              <w:rPr>
                <w:sz w:val="24"/>
                <w:szCs w:val="24"/>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5380" w:type="dxa"/>
            <w:vAlign w:val="bottom"/>
            <w:gridSpan w:val="3"/>
          </w:tcPr>
          <w:p>
            <w:pPr>
              <w:jc w:val="center"/>
              <w:ind w:left="4035"/>
              <w:spacing w:after="0"/>
              <w:rPr>
                <w:sz w:val="20"/>
                <w:szCs w:val="20"/>
                <w:color w:val="auto"/>
              </w:rPr>
            </w:pPr>
            <w:r>
              <w:rPr>
                <w:rFonts w:ascii="Arial" w:cs="Arial" w:eastAsia="Arial" w:hAnsi="Arial"/>
                <w:sz w:val="17"/>
                <w:szCs w:val="17"/>
                <w:color w:val="auto"/>
                <w:w w:val="90"/>
              </w:rPr>
              <w:t>February 28, 2011</w:t>
            </w:r>
          </w:p>
        </w:tc>
      </w:tr>
      <w:tr>
        <w:trPr>
          <w:trHeight w:val="209"/>
        </w:trPr>
        <w:tc>
          <w:tcPr>
            <w:tcW w:w="26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Arial" w:cs="Arial" w:eastAsia="Arial" w:hAnsi="Arial"/>
                <w:sz w:val="17"/>
                <w:szCs w:val="17"/>
                <w:color w:val="auto"/>
              </w:rPr>
              <w:t>Hal S. Scott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3"/>
        </w:trPr>
        <w:tc>
          <w:tcPr>
            <w:tcW w:w="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Michael J. Turner</w:t>
            </w:r>
          </w:p>
        </w:tc>
        <w:tc>
          <w:tcPr>
            <w:tcW w:w="2000" w:type="dxa"/>
            <w:vAlign w:val="bottom"/>
            <w:tcBorders>
              <w:bottom w:val="single" w:sz="8" w:color="auto"/>
            </w:tcBorders>
          </w:tcPr>
          <w:p>
            <w:pPr>
              <w:spacing w:after="0"/>
              <w:rPr>
                <w:sz w:val="24"/>
                <w:szCs w:val="24"/>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5380" w:type="dxa"/>
            <w:vAlign w:val="bottom"/>
            <w:gridSpan w:val="3"/>
          </w:tcPr>
          <w:p>
            <w:pPr>
              <w:jc w:val="center"/>
              <w:ind w:left="4035"/>
              <w:spacing w:after="0"/>
              <w:rPr>
                <w:sz w:val="20"/>
                <w:szCs w:val="20"/>
                <w:color w:val="auto"/>
              </w:rPr>
            </w:pPr>
            <w:r>
              <w:rPr>
                <w:rFonts w:ascii="Arial" w:cs="Arial" w:eastAsia="Arial" w:hAnsi="Arial"/>
                <w:sz w:val="17"/>
                <w:szCs w:val="17"/>
                <w:color w:val="auto"/>
                <w:w w:val="90"/>
              </w:rPr>
              <w:t>February 28, 2011</w:t>
            </w:r>
          </w:p>
        </w:tc>
      </w:tr>
      <w:tr>
        <w:trPr>
          <w:trHeight w:val="209"/>
        </w:trPr>
        <w:tc>
          <w:tcPr>
            <w:tcW w:w="26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Arial" w:cs="Arial" w:eastAsia="Arial" w:hAnsi="Arial"/>
                <w:sz w:val="17"/>
                <w:szCs w:val="17"/>
                <w:color w:val="auto"/>
              </w:rPr>
              <w:t>Michael J. Turner</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57"/>
        </w:trPr>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3"/>
          </w:tcPr>
          <w:p>
            <w:pPr>
              <w:ind w:left="100"/>
              <w:spacing w:after="0"/>
              <w:rPr>
                <w:sz w:val="20"/>
                <w:szCs w:val="20"/>
                <w:color w:val="auto"/>
              </w:rPr>
            </w:pPr>
            <w:r>
              <w:rPr>
                <w:rFonts w:ascii="Arial" w:cs="Arial" w:eastAsia="Arial" w:hAnsi="Arial"/>
                <w:sz w:val="17"/>
                <w:szCs w:val="17"/>
                <w:color w:val="auto"/>
              </w:rPr>
              <w:t>II-2</w:t>
            </w:r>
          </w:p>
        </w:tc>
      </w:tr>
    </w:tbl>
    <w:p>
      <w:pPr>
        <w:sectPr>
          <w:pgSz w:w="11900" w:h="16838" w:orient="portrait"/>
          <w:cols w:equalWidth="0" w:num="1">
            <w:col w:w="10860"/>
          </w:cols>
          <w:pgMar w:left="240" w:top="448" w:right="799" w:bottom="1440" w:gutter="0" w:footer="0" w:header="0"/>
        </w:sectPr>
      </w:pPr>
    </w:p>
    <w:bookmarkStart w:id="155" w:name="page156"/>
    <w:bookmarkEnd w:id="155"/>
    <w:p>
      <w:pPr>
        <w:jc w:val="right"/>
        <w:spacing w:after="0"/>
        <w:rPr>
          <w:sz w:val="20"/>
          <w:szCs w:val="20"/>
          <w:color w:val="auto"/>
        </w:rPr>
      </w:pPr>
      <w:r>
        <w:rPr>
          <w:rFonts w:ascii="Arial" w:cs="Arial" w:eastAsia="Arial" w:hAnsi="Arial"/>
          <w:sz w:val="17"/>
          <w:szCs w:val="17"/>
          <w:b w:val="1"/>
          <w:bCs w:val="1"/>
          <w:color w:val="auto"/>
        </w:rPr>
        <w:t>Exhibit 10.48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1</w:t>
      </w:r>
    </w:p>
    <w:p>
      <w:pPr>
        <w:spacing w:after="0" w:line="170" w:lineRule="exact"/>
        <w:rPr>
          <w:sz w:val="20"/>
          <w:szCs w:val="20"/>
          <w:color w:val="auto"/>
        </w:rPr>
      </w:pPr>
    </w:p>
    <w:p>
      <w:pPr>
        <w:jc w:val="both"/>
        <w:ind w:right="800" w:firstLine="457"/>
        <w:spacing w:after="0" w:line="349" w:lineRule="auto"/>
        <w:rPr>
          <w:sz w:val="20"/>
          <w:szCs w:val="20"/>
          <w:color w:val="auto"/>
        </w:rPr>
      </w:pPr>
      <w:r>
        <w:rPr>
          <w:rFonts w:ascii="Arial" w:cs="Arial" w:eastAsia="Arial" w:hAnsi="Arial"/>
          <w:sz w:val="15"/>
          <w:szCs w:val="15"/>
          <w:color w:val="auto"/>
        </w:rPr>
        <w:t>AMENDMENT NO. 1 (this “</w:t>
      </w:r>
      <w:r>
        <w:rPr>
          <w:rFonts w:ascii="Arial" w:cs="Arial" w:eastAsia="Arial" w:hAnsi="Arial"/>
          <w:sz w:val="15"/>
          <w:szCs w:val="15"/>
          <w:u w:val="single" w:color="auto"/>
          <w:color w:val="auto"/>
        </w:rPr>
        <w:t>Amendment</w:t>
      </w:r>
      <w:r>
        <w:rPr>
          <w:rFonts w:ascii="Arial" w:cs="Arial" w:eastAsia="Arial" w:hAnsi="Arial"/>
          <w:sz w:val="15"/>
          <w:szCs w:val="15"/>
          <w:color w:val="auto"/>
        </w:rPr>
        <w:t>”) dated as of August 12, 2010 among LAZARD GROUP LLC (the “</w:t>
      </w:r>
      <w:r>
        <w:rPr>
          <w:rFonts w:ascii="Arial" w:cs="Arial" w:eastAsia="Arial" w:hAnsi="Arial"/>
          <w:sz w:val="15"/>
          <w:szCs w:val="15"/>
          <w:u w:val="single" w:color="auto"/>
          <w:color w:val="auto"/>
        </w:rPr>
        <w:t>Company</w:t>
      </w:r>
      <w:r>
        <w:rPr>
          <w:rFonts w:ascii="Arial" w:cs="Arial" w:eastAsia="Arial" w:hAnsi="Arial"/>
          <w:sz w:val="15"/>
          <w:szCs w:val="15"/>
          <w:color w:val="auto"/>
        </w:rPr>
        <w:t>”), the Banks executing this Amendment, each of which is a party to the Credit Agreement referred to below, and Citibank, N.A., as Administrative Agent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w:t>
      </w:r>
    </w:p>
    <w:p>
      <w:pPr>
        <w:spacing w:after="0" w:line="73"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The Company, the Banks party thereto (including the Banks executing this Amendment) and the Administrative Agent are parties to a Credit Agreement dated as of April 29, 2010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providing, subject to the terms and conditions thereof, for extensions of credit to be made by said Banks to the Company thereunder.</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parties hereto wish now to amend the Credit Agreement in certain respects and, accordingly, the parties hereto hereby agree as follows: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Definitions</w:t>
      </w:r>
      <w:r>
        <w:rPr>
          <w:rFonts w:ascii="Arial" w:cs="Arial" w:eastAsia="Arial" w:hAnsi="Arial"/>
          <w:sz w:val="17"/>
          <w:szCs w:val="17"/>
          <w:color w:val="auto"/>
        </w:rPr>
        <w:t>. Except as otherwise defined in this Amendment, terms defined in the Credit Agreement are used herein as defined therein.</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Amendments</w:t>
      </w:r>
      <w:r>
        <w:rPr>
          <w:rFonts w:ascii="Arial" w:cs="Arial" w:eastAsia="Arial" w:hAnsi="Arial"/>
          <w:sz w:val="15"/>
          <w:szCs w:val="15"/>
          <w:color w:val="auto"/>
        </w:rPr>
        <w:t>. Subject to the satisfaction of the conditions precedent specified in Section 4 below, the Credit Agreement shall be amended as follows:</w:t>
      </w:r>
    </w:p>
    <w:p>
      <w:pPr>
        <w:spacing w:after="0" w:line="115" w:lineRule="exact"/>
        <w:rPr>
          <w:sz w:val="20"/>
          <w:szCs w:val="20"/>
          <w:color w:val="auto"/>
        </w:rPr>
      </w:pPr>
    </w:p>
    <w:p>
      <w:pPr>
        <w:ind w:left="460" w:right="180" w:firstLine="438"/>
        <w:spacing w:after="0" w:line="345" w:lineRule="auto"/>
        <w:rPr>
          <w:sz w:val="20"/>
          <w:szCs w:val="20"/>
          <w:color w:val="auto"/>
        </w:rPr>
      </w:pPr>
      <w:r>
        <w:rPr>
          <w:rFonts w:ascii="Arial" w:cs="Arial" w:eastAsia="Arial" w:hAnsi="Arial"/>
          <w:sz w:val="15"/>
          <w:szCs w:val="15"/>
          <w:color w:val="auto"/>
        </w:rPr>
        <w:t xml:space="preserve">2.01. </w:t>
      </w:r>
      <w:r>
        <w:rPr>
          <w:rFonts w:ascii="Arial" w:cs="Arial" w:eastAsia="Arial" w:hAnsi="Arial"/>
          <w:sz w:val="15"/>
          <w:szCs w:val="15"/>
          <w:u w:val="single" w:color="auto"/>
          <w:color w:val="auto"/>
        </w:rPr>
        <w:t>References Generally</w:t>
      </w:r>
      <w:r>
        <w:rPr>
          <w:rFonts w:ascii="Arial" w:cs="Arial" w:eastAsia="Arial" w:hAnsi="Arial"/>
          <w:sz w:val="15"/>
          <w:szCs w:val="15"/>
          <w:color w:val="auto"/>
        </w:rPr>
        <w:t>. References in the Credit Agreement (including references to the Credit Agreement as amended hereby) to “this Agreement” (and indirect references such as “hereunder”, “hereby”, “herein” and “hereof”) shall be deemed to be references to the Credit Agreement as amended hereby.</w:t>
      </w:r>
    </w:p>
    <w:p>
      <w:pPr>
        <w:ind w:left="900"/>
        <w:spacing w:after="0"/>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Amendments to Section 1.1 (Defined Terms)</w:t>
      </w:r>
      <w:r>
        <w:rPr>
          <w:rFonts w:ascii="Arial" w:cs="Arial" w:eastAsia="Arial" w:hAnsi="Arial"/>
          <w:sz w:val="16"/>
          <w:szCs w:val="16"/>
          <w:color w:val="auto"/>
        </w:rPr>
        <w:t>. Section 1.1 of the Credit Agreement is hereby amended by (i) deleting the definition for “FOCUS</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Report” in its entirety and (ii) restating the following definition to read as follows:</w:t>
      </w:r>
    </w:p>
    <w:p>
      <w:pPr>
        <w:spacing w:after="0" w:line="85" w:lineRule="exact"/>
        <w:rPr>
          <w:sz w:val="20"/>
          <w:szCs w:val="20"/>
          <w:color w:val="auto"/>
        </w:rPr>
      </w:pPr>
    </w:p>
    <w:p>
      <w:pPr>
        <w:ind w:left="920" w:right="160"/>
        <w:spacing w:after="0" w:line="280" w:lineRule="auto"/>
        <w:rPr>
          <w:sz w:val="20"/>
          <w:szCs w:val="20"/>
          <w:color w:val="auto"/>
        </w:rPr>
      </w:pPr>
      <w:r>
        <w:rPr>
          <w:rFonts w:ascii="Arial" w:cs="Arial" w:eastAsia="Arial" w:hAnsi="Arial"/>
          <w:sz w:val="17"/>
          <w:szCs w:val="17"/>
          <w:color w:val="auto"/>
        </w:rPr>
        <w:t>“Designated Subsidiary”: each of Lazard Frères &amp; Co. LLC, Lazard Asset Management LLC, Lazard &amp; Co., Limited and Compagnie Financiere Lazard Frères and each of their respective successors.</w:t>
      </w:r>
    </w:p>
    <w:p>
      <w:pPr>
        <w:spacing w:after="0" w:line="40" w:lineRule="exact"/>
        <w:rPr>
          <w:sz w:val="20"/>
          <w:szCs w:val="20"/>
          <w:color w:val="auto"/>
        </w:rPr>
      </w:pPr>
    </w:p>
    <w:p>
      <w:pPr>
        <w:ind w:left="460" w:right="200" w:firstLine="438"/>
        <w:spacing w:after="0" w:line="280" w:lineRule="auto"/>
        <w:rPr>
          <w:sz w:val="20"/>
          <w:szCs w:val="20"/>
          <w:color w:val="auto"/>
        </w:rPr>
      </w:pPr>
      <w:r>
        <w:rPr>
          <w:rFonts w:ascii="Arial" w:cs="Arial" w:eastAsia="Arial" w:hAnsi="Arial"/>
          <w:sz w:val="17"/>
          <w:szCs w:val="17"/>
          <w:color w:val="auto"/>
        </w:rPr>
        <w:t xml:space="preserve">2.03. </w:t>
      </w:r>
      <w:r>
        <w:rPr>
          <w:rFonts w:ascii="Arial" w:cs="Arial" w:eastAsia="Arial" w:hAnsi="Arial"/>
          <w:sz w:val="17"/>
          <w:szCs w:val="17"/>
          <w:u w:val="single" w:color="auto"/>
          <w:color w:val="auto"/>
        </w:rPr>
        <w:t>Amendments to Section 6.2(b) (Certificates; Other Information)</w:t>
      </w:r>
      <w:r>
        <w:rPr>
          <w:rFonts w:ascii="Arial" w:cs="Arial" w:eastAsia="Arial" w:hAnsi="Arial"/>
          <w:sz w:val="17"/>
          <w:szCs w:val="17"/>
          <w:color w:val="auto"/>
        </w:rPr>
        <w:t>. Section 6.2(b) of the Credit Agreement is hereby amended by deleting the text of the paragraph in its entirety and replacing it with the word “[Reserved]”.</w:t>
      </w:r>
    </w:p>
    <w:p>
      <w:pPr>
        <w:spacing w:after="0" w:line="118" w:lineRule="exact"/>
        <w:rPr>
          <w:sz w:val="20"/>
          <w:szCs w:val="20"/>
          <w:color w:val="auto"/>
        </w:rPr>
      </w:pPr>
    </w:p>
    <w:p>
      <w:pPr>
        <w:jc w:val="both"/>
        <w:ind w:right="100" w:firstLine="457"/>
        <w:spacing w:after="0" w:line="310"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Company represents and warrants to the Administrative Agent and the Banks that immediately before and after giving effect to this Amendment (a) the representations and warranties set forth in Article 4 of the Credit Agreement are true and correct in all material respects on the date hereof as if made on and as of the date hereof (or, if any representation or warranty is expressly stated to have been made as of a specific date, such representation or warranty shall be true and correct in all material respects as of such specific date) and (b) no Default or Event of Default has occurred and is continuing.</w:t>
      </w:r>
    </w:p>
    <w:p>
      <w:pPr>
        <w:spacing w:after="0" w:line="101" w:lineRule="exact"/>
        <w:rPr>
          <w:sz w:val="20"/>
          <w:szCs w:val="20"/>
          <w:color w:val="auto"/>
        </w:rPr>
      </w:pPr>
    </w:p>
    <w:p>
      <w:pPr>
        <w:ind w:right="300" w:firstLine="457"/>
        <w:spacing w:after="0" w:line="28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Conditions Precedent</w:t>
      </w:r>
      <w:r>
        <w:rPr>
          <w:rFonts w:ascii="Arial" w:cs="Arial" w:eastAsia="Arial" w:hAnsi="Arial"/>
          <w:sz w:val="17"/>
          <w:szCs w:val="17"/>
          <w:color w:val="auto"/>
        </w:rPr>
        <w:t>. The amendments set forth in Section 2 hereof shall each become effective on the date this Amendment shall have been duly executed and delivered by the Company, the Administrative Agent and the Required Lenders.</w:t>
      </w:r>
    </w:p>
    <w:p>
      <w:pPr>
        <w:sectPr>
          <w:pgSz w:w="11900" w:h="16838" w:orient="portrait"/>
          <w:cols w:equalWidth="0" w:num="1">
            <w:col w:w="11420"/>
          </w:cols>
          <w:pgMar w:left="240" w:top="127" w:right="239" w:bottom="1440" w:gutter="0" w:footer="0" w:header="0"/>
        </w:sectPr>
      </w:pPr>
    </w:p>
    <w:bookmarkStart w:id="156" w:name="page157"/>
    <w:bookmarkEnd w:id="156"/>
    <w:p>
      <w:pPr>
        <w:ind w:right="60" w:firstLine="457"/>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5. </w:t>
      </w:r>
      <w:r>
        <w:rPr>
          <w:rFonts w:ascii="Arial" w:cs="Arial" w:eastAsia="Arial" w:hAnsi="Arial"/>
          <w:sz w:val="17"/>
          <w:szCs w:val="17"/>
          <w:u w:val="single" w:color="auto"/>
          <w:color w:val="auto"/>
        </w:rPr>
        <w:t>Costs and Expenses</w:t>
      </w:r>
      <w:r>
        <w:rPr>
          <w:rFonts w:ascii="Arial" w:cs="Arial" w:eastAsia="Arial" w:hAnsi="Arial"/>
          <w:sz w:val="17"/>
          <w:szCs w:val="17"/>
          <w:color w:val="auto"/>
        </w:rPr>
        <w:t>. The Company agrees to pay the reasonable costs and expenses of the Administrative Agent in connection with this Amendment as provided in Section 12.5(a) of the Credit Agreement.</w:t>
      </w:r>
    </w:p>
    <w:p>
      <w:pPr>
        <w:spacing w:after="0" w:line="11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Miscellaneous</w:t>
      </w:r>
      <w:r>
        <w:rPr>
          <w:rFonts w:ascii="Arial" w:cs="Arial" w:eastAsia="Arial" w:hAnsi="Arial"/>
          <w:sz w:val="17"/>
          <w:szCs w:val="17"/>
          <w:color w:val="auto"/>
        </w:rPr>
        <w:t>. Except as herein provided, the Credit Agreement shall remain unchanged and in full force and effect. This Amendment may be executed in any number of counterparts and by different parties hereto in separate counterparts, each of which when so executed shall be deemed to be an original and both of which taken together shall constitute one and the same agreement. Delivery of an executed counterpart of a signature page to this Amendment by electronic transmission shall be effective as delivery of a manually executed counterpart of this Amendment. This Amendment shall be governed by, and construed in accordance with, the law of the State of New York.</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[Remainder of the page intentionally left blank.]</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40" w:top="274" w:right="319" w:bottom="1440" w:gutter="0" w:footer="0" w:header="0"/>
        </w:sectPr>
      </w:pPr>
    </w:p>
    <w:bookmarkStart w:id="157" w:name="page158"/>
    <w:bookmarkEnd w:id="157"/>
    <w:p>
      <w:pPr>
        <w:ind w:firstLine="457"/>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hereto have caused this Amendment to be duly executed and delivered in New York, New York by their proper and duly authorized officers as of the date first above written.</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LAZARD GROUP LLC</w:t>
      </w:r>
    </w:p>
    <w:p>
      <w:pPr>
        <w:spacing w:after="0" w:line="226" w:lineRule="exact"/>
        <w:rPr>
          <w:sz w:val="20"/>
          <w:szCs w:val="20"/>
          <w:color w:val="auto"/>
        </w:rPr>
      </w:pPr>
    </w:p>
    <w:p>
      <w:pPr>
        <w:ind w:left="6880"/>
        <w:spacing w:after="0"/>
        <w:tabs>
          <w:tab w:leader="none" w:pos="7340" w:val="left"/>
        </w:tabs>
        <w:rPr>
          <w:sz w:val="20"/>
          <w:szCs w:val="20"/>
          <w:color w:val="auto"/>
        </w:rPr>
      </w:pPr>
      <w:r>
        <w:rPr>
          <w:rFonts w:ascii="Arial" w:cs="Arial" w:eastAsia="Arial" w:hAnsi="Arial"/>
          <w:sz w:val="17"/>
          <w:szCs w:val="17"/>
          <w:color w:val="auto"/>
        </w:rPr>
        <w:t>By:</w:t>
        <w:tab/>
        <w:t>/s/ 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13970</wp:posOffset>
            </wp:positionV>
            <wp:extent cx="26930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93035" cy="8255"/>
                    </a:xfrm>
                    <a:prstGeom prst="rect">
                      <a:avLst/>
                    </a:prstGeom>
                    <a:noFill/>
                  </pic:spPr>
                </pic:pic>
              </a:graphicData>
            </a:graphic>
          </wp:anchor>
        </w:drawing>
      </w:r>
    </w:p>
    <w:p>
      <w:pPr>
        <w:spacing w:after="0" w:line="19"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Name: Michael J. Castellano</w:t>
      </w:r>
    </w:p>
    <w:p>
      <w:pPr>
        <w:spacing w:after="0" w:line="20"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[Signature Page to Amendment No.1]</w:t>
      </w:r>
    </w:p>
    <w:p>
      <w:pPr>
        <w:sectPr>
          <w:pgSz w:w="11900" w:h="16838" w:orient="portrait"/>
          <w:cols w:equalWidth="0" w:num="1">
            <w:col w:w="11260"/>
          </w:cols>
          <w:pgMar w:left="240" w:top="275" w:right="399" w:bottom="1440" w:gutter="0" w:footer="0" w:header="0"/>
        </w:sectPr>
      </w:pPr>
    </w:p>
    <w:bookmarkStart w:id="158" w:name="page159"/>
    <w:bookmarkEnd w:id="158"/>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CITIBANK, N.A.,</w:t>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Administrative Agent and as a Bank</w:t>
      </w:r>
    </w:p>
    <w:p>
      <w:pPr>
        <w:spacing w:after="0" w:line="239" w:lineRule="exact"/>
        <w:rPr>
          <w:sz w:val="20"/>
          <w:szCs w:val="20"/>
          <w:color w:val="auto"/>
        </w:rPr>
      </w:pPr>
    </w:p>
    <w:p>
      <w:pPr>
        <w:ind w:left="5660"/>
        <w:spacing w:after="0"/>
        <w:tabs>
          <w:tab w:leader="none" w:pos="6080" w:val="left"/>
        </w:tabs>
        <w:rPr>
          <w:sz w:val="20"/>
          <w:szCs w:val="20"/>
          <w:color w:val="auto"/>
        </w:rPr>
      </w:pPr>
      <w:r>
        <w:rPr>
          <w:rFonts w:ascii="Arial" w:cs="Arial" w:eastAsia="Arial" w:hAnsi="Arial"/>
          <w:sz w:val="17"/>
          <w:szCs w:val="17"/>
          <w:color w:val="auto"/>
        </w:rPr>
        <w:t>By</w:t>
        <w:tab/>
        <w:t>/s/ Maureen P.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726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26690" cy="8255"/>
                    </a:xfrm>
                    <a:prstGeom prst="rect">
                      <a:avLst/>
                    </a:prstGeom>
                    <a:noFill/>
                  </pic:spPr>
                </pic:pic>
              </a:graphicData>
            </a:graphic>
          </wp:anchor>
        </w:drawing>
      </w:r>
    </w:p>
    <w:p>
      <w:pPr>
        <w:spacing w:after="0" w:line="19"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Maureen P. Maroney</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[Signature Page to Amendment No.1]</w:t>
      </w:r>
    </w:p>
    <w:p>
      <w:pPr>
        <w:sectPr>
          <w:pgSz w:w="11900" w:h="16838" w:orient="portrait"/>
          <w:cols w:equalWidth="0" w:num="1">
            <w:col w:w="9019"/>
          </w:cols>
          <w:pgMar w:left="1440" w:top="271" w:right="1440" w:bottom="1440" w:gutter="0" w:footer="0" w:header="0"/>
        </w:sectPr>
      </w:pPr>
    </w:p>
    <w:bookmarkStart w:id="159" w:name="page160"/>
    <w:bookmarkEnd w:id="159"/>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STATE STREET BANK AND TRUST COMPANY,</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as a Bank</w:t>
      </w:r>
    </w:p>
    <w:p>
      <w:pPr>
        <w:spacing w:after="0" w:line="216"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John T.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13970</wp:posOffset>
            </wp:positionV>
            <wp:extent cx="26930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93035" cy="8255"/>
                    </a:xfrm>
                    <a:prstGeom prst="rect">
                      <a:avLst/>
                    </a:prstGeom>
                    <a:noFill/>
                  </pic:spPr>
                </pic:pic>
              </a:graphicData>
            </a:graphic>
          </wp:anchor>
        </w:drawing>
      </w:r>
    </w:p>
    <w:p>
      <w:pPr>
        <w:spacing w:after="0" w:line="19"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John T. Daley</w:t>
      </w:r>
    </w:p>
    <w:p>
      <w:pPr>
        <w:spacing w:after="0" w:line="20"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60"/>
        <w:spacing w:after="0"/>
        <w:rPr>
          <w:sz w:val="20"/>
          <w:szCs w:val="20"/>
          <w:color w:val="auto"/>
        </w:rPr>
      </w:pPr>
      <w:r>
        <w:rPr>
          <w:rFonts w:ascii="Arial" w:cs="Arial" w:eastAsia="Arial" w:hAnsi="Arial"/>
          <w:sz w:val="11"/>
          <w:szCs w:val="11"/>
          <w:color w:val="auto"/>
        </w:rPr>
        <w:t>[Signature Page to Amendment No.1]</w:t>
      </w:r>
    </w:p>
    <w:p>
      <w:pPr>
        <w:sectPr>
          <w:pgSz w:w="11900" w:h="16838" w:orient="portrait"/>
          <w:cols w:equalWidth="0" w:num="1">
            <w:col w:w="9380"/>
          </w:cols>
          <w:pgMar w:left="1440" w:top="271" w:right="1079" w:bottom="1440" w:gutter="0" w:footer="0" w:header="0"/>
        </w:sectPr>
      </w:pPr>
    </w:p>
    <w:bookmarkStart w:id="160" w:name="page161"/>
    <w:bookmarkEnd w:id="160"/>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BANK OF NEW YORK MELLON,</w:t>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as a Bank</w:t>
      </w:r>
    </w:p>
    <w:p>
      <w:pPr>
        <w:spacing w:after="0" w:line="216" w:lineRule="exact"/>
        <w:rPr>
          <w:sz w:val="20"/>
          <w:szCs w:val="20"/>
          <w:color w:val="auto"/>
        </w:rPr>
      </w:pPr>
    </w:p>
    <w:p>
      <w:pPr>
        <w:ind w:left="5660"/>
        <w:spacing w:after="0"/>
        <w:tabs>
          <w:tab w:leader="none" w:pos="6080" w:val="left"/>
        </w:tabs>
        <w:rPr>
          <w:sz w:val="20"/>
          <w:szCs w:val="20"/>
          <w:color w:val="auto"/>
        </w:rPr>
      </w:pPr>
      <w:r>
        <w:rPr>
          <w:rFonts w:ascii="Arial" w:cs="Arial" w:eastAsia="Arial" w:hAnsi="Arial"/>
          <w:sz w:val="17"/>
          <w:szCs w:val="17"/>
          <w:color w:val="auto"/>
        </w:rPr>
        <w:t>By</w:t>
        <w:tab/>
        <w:t>/s/ John S. Vricella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726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26690" cy="8255"/>
                    </a:xfrm>
                    <a:prstGeom prst="rect">
                      <a:avLst/>
                    </a:prstGeom>
                    <a:noFill/>
                  </pic:spPr>
                </pic:pic>
              </a:graphicData>
            </a:graphic>
          </wp:anchor>
        </w:drawing>
      </w:r>
    </w:p>
    <w:p>
      <w:pPr>
        <w:spacing w:after="0" w:line="19"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John S. Vricella</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[Signature Page to Amendment No.1]</w:t>
      </w:r>
    </w:p>
    <w:p>
      <w:pPr>
        <w:sectPr>
          <w:pgSz w:w="11900" w:h="16838" w:orient="portrait"/>
          <w:cols w:equalWidth="0" w:num="1">
            <w:col w:w="9019"/>
          </w:cols>
          <w:pgMar w:left="1440" w:top="270" w:right="1440"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Exhibit 10.49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2</w:t>
      </w:r>
    </w:p>
    <w:p>
      <w:pPr>
        <w:spacing w:after="0" w:line="170" w:lineRule="exact"/>
        <w:rPr>
          <w:sz w:val="20"/>
          <w:szCs w:val="20"/>
          <w:color w:val="auto"/>
        </w:rPr>
      </w:pPr>
    </w:p>
    <w:p>
      <w:pPr>
        <w:ind w:right="640" w:firstLine="457"/>
        <w:spacing w:after="0" w:line="349" w:lineRule="auto"/>
        <w:rPr>
          <w:sz w:val="20"/>
          <w:szCs w:val="20"/>
          <w:color w:val="auto"/>
        </w:rPr>
      </w:pPr>
      <w:r>
        <w:rPr>
          <w:rFonts w:ascii="Arial" w:cs="Arial" w:eastAsia="Arial" w:hAnsi="Arial"/>
          <w:sz w:val="15"/>
          <w:szCs w:val="15"/>
          <w:color w:val="auto"/>
        </w:rPr>
        <w:t>AMENDMENT NO. 2 (this “</w:t>
      </w:r>
      <w:r>
        <w:rPr>
          <w:rFonts w:ascii="Arial" w:cs="Arial" w:eastAsia="Arial" w:hAnsi="Arial"/>
          <w:sz w:val="15"/>
          <w:szCs w:val="15"/>
          <w:u w:val="single" w:color="auto"/>
          <w:color w:val="auto"/>
        </w:rPr>
        <w:t>Amendment</w:t>
      </w:r>
      <w:r>
        <w:rPr>
          <w:rFonts w:ascii="Arial" w:cs="Arial" w:eastAsia="Arial" w:hAnsi="Arial"/>
          <w:sz w:val="15"/>
          <w:szCs w:val="15"/>
          <w:color w:val="auto"/>
        </w:rPr>
        <w:t>”) dated as of December 17, 2010 among LAZARD GROUP LLC (the “</w:t>
      </w:r>
      <w:r>
        <w:rPr>
          <w:rFonts w:ascii="Arial" w:cs="Arial" w:eastAsia="Arial" w:hAnsi="Arial"/>
          <w:sz w:val="15"/>
          <w:szCs w:val="15"/>
          <w:u w:val="single" w:color="auto"/>
          <w:color w:val="auto"/>
        </w:rPr>
        <w:t>Company</w:t>
      </w:r>
      <w:r>
        <w:rPr>
          <w:rFonts w:ascii="Arial" w:cs="Arial" w:eastAsia="Arial" w:hAnsi="Arial"/>
          <w:sz w:val="15"/>
          <w:szCs w:val="15"/>
          <w:color w:val="auto"/>
        </w:rPr>
        <w:t>”), the Banks executing this Amendment, each of which is a party to the Credit Agreement referred to below, and Citibank, N.A., as Administrative Agent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w:t>
      </w:r>
    </w:p>
    <w:p>
      <w:pPr>
        <w:spacing w:after="0" w:line="73"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The Company, the Banks party thereto (including the Banks executing this Amendment) and the Administrative Agent are parties to a Credit Agreement dated as of April 29, 2010 (as amended by Amendment No. 1 dated as of August 12, 2010,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providing, subject to the terms and conditions thereof, for extensions of credit to be made by said Banks to the Company thereunder.</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parties hereto wish now to amend the Credit Agreement in certain respects and, accordingly, the parties hereto hereby agree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Definitions</w:t>
      </w:r>
      <w:r>
        <w:rPr>
          <w:rFonts w:ascii="Arial" w:cs="Arial" w:eastAsia="Arial" w:hAnsi="Arial"/>
          <w:sz w:val="17"/>
          <w:szCs w:val="17"/>
          <w:color w:val="auto"/>
        </w:rPr>
        <w:t>. Except as otherwise defined in this Amendment, terms defined in the Credit Agreement are used herein as defined therein.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Amendments</w:t>
      </w:r>
      <w:r>
        <w:rPr>
          <w:rFonts w:ascii="Arial" w:cs="Arial" w:eastAsia="Arial" w:hAnsi="Arial"/>
          <w:sz w:val="15"/>
          <w:szCs w:val="15"/>
          <w:color w:val="auto"/>
        </w:rPr>
        <w:t>. Subject to the satisfaction of the conditions precedent specified in Section 4 below, the Credit Agreement shall be amended as follows:</w:t>
      </w:r>
    </w:p>
    <w:p>
      <w:pPr>
        <w:spacing w:after="0" w:line="115" w:lineRule="exact"/>
        <w:rPr>
          <w:sz w:val="20"/>
          <w:szCs w:val="20"/>
          <w:color w:val="auto"/>
        </w:rPr>
      </w:pPr>
    </w:p>
    <w:p>
      <w:pPr>
        <w:ind w:left="460" w:right="180" w:firstLine="438"/>
        <w:spacing w:after="0" w:line="345" w:lineRule="auto"/>
        <w:rPr>
          <w:sz w:val="20"/>
          <w:szCs w:val="20"/>
          <w:color w:val="auto"/>
        </w:rPr>
      </w:pPr>
      <w:r>
        <w:rPr>
          <w:rFonts w:ascii="Arial" w:cs="Arial" w:eastAsia="Arial" w:hAnsi="Arial"/>
          <w:sz w:val="15"/>
          <w:szCs w:val="15"/>
          <w:color w:val="auto"/>
        </w:rPr>
        <w:t xml:space="preserve">2.01. </w:t>
      </w:r>
      <w:r>
        <w:rPr>
          <w:rFonts w:ascii="Arial" w:cs="Arial" w:eastAsia="Arial" w:hAnsi="Arial"/>
          <w:sz w:val="15"/>
          <w:szCs w:val="15"/>
          <w:u w:val="single" w:color="auto"/>
          <w:color w:val="auto"/>
        </w:rPr>
        <w:t>References Generally</w:t>
      </w:r>
      <w:r>
        <w:rPr>
          <w:rFonts w:ascii="Arial" w:cs="Arial" w:eastAsia="Arial" w:hAnsi="Arial"/>
          <w:sz w:val="15"/>
          <w:szCs w:val="15"/>
          <w:color w:val="auto"/>
        </w:rPr>
        <w:t>. References in the Credit Agreement (including references to the Credit Agreement as amended hereby) to “this Agreement” (and indirect references such as “hereunder”, “hereby”, “herein” and “hereof”) shall be deemed to be references to the Credit Agreement as amended hereby.</w:t>
      </w:r>
    </w:p>
    <w:p>
      <w:pPr>
        <w:ind w:left="460" w:right="80" w:firstLine="438"/>
        <w:spacing w:after="0" w:line="268"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Amendments to Section 1.1 (Defined Terms)</w:t>
      </w:r>
      <w:r>
        <w:rPr>
          <w:rFonts w:ascii="Arial" w:cs="Arial" w:eastAsia="Arial" w:hAnsi="Arial"/>
          <w:sz w:val="17"/>
          <w:szCs w:val="17"/>
          <w:color w:val="auto"/>
        </w:rPr>
        <w:t>. The definition of “Indebtedness” contained in Section 1.1 of the Credit Agreement is hereby amended by deleting the language: “Notwithstanding anything to the contrary herein, Indebtedness shall exclude 80% of “mandatory” convertible or exchangeable Indebtedness prior to the remarketing period for such Indebtedness”, and replacing it with the following:</w:t>
      </w:r>
    </w:p>
    <w:p>
      <w:pPr>
        <w:spacing w:after="0" w:line="50" w:lineRule="exact"/>
        <w:rPr>
          <w:sz w:val="20"/>
          <w:szCs w:val="20"/>
          <w:color w:val="auto"/>
        </w:rPr>
      </w:pPr>
    </w:p>
    <w:p>
      <w:pPr>
        <w:ind w:left="920" w:right="40"/>
        <w:spacing w:after="0" w:line="320" w:lineRule="auto"/>
        <w:rPr>
          <w:sz w:val="20"/>
          <w:szCs w:val="20"/>
          <w:color w:val="auto"/>
        </w:rPr>
      </w:pPr>
      <w:r>
        <w:rPr>
          <w:rFonts w:ascii="Arial" w:cs="Arial" w:eastAsia="Arial" w:hAnsi="Arial"/>
          <w:sz w:val="15"/>
          <w:szCs w:val="15"/>
          <w:color w:val="auto"/>
        </w:rPr>
        <w:t>“Notwithstanding anything to the contrary herein, Indebtedness shall exclude (1) 80% of “mandatory” convertible or exchangeable Indebtedness prior to the remarketing period for such Indebtedness and (2) all obligations in respect of deferred consideration for the merger of Lazard Asset Management LLC described in the footnotes to the consolidated financial statements of Holdings as of and for the period ending December 31, 2009.”</w:t>
      </w:r>
    </w:p>
    <w:p>
      <w:pPr>
        <w:spacing w:after="0" w:line="15" w:lineRule="exact"/>
        <w:rPr>
          <w:sz w:val="20"/>
          <w:szCs w:val="20"/>
          <w:color w:val="auto"/>
        </w:rPr>
      </w:pPr>
    </w:p>
    <w:p>
      <w:pPr>
        <w:ind w:left="460" w:right="220" w:firstLine="438"/>
        <w:spacing w:after="0" w:line="313"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Amendments to Section 6.2(a) (Certificates; Other Information)</w:t>
      </w:r>
      <w:r>
        <w:rPr>
          <w:rFonts w:ascii="Arial" w:cs="Arial" w:eastAsia="Arial" w:hAnsi="Arial"/>
          <w:sz w:val="16"/>
          <w:szCs w:val="16"/>
          <w:color w:val="auto"/>
        </w:rPr>
        <w:t>. Section 6.2(a) of the Credit Agreement is hereby amended by replacing the word “and” directly preceding romanette (ii) with a “,” and by inserting the following language after the word “Agreement” at the end of the paragraph:</w:t>
      </w:r>
    </w:p>
    <w:p>
      <w:pPr>
        <w:spacing w:after="0" w:line="16" w:lineRule="exact"/>
        <w:rPr>
          <w:sz w:val="20"/>
          <w:szCs w:val="20"/>
          <w:color w:val="auto"/>
        </w:rPr>
      </w:pPr>
    </w:p>
    <w:p>
      <w:pPr>
        <w:ind w:left="460" w:right="80" w:firstLine="438"/>
        <w:spacing w:after="0" w:line="280" w:lineRule="auto"/>
        <w:rPr>
          <w:sz w:val="20"/>
          <w:szCs w:val="20"/>
          <w:color w:val="auto"/>
        </w:rPr>
      </w:pPr>
      <w:r>
        <w:rPr>
          <w:rFonts w:ascii="Arial" w:cs="Arial" w:eastAsia="Arial" w:hAnsi="Arial"/>
          <w:sz w:val="17"/>
          <w:szCs w:val="17"/>
          <w:color w:val="auto"/>
        </w:rPr>
        <w:t>“and (iii) setting forth the aggregate amount of Indebtedness incurred pursuant to Section 7.2(d) of this Agreement that is outstanding as of the last day of the fiscal period covered by such financial statements”</w:t>
      </w:r>
    </w:p>
    <w:p>
      <w:pPr>
        <w:sectPr>
          <w:pgSz w:w="11900" w:h="16838" w:orient="portrait"/>
          <w:cols w:equalWidth="0" w:num="1">
            <w:col w:w="11420"/>
          </w:cols>
          <w:pgMar w:left="240" w:top="127" w:right="239" w:bottom="1440" w:gutter="0" w:footer="0" w:header="0"/>
        </w:sectPr>
      </w:pPr>
    </w:p>
    <w:bookmarkStart w:id="162" w:name="page163"/>
    <w:bookmarkEnd w:id="162"/>
    <w:p>
      <w:pPr>
        <w:ind w:left="460" w:right="460" w:firstLine="438"/>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2.04. </w:t>
      </w:r>
      <w:r>
        <w:rPr>
          <w:rFonts w:ascii="Arial" w:cs="Arial" w:eastAsia="Arial" w:hAnsi="Arial"/>
          <w:sz w:val="17"/>
          <w:szCs w:val="17"/>
          <w:u w:val="single" w:color="auto"/>
          <w:color w:val="auto"/>
        </w:rPr>
        <w:t>Amendments to Section 7.2(d) (Limitation on Indebtedness)</w:t>
      </w:r>
      <w:r>
        <w:rPr>
          <w:rFonts w:ascii="Arial" w:cs="Arial" w:eastAsia="Arial" w:hAnsi="Arial"/>
          <w:sz w:val="17"/>
          <w:szCs w:val="17"/>
          <w:color w:val="auto"/>
        </w:rPr>
        <w:t>. Section 7.2(d) of the Credit Agreement is hereby amended by deleting the word “[RESERVED]” and replacing it with the following:</w:t>
      </w:r>
    </w:p>
    <w:p>
      <w:pPr>
        <w:spacing w:after="0" w:line="40" w:lineRule="exact"/>
        <w:rPr>
          <w:sz w:val="20"/>
          <w:szCs w:val="20"/>
          <w:color w:val="auto"/>
        </w:rPr>
      </w:pPr>
    </w:p>
    <w:p>
      <w:pPr>
        <w:ind w:left="920" w:right="100"/>
        <w:spacing w:after="0" w:line="268" w:lineRule="auto"/>
        <w:rPr>
          <w:sz w:val="20"/>
          <w:szCs w:val="20"/>
          <w:color w:val="auto"/>
        </w:rPr>
      </w:pPr>
      <w:r>
        <w:rPr>
          <w:rFonts w:ascii="Arial" w:cs="Arial" w:eastAsia="Arial" w:hAnsi="Arial"/>
          <w:sz w:val="17"/>
          <w:szCs w:val="17"/>
          <w:color w:val="auto"/>
        </w:rPr>
        <w:t>“Indebtedness of the Company to LLtd Corp II, LLtd 1 S.à r.l. and LLtd 2 S.à r.l. (collectively, the “</w:t>
      </w:r>
      <w:r>
        <w:rPr>
          <w:rFonts w:ascii="Arial" w:cs="Arial" w:eastAsia="Arial" w:hAnsi="Arial"/>
          <w:sz w:val="17"/>
          <w:szCs w:val="17"/>
          <w:u w:val="single" w:color="auto"/>
          <w:color w:val="auto"/>
        </w:rPr>
        <w:t>Interim Financing Companies</w:t>
      </w:r>
      <w:r>
        <w:rPr>
          <w:rFonts w:ascii="Arial" w:cs="Arial" w:eastAsia="Arial" w:hAnsi="Arial"/>
          <w:sz w:val="17"/>
          <w:szCs w:val="17"/>
          <w:color w:val="auto"/>
        </w:rPr>
        <w:t>”) in respect of loans made by any such Interim Financing Company to the Company from excess funds attributable to (i) Restricted Payments permitted under Section 7.8 or (ii) loans made by the Company to any such Interim Financing Company.”</w:t>
      </w:r>
    </w:p>
    <w:p>
      <w:pPr>
        <w:spacing w:after="0" w:line="128" w:lineRule="exact"/>
        <w:rPr>
          <w:sz w:val="20"/>
          <w:szCs w:val="20"/>
          <w:color w:val="auto"/>
        </w:rPr>
      </w:pPr>
    </w:p>
    <w:p>
      <w:pPr>
        <w:jc w:val="both"/>
        <w:ind w:right="20" w:firstLine="457"/>
        <w:spacing w:after="0" w:line="310"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Company represents and warrants to the Administrative Agent and the Banks that immediately before and after giving effect to this Amendment (a) the representations and warranties set forth in Article 4 of the Credit Agreement are true and correct in all material respects on the date hereof as if made on and as of the date hereof (or, if any representation or warranty is expressly stated to have been made as of a specific date, such representation or warranty shall be true and correct in all material respects as of such specific date) and (b) no Default or Event of Default has occurred and is continuing.</w:t>
      </w:r>
    </w:p>
    <w:p>
      <w:pPr>
        <w:spacing w:after="0" w:line="101" w:lineRule="exact"/>
        <w:rPr>
          <w:sz w:val="20"/>
          <w:szCs w:val="20"/>
          <w:color w:val="auto"/>
        </w:rPr>
      </w:pPr>
    </w:p>
    <w:p>
      <w:pPr>
        <w:ind w:right="220" w:firstLine="457"/>
        <w:spacing w:after="0" w:line="28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Conditions Precedent</w:t>
      </w:r>
      <w:r>
        <w:rPr>
          <w:rFonts w:ascii="Arial" w:cs="Arial" w:eastAsia="Arial" w:hAnsi="Arial"/>
          <w:sz w:val="17"/>
          <w:szCs w:val="17"/>
          <w:color w:val="auto"/>
        </w:rPr>
        <w:t>. The amendments set forth in Section 2 hereof shall each become effective on the date this Amendment shall have been duly executed and delivered by the Company, the Administrative Agent and the Required Lenders.</w:t>
      </w:r>
    </w:p>
    <w:p>
      <w:pPr>
        <w:spacing w:after="0" w:line="118" w:lineRule="exact"/>
        <w:rPr>
          <w:sz w:val="20"/>
          <w:szCs w:val="20"/>
          <w:color w:val="auto"/>
        </w:rPr>
      </w:pPr>
    </w:p>
    <w:p>
      <w:pPr>
        <w:ind w:right="60" w:firstLine="457"/>
        <w:spacing w:after="0" w:line="28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Costs and Expenses</w:t>
      </w:r>
      <w:r>
        <w:rPr>
          <w:rFonts w:ascii="Arial" w:cs="Arial" w:eastAsia="Arial" w:hAnsi="Arial"/>
          <w:sz w:val="17"/>
          <w:szCs w:val="17"/>
          <w:color w:val="auto"/>
        </w:rPr>
        <w:t>. The Company agrees to pay the reasonable costs and expenses of the Administrative Agent in connection with this Amendment as provided in Section 12.5(a) of the Credit Agreement.</w:t>
      </w:r>
    </w:p>
    <w:p>
      <w:pPr>
        <w:spacing w:after="0" w:line="11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Miscellaneous</w:t>
      </w:r>
      <w:r>
        <w:rPr>
          <w:rFonts w:ascii="Arial" w:cs="Arial" w:eastAsia="Arial" w:hAnsi="Arial"/>
          <w:sz w:val="17"/>
          <w:szCs w:val="17"/>
          <w:color w:val="auto"/>
        </w:rPr>
        <w:t>. Except as herein provided, the Credit Agreement shall remain unchanged and in full force and effect. This Amendment may be executed in any number of counterparts and by different parties hereto in separate counterparts, each of which when so executed shall be deemed to be an original and both of which taken together shall constitute one and the same agreement. Delivery of an executed counterpart of a signature page to this Amendment by electronic transmission shall be effective as delivery of a manually executed counterpart of this Amendment. This Amendment shall be governed by, and construed in accordance with, the law of the State of New York.</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[Remainder of the page intentionally left blank.]</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40" w:top="275" w:right="319" w:bottom="1440" w:gutter="0" w:footer="0" w:header="0"/>
        </w:sectPr>
      </w:pPr>
    </w:p>
    <w:bookmarkStart w:id="163" w:name="page164"/>
    <w:bookmarkEnd w:id="163"/>
    <w:p>
      <w:pPr>
        <w:ind w:firstLine="457"/>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hereto have caused this Amendment to be duly executed and delivered in New York, New York by their proper and duly authorized officers as of the date first above written.</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LAZARD GROUP LLC</w:t>
      </w:r>
    </w:p>
    <w:p>
      <w:pPr>
        <w:spacing w:after="0" w:line="239"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13970</wp:posOffset>
            </wp:positionV>
            <wp:extent cx="26682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68270" cy="8255"/>
                    </a:xfrm>
                    <a:prstGeom prst="rect">
                      <a:avLst/>
                    </a:prstGeom>
                    <a:noFill/>
                  </pic:spPr>
                </pic:pic>
              </a:graphicData>
            </a:graphic>
          </wp:anchor>
        </w:drawing>
      </w:r>
    </w:p>
    <w:p>
      <w:pPr>
        <w:spacing w:after="0" w:line="19"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Name: Michael J. Castellano</w:t>
      </w:r>
    </w:p>
    <w:p>
      <w:pPr>
        <w:spacing w:after="0" w:line="20"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[Signature Page to Amendment No.2]</w:t>
      </w:r>
    </w:p>
    <w:p>
      <w:pPr>
        <w:sectPr>
          <w:pgSz w:w="11900" w:h="16838" w:orient="portrait"/>
          <w:cols w:equalWidth="0" w:num="1">
            <w:col w:w="11260"/>
          </w:cols>
          <w:pgMar w:left="240" w:top="275" w:right="399" w:bottom="1440" w:gutter="0" w:footer="0" w:header="0"/>
        </w:sectPr>
      </w:pPr>
    </w:p>
    <w:bookmarkStart w:id="164" w:name="page165"/>
    <w:bookmarkEnd w:id="164"/>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CITIBANK, N.A.,</w:t>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Administrative Agent and as a Bank</w:t>
      </w:r>
    </w:p>
    <w:p>
      <w:pPr>
        <w:spacing w:after="0" w:line="239" w:lineRule="exact"/>
        <w:rPr>
          <w:sz w:val="20"/>
          <w:szCs w:val="20"/>
          <w:color w:val="auto"/>
        </w:rPr>
      </w:pPr>
    </w:p>
    <w:p>
      <w:pPr>
        <w:ind w:left="5660"/>
        <w:spacing w:after="0"/>
        <w:tabs>
          <w:tab w:leader="none" w:pos="6080" w:val="left"/>
        </w:tabs>
        <w:rPr>
          <w:sz w:val="20"/>
          <w:szCs w:val="20"/>
          <w:color w:val="auto"/>
        </w:rPr>
      </w:pPr>
      <w:r>
        <w:rPr>
          <w:rFonts w:ascii="Arial" w:cs="Arial" w:eastAsia="Arial" w:hAnsi="Arial"/>
          <w:sz w:val="17"/>
          <w:szCs w:val="17"/>
          <w:color w:val="auto"/>
        </w:rPr>
        <w:t>By</w:t>
        <w:tab/>
        <w:t>/s/ Maureen P.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726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26690" cy="8255"/>
                    </a:xfrm>
                    <a:prstGeom prst="rect">
                      <a:avLst/>
                    </a:prstGeom>
                    <a:noFill/>
                  </pic:spPr>
                </pic:pic>
              </a:graphicData>
            </a:graphic>
          </wp:anchor>
        </w:drawing>
      </w:r>
    </w:p>
    <w:p>
      <w:pPr>
        <w:spacing w:after="0" w:line="19"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Maureen P. Maroney</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[Signature Page to Amendment No.2]</w:t>
      </w:r>
    </w:p>
    <w:p>
      <w:pPr>
        <w:sectPr>
          <w:pgSz w:w="11900" w:h="16838" w:orient="portrait"/>
          <w:cols w:equalWidth="0" w:num="1">
            <w:col w:w="9019"/>
          </w:cols>
          <w:pgMar w:left="1440" w:top="270" w:right="1440" w:bottom="1440" w:gutter="0" w:footer="0" w:header="0"/>
        </w:sectPr>
      </w:pPr>
    </w:p>
    <w:bookmarkStart w:id="165" w:name="page166"/>
    <w:bookmarkEnd w:id="165"/>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STATE STREET BANK AND TRUST COMPANY,</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as a Bank</w:t>
      </w:r>
    </w:p>
    <w:p>
      <w:pPr>
        <w:spacing w:after="0" w:line="216"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John T.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13970</wp:posOffset>
            </wp:positionV>
            <wp:extent cx="26682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68270" cy="8255"/>
                    </a:xfrm>
                    <a:prstGeom prst="rect">
                      <a:avLst/>
                    </a:prstGeom>
                    <a:noFill/>
                  </pic:spPr>
                </pic:pic>
              </a:graphicData>
            </a:graphic>
          </wp:anchor>
        </w:drawing>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Name: John T. Daley</w:t>
      </w:r>
    </w:p>
    <w:p>
      <w:pPr>
        <w:spacing w:after="0" w:line="20"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Title:Vice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60"/>
        <w:spacing w:after="0"/>
        <w:rPr>
          <w:sz w:val="20"/>
          <w:szCs w:val="20"/>
          <w:color w:val="auto"/>
        </w:rPr>
      </w:pPr>
      <w:r>
        <w:rPr>
          <w:rFonts w:ascii="Arial" w:cs="Arial" w:eastAsia="Arial" w:hAnsi="Arial"/>
          <w:sz w:val="11"/>
          <w:szCs w:val="11"/>
          <w:color w:val="auto"/>
        </w:rPr>
        <w:t>[Signature Page to Amendment No.2]</w:t>
      </w:r>
    </w:p>
    <w:p>
      <w:pPr>
        <w:sectPr>
          <w:pgSz w:w="11900" w:h="16838" w:orient="portrait"/>
          <w:cols w:equalWidth="0" w:num="1">
            <w:col w:w="9380"/>
          </w:cols>
          <w:pgMar w:left="1440" w:top="270" w:right="1079" w:bottom="1440" w:gutter="0" w:footer="0" w:header="0"/>
        </w:sectPr>
      </w:pPr>
    </w:p>
    <w:bookmarkStart w:id="166" w:name="page167"/>
    <w:bookmarkEnd w:id="166"/>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BANK OF NEW YORK MELLON,</w:t>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as a Bank</w:t>
      </w:r>
    </w:p>
    <w:p>
      <w:pPr>
        <w:spacing w:after="0" w:line="216" w:lineRule="exact"/>
        <w:rPr>
          <w:sz w:val="20"/>
          <w:szCs w:val="20"/>
          <w:color w:val="auto"/>
        </w:rPr>
      </w:pPr>
    </w:p>
    <w:p>
      <w:pPr>
        <w:ind w:left="5660"/>
        <w:spacing w:after="0"/>
        <w:tabs>
          <w:tab w:leader="none" w:pos="6080" w:val="left"/>
        </w:tabs>
        <w:rPr>
          <w:sz w:val="20"/>
          <w:szCs w:val="20"/>
          <w:color w:val="auto"/>
        </w:rPr>
      </w:pPr>
      <w:r>
        <w:rPr>
          <w:rFonts w:ascii="Arial" w:cs="Arial" w:eastAsia="Arial" w:hAnsi="Arial"/>
          <w:sz w:val="17"/>
          <w:szCs w:val="17"/>
          <w:color w:val="auto"/>
        </w:rPr>
        <w:t>By</w:t>
        <w:tab/>
        <w:t>/s/ John S. Vricella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726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26690" cy="8255"/>
                    </a:xfrm>
                    <a:prstGeom prst="rect">
                      <a:avLst/>
                    </a:prstGeom>
                    <a:noFill/>
                  </pic:spPr>
                </pic:pic>
              </a:graphicData>
            </a:graphic>
          </wp:anchor>
        </w:drawing>
      </w:r>
    </w:p>
    <w:p>
      <w:pPr>
        <w:spacing w:after="0" w:line="19"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John S. Vricella</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[Signature Page to Amendment No.2]</w:t>
      </w:r>
    </w:p>
    <w:p>
      <w:pPr>
        <w:sectPr>
          <w:pgSz w:w="11900" w:h="16838" w:orient="portrait"/>
          <w:cols w:equalWidth="0" w:num="1">
            <w:col w:w="9019"/>
          </w:cols>
          <w:pgMar w:left="1440" w:top="271" w:right="1440" w:bottom="1440" w:gutter="0" w:footer="0" w:header="0"/>
        </w:sectPr>
      </w:pPr>
    </w:p>
    <w:bookmarkStart w:id="167" w:name="page168"/>
    <w:bookmarkEnd w:id="167"/>
    <w:p>
      <w:pPr>
        <w:ind w:left="10540"/>
        <w:spacing w:after="0"/>
        <w:rPr>
          <w:sz w:val="20"/>
          <w:szCs w:val="20"/>
          <w:color w:val="auto"/>
        </w:rPr>
      </w:pPr>
      <w:r>
        <w:rPr>
          <w:rFonts w:ascii="Arial" w:cs="Arial" w:eastAsia="Arial" w:hAnsi="Arial"/>
          <w:sz w:val="15"/>
          <w:szCs w:val="15"/>
          <w:b w:val="1"/>
          <w:bCs w:val="1"/>
          <w:color w:val="auto"/>
        </w:rPr>
        <w:t>Exhibit 12.1</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LAZARD LTD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COMPUTATION OF RATIO OF EARNINGS TO FIXED CHARGES (a)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ratio of earnings to fixed charges for Lazard Ltd and its subsidiaries on a consolidated 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3"/>
                <w:szCs w:val="13"/>
                <w:b w:val="1"/>
                <w:bCs w:val="1"/>
                <w:color w:val="auto"/>
                <w:w w:val="97"/>
              </w:rPr>
              <w:t>Year Ended December 31,</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7"/>
              <w:spacing w:after="0" w:line="137" w:lineRule="exact"/>
              <w:rPr>
                <w:sz w:val="20"/>
                <w:szCs w:val="20"/>
                <w:color w:val="auto"/>
              </w:rPr>
            </w:pPr>
            <w:r>
              <w:rPr>
                <w:rFonts w:ascii="Arial" w:cs="Arial" w:eastAsia="Arial" w:hAnsi="Arial"/>
                <w:sz w:val="13"/>
                <w:szCs w:val="13"/>
                <w:b w:val="1"/>
                <w:bCs w:val="1"/>
                <w:color w:val="auto"/>
              </w:rPr>
              <w:t>2010</w:t>
            </w: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7"/>
              <w:spacing w:after="0" w:line="137" w:lineRule="exact"/>
              <w:rPr>
                <w:sz w:val="20"/>
                <w:szCs w:val="20"/>
                <w:color w:val="auto"/>
              </w:rPr>
            </w:pPr>
            <w:r>
              <w:rPr>
                <w:rFonts w:ascii="Arial" w:cs="Arial" w:eastAsia="Arial" w:hAnsi="Arial"/>
                <w:sz w:val="13"/>
                <w:szCs w:val="13"/>
                <w:b w:val="1"/>
                <w:bCs w:val="1"/>
                <w:color w:val="auto"/>
              </w:rPr>
              <w:t>2009</w:t>
            </w:r>
          </w:p>
        </w:tc>
        <w:tc>
          <w:tcPr>
            <w:tcW w:w="22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0"/>
              </w:rPr>
              <w:t>(dollars</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8"/>
              <w:spacing w:after="0" w:line="137" w:lineRule="exact"/>
              <w:rPr>
                <w:sz w:val="20"/>
                <w:szCs w:val="20"/>
                <w:color w:val="auto"/>
              </w:rPr>
            </w:pPr>
            <w:r>
              <w:rPr>
                <w:rFonts w:ascii="Arial" w:cs="Arial" w:eastAsia="Arial" w:hAnsi="Arial"/>
                <w:sz w:val="13"/>
                <w:szCs w:val="13"/>
                <w:b w:val="1"/>
                <w:bCs w:val="1"/>
                <w:color w:val="auto"/>
              </w:rPr>
              <w:t>2008</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jc w:val="right"/>
              <w:ind w:right="122"/>
              <w:spacing w:after="0" w:line="137" w:lineRule="exact"/>
              <w:rPr>
                <w:sz w:val="20"/>
                <w:szCs w:val="20"/>
                <w:color w:val="auto"/>
              </w:rPr>
            </w:pPr>
            <w:r>
              <w:rPr>
                <w:rFonts w:ascii="Arial" w:cs="Arial" w:eastAsia="Arial" w:hAnsi="Arial"/>
                <w:sz w:val="13"/>
                <w:szCs w:val="13"/>
                <w:b w:val="1"/>
                <w:bCs w:val="1"/>
                <w:color w:val="auto"/>
              </w:rPr>
              <w:t>2007</w:t>
            </w:r>
          </w:p>
        </w:tc>
        <w:tc>
          <w:tcPr>
            <w:tcW w:w="500" w:type="dxa"/>
            <w:vAlign w:val="bottom"/>
          </w:tcPr>
          <w:p>
            <w:pPr>
              <w:spacing w:after="0"/>
              <w:rPr>
                <w:sz w:val="11"/>
                <w:szCs w:val="11"/>
                <w:color w:val="auto"/>
              </w:rPr>
            </w:pPr>
          </w:p>
        </w:tc>
        <w:tc>
          <w:tcPr>
            <w:tcW w:w="660" w:type="dxa"/>
            <w:vAlign w:val="bottom"/>
            <w:tcBorders>
              <w:bottom w:val="single" w:sz="8" w:color="auto"/>
            </w:tcBorders>
          </w:tcPr>
          <w:p>
            <w:pPr>
              <w:jc w:val="right"/>
              <w:ind w:right="118"/>
              <w:spacing w:after="0" w:line="137" w:lineRule="exact"/>
              <w:rPr>
                <w:sz w:val="20"/>
                <w:szCs w:val="20"/>
                <w:color w:val="auto"/>
              </w:rPr>
            </w:pPr>
            <w:r>
              <w:rPr>
                <w:rFonts w:ascii="Arial" w:cs="Arial" w:eastAsia="Arial" w:hAnsi="Arial"/>
                <w:sz w:val="13"/>
                <w:szCs w:val="13"/>
                <w:b w:val="1"/>
                <w:bCs w:val="1"/>
                <w:color w:val="auto"/>
              </w:rPr>
              <w:t>2006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1100" w:type="dxa"/>
            <w:vAlign w:val="bottom"/>
            <w:gridSpan w:val="3"/>
          </w:tcPr>
          <w:p>
            <w:pPr>
              <w:jc w:val="right"/>
              <w:ind w:right="280"/>
              <w:spacing w:after="0" w:line="137" w:lineRule="exact"/>
              <w:rPr>
                <w:sz w:val="20"/>
                <w:szCs w:val="20"/>
                <w:color w:val="auto"/>
              </w:rPr>
            </w:pPr>
            <w:r>
              <w:rPr>
                <w:rFonts w:ascii="Arial" w:cs="Arial" w:eastAsia="Arial" w:hAnsi="Arial"/>
                <w:sz w:val="13"/>
                <w:szCs w:val="13"/>
                <w:b w:val="1"/>
                <w:bCs w:val="1"/>
                <w:color w:val="auto"/>
                <w:w w:val="93"/>
              </w:rPr>
              <w:t>in thousands)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w w:val="87"/>
              </w:rPr>
              <w:t>243,650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w w:val="87"/>
              </w:rPr>
              <w:t>(182,234)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25,140</w:t>
            </w:r>
          </w:p>
        </w:tc>
        <w:tc>
          <w:tcPr>
            <w:tcW w:w="4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$418,295</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$327,209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7"/>
                <w:szCs w:val="17"/>
                <w:color w:val="auto"/>
              </w:rPr>
              <w:t>Add—Fixed charges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117,119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127,398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160,154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155,374</w:t>
            </w:r>
          </w:p>
        </w:tc>
        <w:tc>
          <w:tcPr>
            <w:tcW w:w="660" w:type="dxa"/>
            <w:vAlign w:val="bottom"/>
          </w:tcPr>
          <w:p>
            <w:pPr>
              <w:jc w:val="right"/>
              <w:spacing w:after="0"/>
              <w:rPr>
                <w:sz w:val="20"/>
                <w:szCs w:val="20"/>
                <w:color w:val="auto"/>
              </w:rPr>
            </w:pPr>
            <w:r>
              <w:rPr>
                <w:rFonts w:ascii="Arial" w:cs="Arial" w:eastAsia="Arial" w:hAnsi="Arial"/>
                <w:sz w:val="17"/>
                <w:szCs w:val="17"/>
                <w:color w:val="auto"/>
              </w:rPr>
              <w:t>119,606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income (loss) before fixed charges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360,769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(54,836)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185,294</w:t>
            </w:r>
          </w:p>
        </w:tc>
        <w:tc>
          <w:tcPr>
            <w:tcW w:w="4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573,669</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446,815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spacing w:after="0"/>
              <w:rPr>
                <w:sz w:val="20"/>
                <w:szCs w:val="20"/>
                <w:color w:val="auto"/>
              </w:rPr>
            </w:pPr>
            <w:r>
              <w:rPr>
                <w:rFonts w:ascii="Arial" w:cs="Arial" w:eastAsia="Arial" w:hAnsi="Arial"/>
                <w:sz w:val="17"/>
                <w:szCs w:val="17"/>
                <w:color w:val="auto"/>
              </w:rPr>
              <w:t>Fixed Charges: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Interest (b)</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97,709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107,890</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139,899</w:t>
            </w:r>
          </w:p>
        </w:tc>
        <w:tc>
          <w:tcPr>
            <w:tcW w:w="4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$ 137,110</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$104,254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gridSpan w:val="2"/>
          </w:tcPr>
          <w:p>
            <w:pPr>
              <w:ind w:left="400"/>
              <w:spacing w:after="0"/>
              <w:rPr>
                <w:sz w:val="20"/>
                <w:szCs w:val="20"/>
                <w:color w:val="auto"/>
              </w:rPr>
            </w:pPr>
            <w:r>
              <w:rPr>
                <w:rFonts w:ascii="Arial" w:cs="Arial" w:eastAsia="Arial" w:hAnsi="Arial"/>
                <w:sz w:val="17"/>
                <w:szCs w:val="17"/>
                <w:color w:val="auto"/>
              </w:rPr>
              <w:t>Other (c)</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19,410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19,508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20,255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18,264</w:t>
            </w:r>
          </w:p>
        </w:tc>
        <w:tc>
          <w:tcPr>
            <w:tcW w:w="660" w:type="dxa"/>
            <w:vAlign w:val="bottom"/>
          </w:tcPr>
          <w:p>
            <w:pPr>
              <w:jc w:val="right"/>
              <w:spacing w:after="0"/>
              <w:rPr>
                <w:sz w:val="20"/>
                <w:szCs w:val="20"/>
                <w:color w:val="auto"/>
              </w:rPr>
            </w:pPr>
            <w:r>
              <w:rPr>
                <w:rFonts w:ascii="Arial" w:cs="Arial" w:eastAsia="Arial" w:hAnsi="Arial"/>
                <w:sz w:val="17"/>
                <w:szCs w:val="17"/>
                <w:color w:val="auto"/>
              </w:rPr>
              <w:t>15,352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fixed charges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117,119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127,398</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160,154</w:t>
            </w:r>
          </w:p>
        </w:tc>
        <w:tc>
          <w:tcPr>
            <w:tcW w:w="4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155,374</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$ 119,606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spacing w:after="0"/>
              <w:rPr>
                <w:sz w:val="20"/>
                <w:szCs w:val="20"/>
                <w:color w:val="auto"/>
              </w:rPr>
            </w:pPr>
            <w:r>
              <w:rPr>
                <w:rFonts w:ascii="Arial" w:cs="Arial" w:eastAsia="Arial" w:hAnsi="Arial"/>
                <w:sz w:val="17"/>
                <w:szCs w:val="17"/>
                <w:color w:val="auto"/>
              </w:rPr>
              <w:t>Ratio of earnings to fixed charges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7"/>
                <w:szCs w:val="17"/>
                <w:color w:val="auto"/>
              </w:rPr>
              <w:t>3.08(d)</w:t>
            </w: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1.16(f)</w:t>
            </w:r>
          </w:p>
        </w:tc>
        <w:tc>
          <w:tcPr>
            <w:tcW w:w="1320" w:type="dxa"/>
            <w:vAlign w:val="bottom"/>
            <w:gridSpan w:val="3"/>
          </w:tcPr>
          <w:p>
            <w:pPr>
              <w:jc w:val="right"/>
              <w:ind w:right="500"/>
              <w:spacing w:after="0"/>
              <w:rPr>
                <w:sz w:val="20"/>
                <w:szCs w:val="20"/>
                <w:color w:val="auto"/>
              </w:rPr>
            </w:pPr>
            <w:r>
              <w:rPr>
                <w:rFonts w:ascii="Arial" w:cs="Arial" w:eastAsia="Arial" w:hAnsi="Arial"/>
                <w:sz w:val="17"/>
                <w:szCs w:val="17"/>
                <w:color w:val="auto"/>
              </w:rPr>
              <w:t>3.69</w:t>
            </w:r>
          </w:p>
        </w:tc>
        <w:tc>
          <w:tcPr>
            <w:tcW w:w="660" w:type="dxa"/>
            <w:vAlign w:val="bottom"/>
          </w:tcPr>
          <w:p>
            <w:pPr>
              <w:jc w:val="right"/>
              <w:spacing w:after="0"/>
              <w:rPr>
                <w:sz w:val="20"/>
                <w:szCs w:val="20"/>
                <w:color w:val="auto"/>
              </w:rPr>
            </w:pPr>
            <w:r>
              <w:rPr>
                <w:rFonts w:ascii="Arial" w:cs="Arial" w:eastAsia="Arial" w:hAnsi="Arial"/>
                <w:sz w:val="17"/>
                <w:szCs w:val="17"/>
                <w:color w:val="auto"/>
              </w:rPr>
              <w:t>3.74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3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94"/>
              </w:rPr>
              <w:t>Deficiency in the coverage of operating income (loss) before fixed charges</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 total fixed charges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182,234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hanging="456"/>
        <w:spacing w:after="0"/>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For purposes of computing the ratio of earnings to fixed charges:</w:t>
      </w:r>
    </w:p>
    <w:p>
      <w:pPr>
        <w:spacing w:after="0" w:line="78" w:lineRule="exact"/>
        <w:rPr>
          <w:rFonts w:ascii="Arial" w:cs="Arial" w:eastAsia="Arial" w:hAnsi="Arial"/>
          <w:sz w:val="17"/>
          <w:szCs w:val="17"/>
          <w:color w:val="auto"/>
        </w:rPr>
      </w:pPr>
    </w:p>
    <w:p>
      <w:pPr>
        <w:ind w:left="780" w:hanging="319"/>
        <w:spacing w:after="0"/>
        <w:tabs>
          <w:tab w:leader="none" w:pos="7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earnings for the years presented represent income before income taxes and fixed charges, and</w:t>
      </w:r>
    </w:p>
    <w:p>
      <w:pPr>
        <w:spacing w:after="0" w:line="104" w:lineRule="exact"/>
        <w:rPr>
          <w:rFonts w:ascii="Arial" w:cs="Arial" w:eastAsia="Arial" w:hAnsi="Arial"/>
          <w:sz w:val="17"/>
          <w:szCs w:val="17"/>
          <w:color w:val="auto"/>
        </w:rPr>
      </w:pPr>
    </w:p>
    <w:p>
      <w:pPr>
        <w:ind w:left="780" w:hanging="319"/>
        <w:spacing w:after="0"/>
        <w:tabs>
          <w:tab w:leader="none" w:pos="7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fixed charges represent the interest expense and the portion of rental expense which represents an appropriate interest factor.</w:t>
      </w:r>
    </w:p>
    <w:p>
      <w:pPr>
        <w:spacing w:after="0" w:line="104" w:lineRule="exact"/>
        <w:rPr>
          <w:rFonts w:ascii="Arial" w:cs="Arial" w:eastAsia="Arial" w:hAnsi="Arial"/>
          <w:sz w:val="17"/>
          <w:szCs w:val="17"/>
          <w:color w:val="auto"/>
        </w:rPr>
      </w:pPr>
    </w:p>
    <w:p>
      <w:pPr>
        <w:ind w:left="460" w:right="200" w:hanging="456"/>
        <w:spacing w:after="0" w:line="280"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Company’s policy is to include interest expense on unrecognized tax benefits in income tax expense. Accordingly, such interest expense is not included in the computations of the ratio of earnings to fixed charges.</w:t>
      </w:r>
    </w:p>
    <w:p>
      <w:pPr>
        <w:spacing w:after="0" w:line="26" w:lineRule="exact"/>
        <w:rPr>
          <w:rFonts w:ascii="Arial" w:cs="Arial" w:eastAsia="Arial" w:hAnsi="Arial"/>
          <w:sz w:val="17"/>
          <w:szCs w:val="17"/>
          <w:color w:val="auto"/>
        </w:rPr>
      </w:pPr>
    </w:p>
    <w:p>
      <w:pPr>
        <w:ind w:left="460" w:hanging="456"/>
        <w:spacing w:after="0"/>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Other fixed charges consist of the interest factor in rentals.</w:t>
      </w:r>
    </w:p>
    <w:p>
      <w:pPr>
        <w:spacing w:after="0" w:line="78" w:lineRule="exact"/>
        <w:rPr>
          <w:rFonts w:ascii="Arial" w:cs="Arial" w:eastAsia="Arial" w:hAnsi="Arial"/>
          <w:sz w:val="17"/>
          <w:szCs w:val="17"/>
          <w:color w:val="auto"/>
        </w:rPr>
      </w:pPr>
    </w:p>
    <w:p>
      <w:pPr>
        <w:ind w:left="460" w:right="80" w:hanging="456"/>
        <w:spacing w:after="0" w:line="320" w:lineRule="auto"/>
        <w:tabs>
          <w:tab w:leader="none" w:pos="4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(see Notes 16, 18 and 19 of Notes to Consolidated Financial Statements). Excluding the impact of such items, the ratio of earnings to fixed charges would have been 3.96.</w:t>
      </w:r>
    </w:p>
    <w:p>
      <w:pPr>
        <w:spacing w:after="0" w:line="1" w:lineRule="exact"/>
        <w:rPr>
          <w:rFonts w:ascii="Arial" w:cs="Arial" w:eastAsia="Arial" w:hAnsi="Arial"/>
          <w:sz w:val="15"/>
          <w:szCs w:val="15"/>
          <w:color w:val="auto"/>
        </w:rPr>
      </w:pPr>
    </w:p>
    <w:p>
      <w:pPr>
        <w:ind w:left="460" w:right="40" w:hanging="456"/>
        <w:spacing w:after="0" w:line="262"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Operating income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(see Notes 16 and 18 of Notes to Consolidated Financial Statements). Excluding the impact of such items, the ratio of earnings to fixed charges would have been 1.21.</w:t>
      </w:r>
    </w:p>
    <w:p>
      <w:pPr>
        <w:spacing w:after="0" w:line="42" w:lineRule="exact"/>
        <w:rPr>
          <w:rFonts w:ascii="Arial" w:cs="Arial" w:eastAsia="Arial" w:hAnsi="Arial"/>
          <w:sz w:val="17"/>
          <w:szCs w:val="17"/>
          <w:color w:val="auto"/>
        </w:rPr>
      </w:pPr>
    </w:p>
    <w:p>
      <w:pPr>
        <w:ind w:left="460" w:right="400" w:hanging="456"/>
        <w:spacing w:after="0" w:line="349" w:lineRule="auto"/>
        <w:tabs>
          <w:tab w:leader="none" w:pos="4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2008 is presented after giving effect to a charge of $199,550 relating to the LAM Merger (see Note 8 of Notes to Consolidated Financial Statements). Excluding the impact of such charge, the ratio of earnings to fixed charges would have been 2.40.</w:t>
      </w:r>
    </w:p>
    <w:p>
      <w:pPr>
        <w:sectPr>
          <w:pgSz w:w="11900" w:h="16838" w:orient="portrait"/>
          <w:cols w:equalWidth="0" w:num="1">
            <w:col w:w="11420"/>
          </w:cols>
          <w:pgMar w:left="240" w:top="127"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7"/>
          <w:szCs w:val="17"/>
          <w:b w:val="1"/>
          <w:bCs w:val="1"/>
          <w:color w:val="auto"/>
        </w:rPr>
        <w:t>Exhibit 21.1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780" w:type="dxa"/>
            <w:vAlign w:val="bottom"/>
            <w:gridSpan w:val="2"/>
          </w:tcPr>
          <w:p>
            <w:pPr>
              <w:ind w:left="760"/>
              <w:spacing w:after="0"/>
              <w:rPr>
                <w:sz w:val="20"/>
                <w:szCs w:val="20"/>
                <w:color w:val="auto"/>
              </w:rPr>
            </w:pPr>
            <w:r>
              <w:rPr>
                <w:rFonts w:ascii="Arial" w:cs="Arial" w:eastAsia="Arial" w:hAnsi="Arial"/>
                <w:sz w:val="17"/>
                <w:szCs w:val="17"/>
                <w:b w:val="1"/>
                <w:bCs w:val="1"/>
                <w:color w:val="auto"/>
              </w:rPr>
              <w:t>SUBSIDIARIES OF REGISTRANT</w:t>
            </w:r>
          </w:p>
        </w:tc>
      </w:tr>
      <w:tr>
        <w:trPr>
          <w:trHeight w:val="302"/>
        </w:trPr>
        <w:tc>
          <w:tcPr>
            <w:tcW w:w="3640" w:type="dxa"/>
            <w:vAlign w:val="bottom"/>
            <w:gridSpan w:val="2"/>
          </w:tcPr>
          <w:p>
            <w:pPr>
              <w:spacing w:after="0"/>
              <w:rPr>
                <w:sz w:val="20"/>
                <w:szCs w:val="20"/>
                <w:color w:val="auto"/>
              </w:rPr>
            </w:pPr>
            <w:r>
              <w:rPr>
                <w:rFonts w:ascii="Arial" w:cs="Arial" w:eastAsia="Arial" w:hAnsi="Arial"/>
                <w:sz w:val="13"/>
                <w:szCs w:val="13"/>
                <w:b w:val="1"/>
                <w:bCs w:val="1"/>
                <w:color w:val="auto"/>
              </w:rPr>
              <w:t>NAME OF SUBSIDIARY</w:t>
            </w:r>
          </w:p>
        </w:tc>
        <w:tc>
          <w:tcPr>
            <w:tcW w:w="24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3"/>
                <w:szCs w:val="13"/>
                <w:b w:val="1"/>
                <w:bCs w:val="1"/>
                <w:color w:val="auto"/>
              </w:rPr>
              <w:t>COUNTRY OF ORGANIZATION</w:t>
            </w:r>
          </w:p>
        </w:tc>
      </w:tr>
      <w:tr>
        <w:trPr>
          <w:trHeight w:val="193"/>
        </w:trPr>
        <w:tc>
          <w:tcPr>
            <w:tcW w:w="15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Lazard Group LLC</w:t>
            </w:r>
          </w:p>
        </w:tc>
        <w:tc>
          <w:tcPr>
            <w:tcW w:w="2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7"/>
                <w:szCs w:val="17"/>
                <w:color w:val="auto"/>
                <w:w w:val="90"/>
              </w:rPr>
              <w:t>U.S.</w:t>
            </w: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Lazard International Holdings, Inc.</w:t>
            </w: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0"/>
              </w:rPr>
              <w:t>U.S.</w:t>
            </w: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Lazard Frères &amp; Co. LLC</w:t>
            </w: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0"/>
              </w:rPr>
              <w:t>U.S.</w:t>
            </w: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Lazard Asset Management LLC</w:t>
            </w: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0"/>
              </w:rPr>
              <w:t>U.S.</w:t>
            </w: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Lazard Funding Limited LLC</w:t>
            </w: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0"/>
              </w:rPr>
              <w:t>U.S.</w:t>
            </w: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Lazard &amp; Co., Holdings Limited</w:t>
            </w: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5"/>
              </w:rPr>
              <w:t>United Kingdom</w:t>
            </w: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Lazard &amp; Co., Limited</w:t>
            </w: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5"/>
              </w:rPr>
              <w:t>United Kingdom</w:t>
            </w: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Compagnie Financière Lazard Frères SAS</w:t>
            </w: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86"/>
              </w:rPr>
              <w:t>France</w:t>
            </w: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Lazard Frères Gestion SAS</w:t>
            </w: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86"/>
              </w:rPr>
              <w:t>France</w:t>
            </w: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Lazard Frères Banque SA</w:t>
            </w: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86"/>
              </w:rPr>
              <w:t>France</w:t>
            </w:r>
          </w:p>
        </w:tc>
      </w:tr>
      <w:tr>
        <w:trPr>
          <w:trHeight w:val="215"/>
        </w:trPr>
        <w:tc>
          <w:tcPr>
            <w:tcW w:w="3640" w:type="dxa"/>
            <w:vAlign w:val="bottom"/>
            <w:gridSpan w:val="2"/>
          </w:tcPr>
          <w:p>
            <w:pPr>
              <w:spacing w:after="0"/>
              <w:rPr>
                <w:sz w:val="20"/>
                <w:szCs w:val="20"/>
                <w:color w:val="auto"/>
              </w:rPr>
            </w:pPr>
            <w:r>
              <w:rPr>
                <w:rFonts w:ascii="Arial" w:cs="Arial" w:eastAsia="Arial" w:hAnsi="Arial"/>
                <w:sz w:val="17"/>
                <w:szCs w:val="17"/>
                <w:color w:val="auto"/>
              </w:rPr>
              <w:t>Maison Lazard SAS</w:t>
            </w: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86"/>
              </w:rPr>
              <w:t>France</w:t>
            </w:r>
          </w:p>
        </w:tc>
      </w:tr>
    </w:tbl>
    <w:p>
      <w:pPr>
        <w:sectPr>
          <w:pgSz w:w="11900" w:h="16838" w:orient="portrait"/>
          <w:cols w:equalWidth="0" w:num="1">
            <w:col w:w="11420"/>
          </w:cols>
          <w:pgMar w:left="240" w:top="127"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7"/>
          <w:szCs w:val="17"/>
          <w:b w:val="1"/>
          <w:bCs w:val="1"/>
          <w:color w:val="auto"/>
        </w:rPr>
        <w:t>Exhibit 23.1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61"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color w:val="auto"/>
        </w:rPr>
        <w:t>We consent to the incorporation by reference in Registration Statement No. 333-126752 and No. 333-154977 each on Form S-8 and Registration Statement No. 333-165511 on Form S-3 of our reports dated February 25, 2011, relating to the consolidated financial statements and financial statement schedule of Lazard Ltd, and the effectiveness of Lazard Ltd’s internal control over financial reporting appearing in this Annual Report on Form 10-K of Lazard Ltd for the year ended December 31, 2010.</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February 25, 2011</w:t>
      </w:r>
    </w:p>
    <w:p>
      <w:pPr>
        <w:sectPr>
          <w:pgSz w:w="11900" w:h="16838" w:orient="portrait"/>
          <w:cols w:equalWidth="0" w:num="1">
            <w:col w:w="11420"/>
          </w:cols>
          <w:pgMar w:left="240" w:top="127"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7"/>
          <w:szCs w:val="17"/>
          <w:b w:val="1"/>
          <w:bCs w:val="1"/>
          <w:color w:val="auto"/>
        </w:rPr>
        <w:t>EXHIBIT 31.1</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Kenneth M. Jacobs, certify that:</w:t>
      </w:r>
    </w:p>
    <w:p>
      <w:pPr>
        <w:spacing w:after="0" w:line="157" w:lineRule="exact"/>
        <w:rPr>
          <w:sz w:val="20"/>
          <w:szCs w:val="20"/>
          <w:color w:val="auto"/>
        </w:rPr>
      </w:pPr>
    </w:p>
    <w:p>
      <w:pPr>
        <w:ind w:left="640" w:hanging="179"/>
        <w:spacing w:after="0"/>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2010 of Lazard Ltd (the “Registrant”);</w:t>
      </w:r>
    </w:p>
    <w:p>
      <w:pPr>
        <w:spacing w:after="0" w:line="156" w:lineRule="exact"/>
        <w:rPr>
          <w:rFonts w:ascii="Arial" w:cs="Arial" w:eastAsia="Arial" w:hAnsi="Arial"/>
          <w:sz w:val="17"/>
          <w:szCs w:val="17"/>
          <w:color w:val="auto"/>
        </w:rPr>
      </w:pPr>
    </w:p>
    <w:p>
      <w:pPr>
        <w:ind w:right="160" w:firstLine="461"/>
        <w:spacing w:after="0" w:line="313" w:lineRule="auto"/>
        <w:tabs>
          <w:tab w:leader="none" w:pos="626"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6"/>
          <w:szCs w:val="16"/>
          <w:color w:val="auto"/>
        </w:rPr>
      </w:pPr>
    </w:p>
    <w:p>
      <w:pPr>
        <w:ind w:right="240" w:firstLine="461"/>
        <w:spacing w:after="0" w:line="280" w:lineRule="auto"/>
        <w:tabs>
          <w:tab w:leader="none" w:pos="626"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40" w:firstLine="461"/>
        <w:spacing w:after="0" w:line="335" w:lineRule="auto"/>
        <w:tabs>
          <w:tab w:leader="none" w:pos="626"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ind w:left="460" w:right="180" w:firstLine="440"/>
        <w:spacing w:after="0" w:line="268" w:lineRule="auto"/>
        <w:tabs>
          <w:tab w:leader="none" w:pos="1129" w:val="left"/>
        </w:tabs>
        <w:numPr>
          <w:ilvl w:val="1"/>
          <w:numId w:val="8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Arial" w:cs="Arial" w:eastAsia="Arial" w:hAnsi="Arial"/>
          <w:sz w:val="17"/>
          <w:szCs w:val="17"/>
          <w:color w:val="auto"/>
        </w:rPr>
      </w:pPr>
    </w:p>
    <w:p>
      <w:pPr>
        <w:ind w:left="460" w:right="160" w:firstLine="440"/>
        <w:spacing w:after="0" w:line="268" w:lineRule="auto"/>
        <w:tabs>
          <w:tab w:leader="none" w:pos="1139" w:val="left"/>
        </w:tabs>
        <w:numPr>
          <w:ilvl w:val="1"/>
          <w:numId w:val="8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Arial" w:cs="Arial" w:eastAsia="Arial" w:hAnsi="Arial"/>
          <w:sz w:val="17"/>
          <w:szCs w:val="17"/>
          <w:color w:val="auto"/>
        </w:rPr>
      </w:pPr>
    </w:p>
    <w:p>
      <w:pPr>
        <w:ind w:left="460" w:right="160" w:firstLine="440"/>
        <w:spacing w:after="0" w:line="280" w:lineRule="auto"/>
        <w:tabs>
          <w:tab w:leader="none" w:pos="1129"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7"/>
          <w:szCs w:val="17"/>
          <w:color w:val="auto"/>
        </w:rPr>
      </w:pPr>
    </w:p>
    <w:p>
      <w:pPr>
        <w:ind w:left="460" w:right="120" w:firstLine="440"/>
        <w:spacing w:after="0" w:line="268" w:lineRule="auto"/>
        <w:tabs>
          <w:tab w:leader="none" w:pos="1139" w:val="left"/>
        </w:tabs>
        <w:numPr>
          <w:ilvl w:val="1"/>
          <w:numId w:val="8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7"/>
          <w:szCs w:val="17"/>
          <w:color w:val="auto"/>
        </w:rPr>
      </w:pPr>
    </w:p>
    <w:p>
      <w:pPr>
        <w:ind w:right="760" w:firstLine="461"/>
        <w:spacing w:after="0" w:line="313" w:lineRule="auto"/>
        <w:tabs>
          <w:tab w:leader="none" w:pos="626"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460" w:right="140" w:firstLine="440"/>
        <w:spacing w:after="0" w:line="280" w:lineRule="auto"/>
        <w:tabs>
          <w:tab w:leader="none" w:pos="1129"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7"/>
          <w:szCs w:val="17"/>
          <w:color w:val="auto"/>
        </w:rPr>
      </w:pPr>
    </w:p>
    <w:p>
      <w:pPr>
        <w:ind w:left="460" w:right="120" w:firstLine="440"/>
        <w:spacing w:after="0" w:line="280" w:lineRule="auto"/>
        <w:tabs>
          <w:tab w:leader="none" w:pos="1139" w:val="left"/>
        </w:tabs>
        <w:numPr>
          <w:ilvl w:val="1"/>
          <w:numId w:val="8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2011</w:t>
      </w:r>
    </w:p>
    <w:p>
      <w:pPr>
        <w:spacing w:after="0" w:line="36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9006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Kenneth M. Jacobs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w:t>
      </w:r>
    </w:p>
    <w:p>
      <w:pPr>
        <w:sectPr>
          <w:pgSz w:w="11900" w:h="16838" w:orient="portrait"/>
          <w:cols w:equalWidth="0" w:num="1">
            <w:col w:w="11420"/>
          </w:cols>
          <w:pgMar w:left="240" w:top="127"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b w:val="1"/>
          <w:bCs w:val="1"/>
          <w:color w:val="auto"/>
        </w:rPr>
        <w:t>EXHIBIT 31.2</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Michael J. Castellano, certify that:</w:t>
      </w:r>
    </w:p>
    <w:p>
      <w:pPr>
        <w:spacing w:after="0" w:line="157" w:lineRule="exact"/>
        <w:rPr>
          <w:sz w:val="20"/>
          <w:szCs w:val="20"/>
          <w:color w:val="auto"/>
        </w:rPr>
      </w:pPr>
    </w:p>
    <w:p>
      <w:pPr>
        <w:ind w:left="640" w:hanging="179"/>
        <w:spacing w:after="0"/>
        <w:tabs>
          <w:tab w:leader="none" w:pos="6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2010 of Lazard Ltd (the “Registrant”);</w:t>
      </w:r>
    </w:p>
    <w:p>
      <w:pPr>
        <w:spacing w:after="0" w:line="156" w:lineRule="exact"/>
        <w:rPr>
          <w:rFonts w:ascii="Arial" w:cs="Arial" w:eastAsia="Arial" w:hAnsi="Arial"/>
          <w:sz w:val="17"/>
          <w:szCs w:val="17"/>
          <w:color w:val="auto"/>
        </w:rPr>
      </w:pPr>
    </w:p>
    <w:p>
      <w:pPr>
        <w:ind w:right="160" w:firstLine="461"/>
        <w:spacing w:after="0" w:line="313" w:lineRule="auto"/>
        <w:tabs>
          <w:tab w:leader="none" w:pos="626"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6"/>
          <w:szCs w:val="16"/>
          <w:color w:val="auto"/>
        </w:rPr>
      </w:pPr>
    </w:p>
    <w:p>
      <w:pPr>
        <w:ind w:right="240" w:firstLine="461"/>
        <w:spacing w:after="0" w:line="280" w:lineRule="auto"/>
        <w:tabs>
          <w:tab w:leader="none" w:pos="626"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40" w:firstLine="461"/>
        <w:spacing w:after="0" w:line="335" w:lineRule="auto"/>
        <w:tabs>
          <w:tab w:leader="none" w:pos="626"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ind w:left="460" w:right="180" w:firstLine="440"/>
        <w:spacing w:after="0" w:line="268" w:lineRule="auto"/>
        <w:tabs>
          <w:tab w:leader="none" w:pos="1129"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Arial" w:cs="Arial" w:eastAsia="Arial" w:hAnsi="Arial"/>
          <w:sz w:val="17"/>
          <w:szCs w:val="17"/>
          <w:color w:val="auto"/>
        </w:rPr>
      </w:pPr>
    </w:p>
    <w:p>
      <w:pPr>
        <w:ind w:left="460" w:right="160" w:firstLine="440"/>
        <w:spacing w:after="0" w:line="268" w:lineRule="auto"/>
        <w:tabs>
          <w:tab w:leader="none" w:pos="1139"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Arial" w:cs="Arial" w:eastAsia="Arial" w:hAnsi="Arial"/>
          <w:sz w:val="17"/>
          <w:szCs w:val="17"/>
          <w:color w:val="auto"/>
        </w:rPr>
      </w:pPr>
    </w:p>
    <w:p>
      <w:pPr>
        <w:ind w:left="460" w:right="160" w:firstLine="440"/>
        <w:spacing w:after="0" w:line="280" w:lineRule="auto"/>
        <w:tabs>
          <w:tab w:leader="none" w:pos="1129"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7"/>
          <w:szCs w:val="17"/>
          <w:color w:val="auto"/>
        </w:rPr>
      </w:pPr>
    </w:p>
    <w:p>
      <w:pPr>
        <w:ind w:left="460" w:right="120" w:firstLine="440"/>
        <w:spacing w:after="0" w:line="268" w:lineRule="auto"/>
        <w:tabs>
          <w:tab w:leader="none" w:pos="1139" w:val="left"/>
        </w:tabs>
        <w:numPr>
          <w:ilvl w:val="1"/>
          <w:numId w:val="8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7"/>
          <w:szCs w:val="17"/>
          <w:color w:val="auto"/>
        </w:rPr>
      </w:pPr>
    </w:p>
    <w:p>
      <w:pPr>
        <w:ind w:right="760" w:firstLine="461"/>
        <w:spacing w:after="0" w:line="313" w:lineRule="auto"/>
        <w:tabs>
          <w:tab w:leader="none" w:pos="626"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460" w:right="140" w:firstLine="440"/>
        <w:spacing w:after="0" w:line="280" w:lineRule="auto"/>
        <w:tabs>
          <w:tab w:leader="none" w:pos="1129"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7"/>
          <w:szCs w:val="17"/>
          <w:color w:val="auto"/>
        </w:rPr>
      </w:pPr>
    </w:p>
    <w:p>
      <w:pPr>
        <w:ind w:left="460" w:right="120" w:firstLine="440"/>
        <w:spacing w:after="0" w:line="280" w:lineRule="auto"/>
        <w:tabs>
          <w:tab w:leader="none" w:pos="1139" w:val="left"/>
        </w:tabs>
        <w:numPr>
          <w:ilvl w:val="1"/>
          <w:numId w:val="8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2011</w:t>
      </w:r>
    </w:p>
    <w:p>
      <w:pPr>
        <w:spacing w:after="0" w:line="36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9006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Michael J. Castellano</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27"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7"/>
          <w:szCs w:val="17"/>
          <w:b w:val="1"/>
          <w:bCs w:val="1"/>
          <w:color w:val="auto"/>
        </w:rPr>
        <w:t>EXHIBIT 32.1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February 28, 2011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151" w:lineRule="exact"/>
        <w:rPr>
          <w:sz w:val="20"/>
          <w:szCs w:val="20"/>
          <w:color w:val="auto"/>
        </w:rPr>
      </w:pPr>
    </w:p>
    <w:p>
      <w:pPr>
        <w:jc w:val="both"/>
        <w:ind w:firstLine="457"/>
        <w:spacing w:after="0" w:line="292"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Annual Report on Form 10-K for the year ended December 31,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7"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9006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Kenneth M. Jacobs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w:t>
      </w:r>
    </w:p>
    <w:p>
      <w:pPr>
        <w:spacing w:after="0" w:line="164" w:lineRule="exact"/>
        <w:rPr>
          <w:sz w:val="20"/>
          <w:szCs w:val="20"/>
          <w:color w:val="auto"/>
        </w:rPr>
      </w:pPr>
    </w:p>
    <w:p>
      <w:pPr>
        <w:ind w:right="680" w:firstLine="457"/>
        <w:spacing w:after="0" w:line="280" w:lineRule="auto"/>
        <w:rPr>
          <w:sz w:val="20"/>
          <w:szCs w:val="20"/>
          <w:color w:val="auto"/>
        </w:rPr>
      </w:pPr>
      <w:r>
        <w:rPr>
          <w:rFonts w:ascii="Arial" w:cs="Arial" w:eastAsia="Arial" w:hAnsi="Arial"/>
          <w:sz w:val="17"/>
          <w:szCs w:val="17"/>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7"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b w:val="1"/>
          <w:bCs w:val="1"/>
          <w:color w:val="auto"/>
        </w:rPr>
        <w:t>EXHIBIT 32.2</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February 28, 2011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151" w:lineRule="exact"/>
        <w:rPr>
          <w:sz w:val="20"/>
          <w:szCs w:val="20"/>
          <w:color w:val="auto"/>
        </w:rPr>
      </w:pPr>
    </w:p>
    <w:p>
      <w:pPr>
        <w:jc w:val="both"/>
        <w:ind w:firstLine="457"/>
        <w:spacing w:after="0" w:line="292"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Annual Report on Form 10-K for the year ended December 31,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7"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9006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Michael J. Castellano</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51" w:lineRule="exact"/>
        <w:rPr>
          <w:sz w:val="20"/>
          <w:szCs w:val="20"/>
          <w:color w:val="auto"/>
        </w:rPr>
      </w:pPr>
    </w:p>
    <w:p>
      <w:pPr>
        <w:ind w:right="680" w:firstLine="457"/>
        <w:spacing w:after="0" w:line="280" w:lineRule="auto"/>
        <w:rPr>
          <w:sz w:val="20"/>
          <w:szCs w:val="20"/>
          <w:color w:val="auto"/>
        </w:rPr>
      </w:pPr>
      <w:r>
        <w:rPr>
          <w:rFonts w:ascii="Arial" w:cs="Arial" w:eastAsia="Arial" w:hAnsi="Arial"/>
          <w:sz w:val="17"/>
          <w:szCs w:val="17"/>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lowerLetter"/>
      <w:start w:val="3"/>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1)"/>
      <w:numFmt w:val="lowerLetter"/>
      <w:start w:val="1"/>
    </w:lvl>
  </w:abstractNum>
  <w:abstractNum w:abstractNumId="22">
    <w:nsid w:val="520EEDD1"/>
    <w:multiLevelType w:val="hybridMultilevel"/>
    <w:lvl w:ilvl="0">
      <w:lvlJc w:val="left"/>
      <w:lvlText w:val="(%1)"/>
      <w:numFmt w:val="lowerLetter"/>
      <w:start w:val="1"/>
    </w:lvl>
  </w:abstractNum>
  <w:abstractNum w:abstractNumId="23">
    <w:nsid w:val="374A3FE6"/>
    <w:multiLevelType w:val="hybridMultilevel"/>
    <w:lvl w:ilvl="0">
      <w:lvlJc w:val="left"/>
      <w:lvlText w:val="(%1)"/>
      <w:numFmt w:val="lowerLetter"/>
      <w:start w:val="1"/>
    </w:lvl>
  </w:abstractNum>
  <w:abstractNum w:abstractNumId="24">
    <w:nsid w:val="4F4EF005"/>
    <w:multiLevelType w:val="hybridMultilevel"/>
    <w:lvl w:ilvl="0">
      <w:lvlJc w:val="left"/>
      <w:lvlText w:val="(%1)"/>
      <w:numFmt w:val="lowerLetter"/>
      <w:start w:val="1"/>
    </w:lvl>
  </w:abstractNum>
  <w:abstractNum w:abstractNumId="25">
    <w:nsid w:val="23F9C13C"/>
    <w:multiLevelType w:val="hybridMultilevel"/>
    <w:lvl w:ilvl="0">
      <w:lvlJc w:val="left"/>
      <w:lvlText w:val="(%1)"/>
      <w:numFmt w:val="lowerLetter"/>
      <w:start w:val="1"/>
    </w:lvl>
  </w:abstractNum>
  <w:abstractNum w:abstractNumId="26">
    <w:nsid w:val="649BB77C"/>
    <w:multiLevelType w:val="hybridMultilevel"/>
    <w:lvl w:ilvl="0">
      <w:lvlJc w:val="left"/>
      <w:lvlText w:val="(%1)"/>
      <w:numFmt w:val="lowerLetter"/>
      <w:start w:val="1"/>
    </w:lvl>
  </w:abstractNum>
  <w:abstractNum w:abstractNumId="27">
    <w:nsid w:val="275AC794"/>
    <w:multiLevelType w:val="hybridMultilevel"/>
    <w:lvl w:ilvl="0">
      <w:lvlJc w:val="left"/>
      <w:lvlText w:val="(%1)"/>
      <w:numFmt w:val="lowerLetter"/>
      <w:start w:val="1"/>
    </w:lvl>
  </w:abstractNum>
  <w:abstractNum w:abstractNumId="28">
    <w:nsid w:val="39386575"/>
    <w:multiLevelType w:val="hybridMultilevel"/>
    <w:lvl w:ilvl="0">
      <w:lvlJc w:val="left"/>
      <w:lvlText w:val="(%1)"/>
      <w:numFmt w:val="lowerLetter"/>
      <w:start w:val="1"/>
    </w:lvl>
  </w:abstractNum>
  <w:abstractNum w:abstractNumId="29">
    <w:nsid w:val="1CF10FD8"/>
    <w:multiLevelType w:val="hybridMultilevel"/>
    <w:lvl w:ilvl="0">
      <w:lvlJc w:val="left"/>
      <w:lvlText w:val="(%1)"/>
      <w:numFmt w:val="lowerLetter"/>
      <w:start w:val="1"/>
    </w:lvl>
  </w:abstractNum>
  <w:abstractNum w:abstractNumId="30">
    <w:nsid w:val="180115BE"/>
    <w:multiLevelType w:val="hybridMultilevel"/>
    <w:lvl w:ilvl="0">
      <w:lvlJc w:val="left"/>
      <w:lvlText w:val="(%1)"/>
      <w:numFmt w:val="lowerLetter"/>
      <w:start w:val="1"/>
    </w:lvl>
  </w:abstractNum>
  <w:abstractNum w:abstractNumId="31">
    <w:nsid w:val="235BA861"/>
    <w:multiLevelType w:val="hybridMultilevel"/>
    <w:lvl w:ilvl="0">
      <w:lvlJc w:val="left"/>
      <w:lvlText w:val="(%1)"/>
      <w:numFmt w:val="lowerLetter"/>
      <w:start w:val="2"/>
    </w:lvl>
  </w:abstractNum>
  <w:abstractNum w:abstractNumId="32">
    <w:nsid w:val="47398C89"/>
    <w:multiLevelType w:val="hybridMultilevel"/>
    <w:lvl w:ilvl="0">
      <w:lvlJc w:val="left"/>
      <w:lvlText w:val="(%1)"/>
      <w:numFmt w:val="lowerLetter"/>
      <w:start w:val="1"/>
    </w:lvl>
  </w:abstractNum>
  <w:abstractNum w:abstractNumId="33">
    <w:nsid w:val="354FE9F9"/>
    <w:multiLevelType w:val="hybridMultilevel"/>
    <w:lvl w:ilvl="0">
      <w:lvlJc w:val="left"/>
      <w:lvlText w:val="(%1)"/>
      <w:numFmt w:val="lowerLetter"/>
      <w:start w:val="3"/>
    </w:lvl>
  </w:abstractNum>
  <w:abstractNum w:abstractNumId="34">
    <w:nsid w:val="15B5AF5C"/>
    <w:multiLevelType w:val="hybridMultilevel"/>
    <w:lvl w:ilvl="0">
      <w:lvlJc w:val="left"/>
      <w:lvlText w:val="(%1)"/>
      <w:numFmt w:val="lowerLetter"/>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lowerLetter"/>
      <w:start w:val="1"/>
    </w:lvl>
  </w:abstractNum>
  <w:abstractNum w:abstractNumId="37">
    <w:nsid w:val="10233C99"/>
    <w:multiLevelType w:val="hybridMultilevel"/>
    <w:lvl w:ilvl="0">
      <w:lvlJc w:val="left"/>
      <w:lvlText w:val="(%1)"/>
      <w:numFmt w:val="lowerLetter"/>
      <w:start w:val="3"/>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1."/>
      <w:numFmt w:val="decimal"/>
      <w:start w:val="2"/>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1."/>
      <w:numFmt w:val="decimal"/>
      <w:start w:val="3"/>
    </w:lvl>
  </w:abstractNum>
  <w:abstractNum w:abstractNumId="47">
    <w:nsid w:val="1DBABF00"/>
    <w:multiLevelType w:val="hybridMultilevel"/>
    <w:lvl w:ilvl="0">
      <w:lvlJc w:val="left"/>
      <w:lvlText w:val="%1."/>
      <w:numFmt w:val="decimal"/>
      <w:start w:val="4"/>
    </w:lvl>
  </w:abstractNum>
  <w:abstractNum w:abstractNumId="48">
    <w:nsid w:val="4AD084E9"/>
    <w:multiLevelType w:val="hybridMultilevel"/>
    <w:lvl w:ilvl="0">
      <w:lvlJc w:val="left"/>
      <w:lvlText w:val="%1."/>
      <w:numFmt w:val="decimal"/>
      <w:start w:val="5"/>
    </w:lvl>
  </w:abstractNum>
  <w:abstractNum w:abstractNumId="49">
    <w:nsid w:val="1F48EAA1"/>
    <w:multiLevelType w:val="hybridMultilevel"/>
    <w:lvl w:ilvl="0">
      <w:lvlJc w:val="left"/>
      <w:lvlText w:val="%1."/>
      <w:numFmt w:val="decimal"/>
      <w:start w:val="6"/>
    </w:lvl>
  </w:abstractNum>
  <w:abstractNum w:abstractNumId="50">
    <w:nsid w:val="1381823A"/>
    <w:multiLevelType w:val="hybridMultilevel"/>
    <w:lvl w:ilvl="0">
      <w:lvlJc w:val="left"/>
      <w:lvlText w:val="%1."/>
      <w:numFmt w:val="decimal"/>
      <w:start w:val="7"/>
    </w:lvl>
  </w:abstractNum>
  <w:abstractNum w:abstractNumId="51">
    <w:nsid w:val="5DB70AE5"/>
    <w:multiLevelType w:val="hybridMultilevel"/>
    <w:lvl w:ilvl="0">
      <w:lvlJc w:val="left"/>
      <w:lvlText w:val="%1."/>
      <w:numFmt w:val="decimal"/>
      <w:start w:val="8"/>
    </w:lvl>
  </w:abstractNum>
  <w:abstractNum w:abstractNumId="52">
    <w:nsid w:val="100F8FCA"/>
    <w:multiLevelType w:val="hybridMultilevel"/>
    <w:lvl w:ilvl="0">
      <w:lvlJc w:val="left"/>
      <w:lvlText w:val="%1."/>
      <w:numFmt w:val="decimal"/>
      <w:start w:val="9"/>
    </w:lvl>
  </w:abstractNum>
  <w:abstractNum w:abstractNumId="53">
    <w:nsid w:val="6590700B"/>
    <w:multiLevelType w:val="hybridMultilevel"/>
    <w:lvl w:ilvl="0">
      <w:lvlJc w:val="left"/>
      <w:lvlText w:val="%1."/>
      <w:numFmt w:val="decimal"/>
      <w:start w:val="10"/>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decimal"/>
      <w:start w:val="12"/>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1)"/>
      <w:numFmt w:val="lowerLetter"/>
      <w:start w:val="2"/>
    </w:lvl>
  </w:abstractNum>
  <w:abstractNum w:abstractNumId="58">
    <w:nsid w:val="6B94764"/>
    <w:multiLevelType w:val="hybridMultilevel"/>
    <w:lvl w:ilvl="0">
      <w:lvlJc w:val="left"/>
      <w:lvlText w:val="%1."/>
      <w:numFmt w:val="decimal"/>
      <w:start w:val="14"/>
    </w:lvl>
  </w:abstractNum>
  <w:abstractNum w:abstractNumId="59">
    <w:nsid w:val="42C296BD"/>
    <w:multiLevelType w:val="hybridMultilevel"/>
    <w:lvl w:ilvl="0">
      <w:lvlJc w:val="left"/>
      <w:lvlText w:val="%1."/>
      <w:numFmt w:val="decimal"/>
      <w:start w:val="15"/>
    </w:lvl>
  </w:abstractNum>
  <w:abstractNum w:abstractNumId="60">
    <w:nsid w:val="168E121F"/>
    <w:multiLevelType w:val="hybridMultilevel"/>
    <w:lvl w:ilvl="0">
      <w:lvlJc w:val="left"/>
      <w:lvlText w:val="(%1)"/>
      <w:numFmt w:val="lowerRoman"/>
      <w:start w:val="2"/>
    </w:lvl>
  </w:abstractNum>
  <w:abstractNum w:abstractNumId="61">
    <w:nsid w:val="1EBA5D23"/>
    <w:multiLevelType w:val="hybridMultilevel"/>
    <w:lvl w:ilvl="0">
      <w:lvlJc w:val="left"/>
      <w:lvlText w:val="%1."/>
      <w:numFmt w:val="decimal"/>
      <w:start w:val="16"/>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1."/>
      <w:numFmt w:val="decimal"/>
      <w:start w:val="17"/>
    </w:lvl>
  </w:abstractNum>
  <w:abstractNum w:abstractNumId="64">
    <w:nsid w:val="540A471C"/>
    <w:multiLevelType w:val="hybridMultilevel"/>
    <w:lvl w:ilvl="0">
      <w:lvlJc w:val="left"/>
      <w:lvlText w:val="%1."/>
      <w:numFmt w:val="decimal"/>
      <w:start w:val="18"/>
    </w:lvl>
  </w:abstractNum>
  <w:abstractNum w:abstractNumId="65">
    <w:nsid w:val="7BD3EE7B"/>
    <w:multiLevelType w:val="hybridMultilevel"/>
    <w:lvl w:ilvl="0">
      <w:lvlJc w:val="left"/>
      <w:lvlText w:val="%1."/>
      <w:numFmt w:val="decimal"/>
      <w:start w:val="19"/>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1."/>
      <w:numFmt w:val="decimal"/>
      <w:start w:val="20"/>
    </w:lvl>
  </w:abstractNum>
  <w:abstractNum w:abstractNumId="69">
    <w:nsid w:val="11447B73"/>
    <w:multiLevelType w:val="hybridMultilevel"/>
    <w:lvl w:ilvl="0">
      <w:lvlJc w:val="left"/>
      <w:lvlText w:val="%1."/>
      <w:numFmt w:val="decimal"/>
      <w:start w:val="21"/>
    </w:lvl>
  </w:abstractNum>
  <w:abstractNum w:abstractNumId="70">
    <w:nsid w:val="42963E5A"/>
    <w:multiLevelType w:val="hybridMultilevel"/>
    <w:lvl w:ilvl="0">
      <w:lvlJc w:val="left"/>
      <w:lvlText w:val="%1."/>
      <w:numFmt w:val="decimal"/>
      <w:start w:val="22"/>
    </w:lvl>
  </w:abstractNum>
  <w:abstractNum w:abstractNumId="71">
    <w:nsid w:val="A0382C5"/>
    <w:multiLevelType w:val="hybridMultilevel"/>
    <w:lvl w:ilvl="0">
      <w:lvlJc w:val="left"/>
      <w:lvlText w:val="%1."/>
      <w:numFmt w:val="decimal"/>
      <w:start w:val="23"/>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1)"/>
      <w:numFmt w:val="lowerLetter"/>
      <w:start w:val="1"/>
    </w:lvl>
  </w:abstractNum>
  <w:abstractNum w:abstractNumId="74">
    <w:nsid w:val="3B0FD379"/>
    <w:multiLevelType w:val="hybridMultilevel"/>
    <w:lvl w:ilvl="0">
      <w:lvlJc w:val="left"/>
      <w:lvlText w:val="(%1)"/>
      <w:numFmt w:val="lowerLetter"/>
      <w:start w:val="2"/>
    </w:lvl>
  </w:abstractNum>
  <w:abstractNum w:abstractNumId="75">
    <w:nsid w:val="68EB2F63"/>
    <w:multiLevelType w:val="hybridMultilevel"/>
    <w:lvl w:ilvl="0">
      <w:lvlJc w:val="left"/>
      <w:lvlText w:val="(%1)"/>
      <w:numFmt w:val="lowerLetter"/>
      <w:start w:val="3"/>
    </w:lvl>
  </w:abstractNum>
  <w:abstractNum w:abstractNumId="76">
    <w:nsid w:val="4962813B"/>
    <w:multiLevelType w:val="hybridMultilevel"/>
    <w:lvl w:ilvl="0">
      <w:lvlJc w:val="left"/>
      <w:lvlText w:val="(%1)"/>
      <w:numFmt w:val="decimal"/>
      <w:start w:val="1"/>
    </w:lvl>
  </w:abstractNum>
  <w:abstractNum w:abstractNumId="77">
    <w:nsid w:val="60B6DF70"/>
    <w:multiLevelType w:val="hybridMultilevel"/>
    <w:lvl w:ilvl="0">
      <w:lvlJc w:val="left"/>
      <w:lvlText w:val="(%1)"/>
      <w:numFmt w:val="decimal"/>
      <w:start w:val="2"/>
    </w:lvl>
  </w:abstractNum>
  <w:abstractNum w:abstractNumId="78">
    <w:nsid w:val="6A5EE64"/>
    <w:multiLevelType w:val="hybridMultilevel"/>
    <w:lvl w:ilvl="0">
      <w:lvlJc w:val="left"/>
      <w:lvlText w:val="(%1)"/>
      <w:numFmt w:val="lowerLetter"/>
      <w:start w:val="1"/>
    </w:lvl>
    <w:lvl w:ilvl="1">
      <w:lvlJc w:val="left"/>
      <w:lvlText w:val="%2."/>
      <w:numFmt w:val="decimal"/>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lowerLetter"/>
      <w:start w:val="1"/>
    </w:lvl>
    <w:lvl w:ilvl="1">
      <w:lvlJc w:val="left"/>
      <w:lvlText w:val="•"/>
      <w:numFmt w:val="bullet"/>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2019-12-11T00:52:13Z</dcterms:created>
  <dcterms:modified xsi:type="dcterms:W3CDTF">2019-12-11T00:52:13Z</dcterms:modified>
</cp:coreProperties>
</file>