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808990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833755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2" w:lineRule="exact"/>
        <w:rPr>
          <w:sz w:val="24"/>
          <w:szCs w:val="24"/>
          <w:color w:val="auto"/>
        </w:rPr>
      </w:pPr>
    </w:p>
    <w:p>
      <w:pPr>
        <w:ind w:left="480" w:hanging="460"/>
        <w:spacing w:after="0"/>
        <w:tabs>
          <w:tab w:leader="none" w:pos="48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93" w:lineRule="exact"/>
        <w:rPr>
          <w:sz w:val="24"/>
          <w:szCs w:val="24"/>
          <w:color w:val="auto"/>
        </w:rPr>
      </w:pPr>
    </w:p>
    <w:p>
      <w:pPr>
        <w:ind w:left="480" w:hanging="460"/>
        <w:spacing w:after="0"/>
        <w:tabs>
          <w:tab w:leader="none" w:pos="48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7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________to ________</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001-32492</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LAZARD, INC.</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83" w:lineRule="exact"/>
        <w:rPr>
          <w:sz w:val="24"/>
          <w:szCs w:val="24"/>
          <w:color w:val="auto"/>
        </w:rPr>
      </w:pPr>
    </w:p>
    <w:tbl>
      <w:tblPr>
        <w:tblLayout w:type="fixed"/>
        <w:tblInd w:w="530" w:type="dxa"/>
        <w:tblCellMar>
          <w:top w:w="0" w:type="dxa"/>
          <w:left w:w="0" w:type="dxa"/>
          <w:bottom w:w="0" w:type="dxa"/>
          <w:right w:w="0" w:type="dxa"/>
        </w:tblCellMar>
      </w:tblPr>
      <w:tr>
        <w:trPr>
          <w:trHeight w:val="227"/>
        </w:trPr>
        <w:tc>
          <w:tcPr>
            <w:tcW w:w="3360" w:type="dxa"/>
            <w:vAlign w:val="bottom"/>
          </w:tcPr>
          <w:p>
            <w:pPr>
              <w:jc w:val="center"/>
              <w:ind w:left="1188"/>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tcPr>
          <w:p>
            <w:pPr>
              <w:jc w:val="right"/>
              <w:ind w:right="1827"/>
              <w:spacing w:after="0"/>
              <w:rPr>
                <w:sz w:val="20"/>
                <w:szCs w:val="20"/>
                <w:color w:val="auto"/>
              </w:rPr>
            </w:pPr>
            <w:r>
              <w:rPr>
                <w:rFonts w:ascii="Times New Roman" w:cs="Times New Roman" w:eastAsia="Times New Roman" w:hAnsi="Times New Roman"/>
                <w:sz w:val="17"/>
                <w:szCs w:val="17"/>
                <w:b w:val="1"/>
                <w:bCs w:val="1"/>
                <w:color w:val="auto"/>
              </w:rPr>
              <w:t>98-0437848</w:t>
            </w:r>
          </w:p>
        </w:tc>
      </w:tr>
      <w:tr>
        <w:trPr>
          <w:trHeight w:val="194"/>
        </w:trPr>
        <w:tc>
          <w:tcPr>
            <w:tcW w:w="6840" w:type="dxa"/>
            <w:vAlign w:val="bottom"/>
            <w:gridSpan w:val="4"/>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w:t>
            </w:r>
          </w:p>
        </w:tc>
        <w:tc>
          <w:tcPr>
            <w:tcW w:w="3380" w:type="dxa"/>
            <w:vAlign w:val="bottom"/>
          </w:tcPr>
          <w:p>
            <w:pPr>
              <w:jc w:val="center"/>
              <w:ind w:right="1167"/>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182"/>
        </w:trPr>
        <w:tc>
          <w:tcPr>
            <w:tcW w:w="3360" w:type="dxa"/>
            <w:vAlign w:val="bottom"/>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w w:val="97"/>
              </w:rPr>
              <w:t>or Organization)</w:t>
            </w:r>
          </w:p>
        </w:tc>
        <w:tc>
          <w:tcPr>
            <w:tcW w:w="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415"/>
        </w:trPr>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30 Rockefeller Plaza</w:t>
            </w:r>
          </w:p>
        </w:tc>
        <w:tc>
          <w:tcPr>
            <w:tcW w:w="3380" w:type="dxa"/>
            <w:vAlign w:val="bottom"/>
          </w:tcPr>
          <w:p>
            <w:pPr>
              <w:spacing w:after="0"/>
              <w:rPr>
                <w:sz w:val="24"/>
                <w:szCs w:val="24"/>
                <w:color w:val="auto"/>
              </w:rPr>
            </w:pPr>
          </w:p>
        </w:tc>
      </w:tr>
      <w:tr>
        <w:trPr>
          <w:trHeight w:val="202"/>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New York, NY 10112</w:t>
            </w:r>
          </w:p>
        </w:tc>
        <w:tc>
          <w:tcPr>
            <w:tcW w:w="3380" w:type="dxa"/>
            <w:vAlign w:val="bottom"/>
          </w:tcPr>
          <w:p>
            <w:pPr>
              <w:spacing w:after="0"/>
              <w:rPr>
                <w:sz w:val="17"/>
                <w:szCs w:val="17"/>
                <w:color w:val="auto"/>
              </w:rPr>
            </w:pPr>
          </w:p>
        </w:tc>
      </w:tr>
      <w:tr>
        <w:trPr>
          <w:trHeight w:val="182"/>
        </w:trPr>
        <w:tc>
          <w:tcPr>
            <w:tcW w:w="3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3380" w:type="dxa"/>
            <w:vAlign w:val="bottom"/>
          </w:tcPr>
          <w:p>
            <w:pPr>
              <w:spacing w:after="0"/>
              <w:rPr>
                <w:sz w:val="15"/>
                <w:szCs w:val="15"/>
                <w:color w:val="auto"/>
              </w:rPr>
            </w:pPr>
          </w:p>
        </w:tc>
      </w:tr>
      <w:tr>
        <w:trPr>
          <w:trHeight w:val="306"/>
        </w:trPr>
        <w:tc>
          <w:tcPr>
            <w:tcW w:w="3360" w:type="dxa"/>
            <w:vAlign w:val="bottom"/>
          </w:tcPr>
          <w:p>
            <w:pPr>
              <w:spacing w:after="0"/>
              <w:rPr>
                <w:sz w:val="24"/>
                <w:szCs w:val="24"/>
                <w:color w:val="auto"/>
              </w:rPr>
            </w:pP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(212) 632-6000</w:t>
            </w:r>
          </w:p>
        </w:tc>
        <w:tc>
          <w:tcPr>
            <w:tcW w:w="3380" w:type="dxa"/>
            <w:vAlign w:val="bottom"/>
          </w:tcPr>
          <w:p>
            <w:pPr>
              <w:spacing w:after="0"/>
              <w:rPr>
                <w:sz w:val="24"/>
                <w:szCs w:val="24"/>
                <w:color w:val="auto"/>
              </w:rPr>
            </w:pPr>
          </w:p>
        </w:tc>
      </w:tr>
      <w:tr>
        <w:trPr>
          <w:trHeight w:val="135"/>
        </w:trPr>
        <w:tc>
          <w:tcPr>
            <w:tcW w:w="3360" w:type="dxa"/>
            <w:vAlign w:val="bottom"/>
          </w:tcPr>
          <w:p>
            <w:pPr>
              <w:spacing w:after="0"/>
              <w:rPr>
                <w:sz w:val="11"/>
                <w:szCs w:val="11"/>
                <w:color w:val="auto"/>
              </w:rPr>
            </w:pPr>
          </w:p>
        </w:tc>
        <w:tc>
          <w:tcPr>
            <w:tcW w:w="3460" w:type="dxa"/>
            <w:vAlign w:val="bottom"/>
            <w:gridSpan w:val="2"/>
          </w:tcPr>
          <w:p>
            <w:pPr>
              <w:jc w:val="center"/>
              <w:spacing w:after="0"/>
              <w:rPr>
                <w:sz w:val="20"/>
                <w:szCs w:val="20"/>
                <w:color w:val="auto"/>
              </w:rPr>
            </w:pPr>
            <w:r>
              <w:rPr>
                <w:rFonts w:ascii="Arial" w:cs="Arial" w:eastAsia="Arial" w:hAnsi="Arial"/>
                <w:sz w:val="10"/>
                <w:szCs w:val="10"/>
                <w:color w:val="auto"/>
              </w:rPr>
              <w:t>____________________________________</w:t>
            </w:r>
          </w:p>
        </w:tc>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r>
      <w:tr>
        <w:trPr>
          <w:trHeight w:val="268"/>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Securities Registered Pursuant to Section 12(b) of the Act:</w:t>
            </w:r>
          </w:p>
        </w:tc>
        <w:tc>
          <w:tcPr>
            <w:tcW w:w="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r>
      <w:tr>
        <w:trPr>
          <w:trHeight w:val="126"/>
        </w:trPr>
        <w:tc>
          <w:tcPr>
            <w:tcW w:w="3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r>
      <w:tr>
        <w:trPr>
          <w:trHeight w:val="177"/>
        </w:trPr>
        <w:tc>
          <w:tcPr>
            <w:tcW w:w="33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Title of each class</w:t>
            </w:r>
          </w:p>
        </w:tc>
        <w:tc>
          <w:tcPr>
            <w:tcW w:w="6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Trading Symbol(s)</w:t>
            </w:r>
          </w:p>
        </w:tc>
        <w:tc>
          <w:tcPr>
            <w:tcW w:w="20" w:type="dxa"/>
            <w:vAlign w:val="bottom"/>
          </w:tcPr>
          <w:p>
            <w:pPr>
              <w:spacing w:after="0"/>
              <w:rPr>
                <w:sz w:val="15"/>
                <w:szCs w:val="15"/>
                <w:color w:val="auto"/>
              </w:rPr>
            </w:pP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35"/>
        </w:trPr>
        <w:tc>
          <w:tcPr>
            <w:tcW w:w="336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r>
      <w:tr>
        <w:trPr>
          <w:trHeight w:val="177"/>
        </w:trPr>
        <w:tc>
          <w:tcPr>
            <w:tcW w:w="33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w:t>
            </w:r>
          </w:p>
        </w:tc>
        <w:tc>
          <w:tcPr>
            <w:tcW w:w="6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LAZ</w:t>
            </w:r>
          </w:p>
        </w:tc>
        <w:tc>
          <w:tcPr>
            <w:tcW w:w="20" w:type="dxa"/>
            <w:vAlign w:val="bottom"/>
          </w:tcPr>
          <w:p>
            <w:pPr>
              <w:spacing w:after="0"/>
              <w:rPr>
                <w:sz w:val="15"/>
                <w:szCs w:val="15"/>
                <w:color w:val="auto"/>
              </w:rPr>
            </w:pP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New York Stock Exchange</w:t>
            </w:r>
          </w:p>
        </w:tc>
      </w:tr>
      <w:tr>
        <w:trPr>
          <w:trHeight w:val="35"/>
        </w:trPr>
        <w:tc>
          <w:tcPr>
            <w:tcW w:w="336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r>
    </w:tbl>
    <w:p>
      <w:pPr>
        <w:spacing w:after="0" w:line="173" w:lineRule="exact"/>
        <w:rPr>
          <w:sz w:val="24"/>
          <w:szCs w:val="24"/>
          <w:color w:val="auto"/>
        </w:rPr>
      </w:pPr>
    </w:p>
    <w:p>
      <w:pPr>
        <w:ind w:left="620" w:right="40"/>
        <w:spacing w:after="0" w:line="29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left="620" w:right="400"/>
        <w:spacing w:after="0" w:line="27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9" w:lineRule="exact"/>
        <w:rPr>
          <w:sz w:val="24"/>
          <w:szCs w:val="24"/>
          <w:color w:val="auto"/>
        </w:rPr>
      </w:pPr>
    </w:p>
    <w:p>
      <w:pPr>
        <w:ind w:left="620" w:right="240"/>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840" w:type="dxa"/>
        <w:tblCellMar>
          <w:top w:w="0" w:type="dxa"/>
          <w:left w:w="0" w:type="dxa"/>
          <w:bottom w:w="0" w:type="dxa"/>
          <w:right w:w="0" w:type="dxa"/>
        </w:tblCellMar>
      </w:tblPr>
      <w:tr>
        <w:trPr>
          <w:trHeight w:val="178"/>
        </w:trPr>
        <w:tc>
          <w:tcPr>
            <w:tcW w:w="2500" w:type="dxa"/>
            <w:vAlign w:val="bottom"/>
          </w:tcPr>
          <w:p>
            <w:pPr>
              <w:jc w:val="right"/>
              <w:ind w:right="1211"/>
              <w:spacing w:after="0"/>
              <w:rPr>
                <w:sz w:val="20"/>
                <w:szCs w:val="20"/>
                <w:color w:val="auto"/>
              </w:rPr>
            </w:pPr>
            <w:r>
              <w:rPr>
                <w:rFonts w:ascii="Times New Roman" w:cs="Times New Roman" w:eastAsia="Times New Roman" w:hAnsi="Times New Roman"/>
                <w:sz w:val="14"/>
                <w:szCs w:val="14"/>
                <w:color w:val="auto"/>
                <w:w w:val="95"/>
              </w:rPr>
              <w:t>Large accelerated filer</w:t>
            </w:r>
          </w:p>
        </w:tc>
        <w:tc>
          <w:tcPr>
            <w:tcW w:w="1980" w:type="dxa"/>
            <w:vAlign w:val="bottom"/>
          </w:tcPr>
          <w:p>
            <w:pPr>
              <w:jc w:val="right"/>
              <w:ind w:right="471"/>
              <w:spacing w:after="0"/>
              <w:rPr>
                <w:sz w:val="20"/>
                <w:szCs w:val="20"/>
                <w:color w:val="auto"/>
              </w:rPr>
            </w:pPr>
            <w:r>
              <w:rPr>
                <w:rFonts w:ascii="Wingdings" w:cs="Wingdings" w:eastAsia="Wingdings" w:hAnsi="Wingdings"/>
                <w:sz w:val="14"/>
                <w:szCs w:val="14"/>
                <w:b w:val="1"/>
                <w:bCs w:val="1"/>
                <w:color w:val="auto"/>
              </w:rPr>
              <w:t>x</w:t>
            </w:r>
          </w:p>
        </w:tc>
        <w:tc>
          <w:tcPr>
            <w:tcW w:w="3420" w:type="dxa"/>
            <w:vAlign w:val="bottom"/>
          </w:tcPr>
          <w:p>
            <w:pPr>
              <w:jc w:val="right"/>
              <w:ind w:right="1291"/>
              <w:spacing w:after="0"/>
              <w:rPr>
                <w:sz w:val="20"/>
                <w:szCs w:val="20"/>
                <w:color w:val="auto"/>
              </w:rPr>
            </w:pPr>
            <w:r>
              <w:rPr>
                <w:rFonts w:ascii="Times New Roman" w:cs="Times New Roman" w:eastAsia="Times New Roman" w:hAnsi="Times New Roman"/>
                <w:sz w:val="14"/>
                <w:szCs w:val="14"/>
                <w:color w:val="auto"/>
              </w:rPr>
              <w:t>Accelerated filer</w:t>
            </w:r>
          </w:p>
        </w:tc>
        <w:tc>
          <w:tcPr>
            <w:tcW w:w="1480" w:type="dxa"/>
            <w:vAlign w:val="bottom"/>
          </w:tcPr>
          <w:p>
            <w:pPr>
              <w:ind w:left="1360"/>
              <w:spacing w:after="0"/>
              <w:rPr>
                <w:sz w:val="20"/>
                <w:szCs w:val="20"/>
                <w:color w:val="auto"/>
              </w:rPr>
            </w:pPr>
            <w:r>
              <w:rPr>
                <w:rFonts w:ascii="Wingdings" w:cs="Wingdings" w:eastAsia="Wingdings" w:hAnsi="Wingdings"/>
                <w:sz w:val="14"/>
                <w:szCs w:val="14"/>
                <w:b w:val="1"/>
                <w:bCs w:val="1"/>
                <w:color w:val="auto"/>
                <w:w w:val="79"/>
              </w:rPr>
              <w:t>o</w:t>
            </w:r>
          </w:p>
        </w:tc>
      </w:tr>
      <w:tr>
        <w:trPr>
          <w:trHeight w:val="219"/>
        </w:trPr>
        <w:tc>
          <w:tcPr>
            <w:tcW w:w="2500" w:type="dxa"/>
            <w:vAlign w:val="bottom"/>
          </w:tcPr>
          <w:p>
            <w:pPr>
              <w:jc w:val="right"/>
              <w:ind w:right="1211"/>
              <w:spacing w:after="0"/>
              <w:rPr>
                <w:sz w:val="20"/>
                <w:szCs w:val="20"/>
                <w:color w:val="auto"/>
              </w:rPr>
            </w:pPr>
            <w:r>
              <w:rPr>
                <w:rFonts w:ascii="Times New Roman" w:cs="Times New Roman" w:eastAsia="Times New Roman" w:hAnsi="Times New Roman"/>
                <w:sz w:val="14"/>
                <w:szCs w:val="14"/>
                <w:color w:val="auto"/>
              </w:rPr>
              <w:t>Non-accelerated filer</w:t>
            </w:r>
          </w:p>
        </w:tc>
        <w:tc>
          <w:tcPr>
            <w:tcW w:w="1980" w:type="dxa"/>
            <w:vAlign w:val="bottom"/>
          </w:tcPr>
          <w:p>
            <w:pPr>
              <w:jc w:val="right"/>
              <w:ind w:right="471"/>
              <w:spacing w:after="0"/>
              <w:rPr>
                <w:sz w:val="20"/>
                <w:szCs w:val="20"/>
                <w:color w:val="auto"/>
              </w:rPr>
            </w:pPr>
            <w:r>
              <w:rPr>
                <w:rFonts w:ascii="Wingdings" w:cs="Wingdings" w:eastAsia="Wingdings" w:hAnsi="Wingdings"/>
                <w:sz w:val="14"/>
                <w:szCs w:val="14"/>
                <w:b w:val="1"/>
                <w:bCs w:val="1"/>
                <w:color w:val="auto"/>
              </w:rPr>
              <w:t>o</w:t>
            </w:r>
          </w:p>
        </w:tc>
        <w:tc>
          <w:tcPr>
            <w:tcW w:w="3420" w:type="dxa"/>
            <w:vAlign w:val="bottom"/>
          </w:tcPr>
          <w:p>
            <w:pPr>
              <w:jc w:val="right"/>
              <w:ind w:right="1291"/>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80" w:type="dxa"/>
            <w:vAlign w:val="bottom"/>
          </w:tcPr>
          <w:p>
            <w:pPr>
              <w:ind w:left="1360"/>
              <w:spacing w:after="0"/>
              <w:rPr>
                <w:sz w:val="20"/>
                <w:szCs w:val="20"/>
                <w:color w:val="auto"/>
              </w:rPr>
            </w:pPr>
            <w:r>
              <w:rPr>
                <w:rFonts w:ascii="Wingdings" w:cs="Wingdings" w:eastAsia="Wingdings" w:hAnsi="Wingdings"/>
                <w:sz w:val="14"/>
                <w:szCs w:val="14"/>
                <w:b w:val="1"/>
                <w:bCs w:val="1"/>
                <w:color w:val="auto"/>
                <w:w w:val="79"/>
              </w:rPr>
              <w:t>o</w:t>
            </w:r>
          </w:p>
        </w:tc>
      </w:tr>
      <w:tr>
        <w:trPr>
          <w:trHeight w:val="219"/>
        </w:trPr>
        <w:tc>
          <w:tcPr>
            <w:tcW w:w="2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20" w:type="dxa"/>
            <w:vAlign w:val="bottom"/>
          </w:tcPr>
          <w:p>
            <w:pPr>
              <w:jc w:val="right"/>
              <w:ind w:right="1291"/>
              <w:spacing w:after="0"/>
              <w:rPr>
                <w:sz w:val="20"/>
                <w:szCs w:val="20"/>
                <w:color w:val="auto"/>
              </w:rPr>
            </w:pPr>
            <w:r>
              <w:rPr>
                <w:rFonts w:ascii="Times New Roman" w:cs="Times New Roman" w:eastAsia="Times New Roman" w:hAnsi="Times New Roman"/>
                <w:sz w:val="14"/>
                <w:szCs w:val="14"/>
                <w:color w:val="auto"/>
              </w:rPr>
              <w:t>Emerging growth company</w:t>
            </w:r>
          </w:p>
        </w:tc>
        <w:tc>
          <w:tcPr>
            <w:tcW w:w="1480" w:type="dxa"/>
            <w:vAlign w:val="bottom"/>
          </w:tcPr>
          <w:p>
            <w:pPr>
              <w:ind w:left="136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92" w:lineRule="exact"/>
        <w:rPr>
          <w:sz w:val="24"/>
          <w:szCs w:val="24"/>
          <w:color w:val="auto"/>
        </w:rPr>
      </w:pPr>
    </w:p>
    <w:p>
      <w:pPr>
        <w:ind w:left="620" w:right="80"/>
        <w:spacing w:after="0" w:line="295" w:lineRule="auto"/>
        <w:rPr>
          <w:sz w:val="20"/>
          <w:szCs w:val="20"/>
          <w:color w:val="auto"/>
        </w:rPr>
      </w:pPr>
      <w:r>
        <w:rPr>
          <w:rFonts w:ascii="Times New Roman" w:cs="Times New Roman" w:eastAsia="Times New Roman" w:hAnsi="Times New Roman"/>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5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As of April 24, 2026, there were 111,687,255 shares of the Registrant’s common stock outstanding (including 13,249,570 shares held in treasury).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725170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107315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7" w:lineRule="exact"/>
        <w:rPr>
          <w:sz w:val="20"/>
          <w:szCs w:val="20"/>
          <w:color w:val="auto"/>
        </w:rPr>
      </w:pPr>
    </w:p>
    <w:p>
      <w:pPr>
        <w:jc w:val="both"/>
        <w:ind w:right="10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When we use the terms “Lazard”, “we”, “us”, “our” and “the Company”, we mean Lazard, Inc., a company incorporated under the laws of the state of Delaware, and its subsidiaries. Lazard’s subsidiaries include Lazard Group LLC, a Delaware limited liability company, that is the current holding company for our businesses. Lazard’s primary operating asset is its indirect ownership of all of the common membership interests in Lazard Group LLC and its controlling interest in Lazard Group LLC.</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6894830</wp:posOffset>
            </wp:positionH>
            <wp:positionV relativeFrom="paragraph">
              <wp:posOffset>36195</wp:posOffset>
            </wp:positionV>
            <wp:extent cx="30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u w:val="single" w:color="auto"/>
          <w:color w:val="auto"/>
        </w:rPr>
        <w:t>Part I. Financial Information</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4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79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18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1"/>
        </w:trPr>
        <w:tc>
          <w:tcPr>
            <w:tcW w:w="4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2.</w:t>
            </w:r>
          </w:p>
        </w:tc>
        <w:tc>
          <w:tcPr>
            <w:tcW w:w="618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7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41"/>
        </w:trPr>
        <w:tc>
          <w:tcPr>
            <w:tcW w:w="4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w:t>
            </w:r>
          </w:p>
        </w:tc>
        <w:tc>
          <w:tcPr>
            <w:tcW w:w="41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374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41"/>
        </w:trPr>
        <w:tc>
          <w:tcPr>
            <w:tcW w:w="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w:t>
            </w:r>
          </w:p>
        </w:tc>
        <w:tc>
          <w:tcPr>
            <w:tcW w:w="79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Controls and Procedures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46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1"/>
        </w:trPr>
        <w:tc>
          <w:tcPr>
            <w:tcW w:w="890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1800" w:type="dxa"/>
            <w:vAlign w:val="bottom"/>
          </w:tcPr>
          <w:p>
            <w:pPr>
              <w:spacing w:after="0"/>
              <w:rPr>
                <w:sz w:val="24"/>
                <w:szCs w:val="24"/>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1"/>
        </w:trPr>
        <w:tc>
          <w:tcPr>
            <w:tcW w:w="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w:t>
            </w:r>
          </w:p>
        </w:tc>
        <w:tc>
          <w:tcPr>
            <w:tcW w:w="79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Legal Proceedings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41"/>
        </w:trPr>
        <w:tc>
          <w:tcPr>
            <w:tcW w:w="46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148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1A. Risk Factors</w:t>
            </w:r>
          </w:p>
        </w:tc>
        <w:tc>
          <w:tcPr>
            <w:tcW w:w="6640" w:type="dxa"/>
            <w:vAlign w:val="bottom"/>
            <w:gridSpan w:val="7"/>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1"/>
        </w:trPr>
        <w:tc>
          <w:tcPr>
            <w:tcW w:w="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w:t>
            </w:r>
          </w:p>
        </w:tc>
        <w:tc>
          <w:tcPr>
            <w:tcW w:w="79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41"/>
        </w:trPr>
        <w:tc>
          <w:tcPr>
            <w:tcW w:w="46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w:t>
            </w:r>
          </w:p>
        </w:tc>
        <w:tc>
          <w:tcPr>
            <w:tcW w:w="2240" w:type="dxa"/>
            <w:vAlign w:val="bottom"/>
            <w:tcBorders>
              <w:top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1920" w:type="dxa"/>
            <w:vAlign w:val="bottom"/>
            <w:tcBorders>
              <w:top w:val="single" w:sz="8" w:color="auto"/>
            </w:tcBorders>
            <w:gridSpan w:val="2"/>
          </w:tcPr>
          <w:p>
            <w:pPr>
              <w:spacing w:after="0"/>
              <w:rPr>
                <w:sz w:val="24"/>
                <w:szCs w:val="24"/>
                <w:color w:val="auto"/>
              </w:rPr>
            </w:pPr>
          </w:p>
        </w:tc>
        <w:tc>
          <w:tcPr>
            <w:tcW w:w="3760" w:type="dxa"/>
            <w:vAlign w:val="bottom"/>
            <w:gridSpan w:val="3"/>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41"/>
        </w:trPr>
        <w:tc>
          <w:tcPr>
            <w:tcW w:w="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w:t>
            </w:r>
          </w:p>
        </w:tc>
        <w:tc>
          <w:tcPr>
            <w:tcW w:w="79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Mine Safety Disclosures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41"/>
        </w:trPr>
        <w:tc>
          <w:tcPr>
            <w:tcW w:w="46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5.</w:t>
            </w:r>
          </w:p>
        </w:tc>
        <w:tc>
          <w:tcPr>
            <w:tcW w:w="170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Other Information</w:t>
            </w:r>
          </w:p>
        </w:tc>
        <w:tc>
          <w:tcPr>
            <w:tcW w:w="6220" w:type="dxa"/>
            <w:vAlign w:val="bottom"/>
            <w:gridSpan w:val="6"/>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41"/>
        </w:trPr>
        <w:tc>
          <w:tcPr>
            <w:tcW w:w="46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Item</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6.</w:t>
            </w:r>
          </w:p>
        </w:tc>
        <w:tc>
          <w:tcPr>
            <w:tcW w:w="12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Exhibits</w:t>
            </w:r>
          </w:p>
        </w:tc>
        <w:tc>
          <w:tcPr>
            <w:tcW w:w="6660" w:type="dxa"/>
            <w:vAlign w:val="bottom"/>
            <w:gridSpan w:val="8"/>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1"/>
        </w:trPr>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Signatures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305"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tab/>
        <w:t>Financial Statements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38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auto"/>
              </w:rPr>
              <w:t>Condensed Consolidated Statements of Financial Condition as of March 31, 2026 and December 31, 2025</w:t>
            </w: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380" w:type="dxa"/>
            <w:vAlign w:val="bottom"/>
            <w:gridSpan w:val="9"/>
            <w:vMerge w:val="continue"/>
          </w:tcPr>
          <w:p>
            <w:pPr>
              <w:spacing w:after="0"/>
              <w:rPr>
                <w:sz w:val="15"/>
                <w:szCs w:val="15"/>
                <w:color w:val="auto"/>
              </w:rPr>
            </w:pPr>
          </w:p>
        </w:tc>
        <w:tc>
          <w:tcPr>
            <w:tcW w:w="84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Condensed Consolidated Statements of Operations for the three month periods ended March 31, 2026 and 2025</w:t>
            </w:r>
          </w:p>
        </w:tc>
        <w:tc>
          <w:tcPr>
            <w:tcW w:w="2700" w:type="dxa"/>
            <w:vAlign w:val="bottom"/>
            <w:gridSpan w:val="4"/>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85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for the three month periods ended March 31, 2026 and 2025</w:t>
            </w:r>
          </w:p>
        </w:tc>
        <w:tc>
          <w:tcPr>
            <w:tcW w:w="1820" w:type="dxa"/>
            <w:vAlign w:val="bottom"/>
            <w:gridSpan w:val="2"/>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three month periods ended March 31, 2026 and 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900" w:type="dxa"/>
            <w:vAlign w:val="bottom"/>
            <w:gridSpan w:val="3"/>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102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Condensed Consolidated Statements of Changes in Stockholders’ Equity and Redeemable Noncontrolling Interests for the three month periods ended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20" w:type="dxa"/>
            <w:vAlign w:val="bottom"/>
            <w:gridSpan w:val="8"/>
          </w:tcPr>
          <w:p>
            <w:pPr>
              <w:spacing w:after="0" w:line="186" w:lineRule="exact"/>
              <w:rPr>
                <w:sz w:val="20"/>
                <w:szCs w:val="20"/>
                <w:color w:val="auto"/>
              </w:rPr>
            </w:pPr>
            <w:r>
              <w:rPr>
                <w:rFonts w:ascii="Times New Roman" w:cs="Times New Roman" w:eastAsia="Times New Roman" w:hAnsi="Times New Roman"/>
                <w:sz w:val="17"/>
                <w:szCs w:val="17"/>
                <w:color w:val="auto"/>
              </w:rPr>
              <w:t>March 31, 2026 and 2025</w:t>
            </w:r>
          </w:p>
        </w:tc>
        <w:tc>
          <w:tcPr>
            <w:tcW w:w="8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3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w:t>
            </w:r>
          </w:p>
        </w:tc>
        <w:tc>
          <w:tcPr>
            <w:tcW w:w="6560" w:type="dxa"/>
            <w:vAlign w:val="bottom"/>
            <w:gridSpan w:val="6"/>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909"/>
        </w:trPr>
        <w:tc>
          <w:tcPr>
            <w:tcW w:w="7320" w:type="dxa"/>
            <w:vAlign w:val="bottom"/>
            <w:gridSpan w:val="5"/>
          </w:tcPr>
          <w:p>
            <w:pPr>
              <w:jc w:val="right"/>
              <w:ind w:right="1660"/>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ind w:left="502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MARCH 31, 2026 AND DECEMBER 31, 2025</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1,020,666</w:t>
            </w:r>
          </w:p>
        </w:tc>
        <w:tc>
          <w:tcPr>
            <w:tcW w:w="8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1,469,416</w:t>
            </w:r>
          </w:p>
        </w:tc>
      </w:tr>
      <w:tr>
        <w:trPr>
          <w:trHeight w:val="25"/>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 with banks and short-term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207,207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167,134</w:t>
            </w: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34,021</w:t>
            </w:r>
          </w:p>
        </w:tc>
      </w:tr>
      <w:tr>
        <w:trPr>
          <w:trHeight w:val="25"/>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 of allowance for credit losses of $22,239 and $22,884 at March 31, 2026 and December 31, 2025,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2"/>
        </w:trPr>
        <w:tc>
          <w:tcPr>
            <w:tcW w:w="8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574,003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706,220</w:t>
            </w:r>
          </w:p>
        </w:tc>
      </w:tr>
      <w:tr>
        <w:trPr>
          <w:trHeight w:val="25"/>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8"/>
        </w:trPr>
        <w:tc>
          <w:tcPr>
            <w:tcW w:w="8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Customers and other</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199,782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191,566</w:t>
            </w:r>
          </w:p>
        </w:tc>
      </w:tr>
      <w:tr>
        <w:trPr>
          <w:trHeight w:val="225"/>
        </w:trPr>
        <w:tc>
          <w:tcPr>
            <w:tcW w:w="8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773,785</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897,786</w:t>
            </w:r>
          </w:p>
        </w:tc>
      </w:tr>
      <w:tr>
        <w:trPr>
          <w:trHeight w:val="25"/>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(including $33,089 and $48,966 pledged at March 31, 2026 and December 31, 2025,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516,555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625,846</w:t>
            </w: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(net of accumulated amortization and depreciation of $290,686 and $286,235 at March 31, 2026 and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 2025, respectively)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168,005</w:t>
            </w:r>
          </w:p>
        </w:tc>
      </w:tr>
      <w:tr>
        <w:trPr>
          <w:trHeight w:val="25"/>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402,500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412,584</w:t>
            </w: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and other intangible assets (net of accumulated amortization of $67,711 at both March 31, 2026 and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8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 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395,262</w:t>
            </w:r>
          </w:p>
        </w:tc>
      </w:tr>
      <w:tr>
        <w:trPr>
          <w:trHeight w:val="25"/>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463,527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449,531</w:t>
            </w: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316,687</w:t>
            </w:r>
          </w:p>
        </w:tc>
      </w:tr>
      <w:tr>
        <w:trPr>
          <w:trHeight w:val="25"/>
        </w:trPr>
        <w:tc>
          <w:tcPr>
            <w:tcW w:w="8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1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4,240,648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4,936,272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202"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MARCH 31, 2026 AND DECEMBER 31, 2025</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2"/>
        </w:trPr>
        <w:tc>
          <w:tcPr>
            <w:tcW w:w="81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LIABILITIES, REDEEMABLE NONCONTROLLING INTERESTS AND</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2"/>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Deposits and other customer payables</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330,852</w:t>
            </w:r>
          </w:p>
        </w:tc>
      </w:tr>
      <w:tr>
        <w:trPr>
          <w:trHeight w:val="232"/>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794,754</w:t>
            </w:r>
          </w:p>
        </w:tc>
      </w:tr>
      <w:tr>
        <w:trPr>
          <w:trHeight w:val="25"/>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472,576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485,149</w:t>
            </w:r>
          </w:p>
        </w:tc>
      </w:tr>
      <w:tr>
        <w:trPr>
          <w:trHeight w:val="232"/>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Senior debt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1,688,808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1,688,086</w:t>
            </w:r>
          </w:p>
        </w:tc>
      </w:tr>
      <w:tr>
        <w:trPr>
          <w:trHeight w:val="25"/>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r>
      <w:tr>
        <w:trPr>
          <w:trHeight w:val="232"/>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552,463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651,395</w:t>
            </w:r>
          </w:p>
        </w:tc>
      </w:tr>
      <w:tr>
        <w:trPr>
          <w:trHeight w:val="25"/>
        </w:trPr>
        <w:tc>
          <w:tcPr>
            <w:tcW w:w="8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3,286,767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3,951,604</w:t>
            </w:r>
          </w:p>
        </w:tc>
      </w:tr>
      <w:tr>
        <w:trPr>
          <w:trHeight w:val="23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78,379</w:t>
            </w:r>
          </w:p>
        </w:tc>
      </w:t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5"/>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par value $0.01 per share; 15,000,000 shares authorized; no</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8"/>
        </w:trPr>
        <w:tc>
          <w:tcPr>
            <w:tcW w:w="8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shares issued and outstanding at March 31, 2026 and December 31, 2025</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Par value $0.01 per share (500,000,000 shares authorized; 111,687,255 and 111,728,757 shares issued at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8"/>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March 31, 2026 and December 31, 2025, respectively, including shares held in treasury)</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r>
      <w:tr>
        <w:trPr>
          <w:trHeight w:val="232"/>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306,425</w:t>
            </w:r>
          </w:p>
        </w:tc>
      </w:tr>
      <w:tr>
        <w:trPr>
          <w:trHeight w:val="25"/>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1,559,269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1,517,571</w:t>
            </w:r>
          </w:p>
        </w:tc>
      </w:tr>
      <w:tr>
        <w:trPr>
          <w:trHeight w:val="232"/>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(271,509)</w:t>
            </w:r>
          </w:p>
        </w:tc>
      </w:tr>
      <w:tr>
        <w:trPr>
          <w:trHeight w:val="25"/>
        </w:trPr>
        <w:tc>
          <w:tcPr>
            <w:tcW w:w="8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1,390,202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1,553,604</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held in treasury, at cost (13,249,570 and 17,822,122 shares at March 31, 2026 and December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2025, respectively)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(508,906)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(684,411)</w:t>
            </w:r>
          </w:p>
        </w:tc>
      </w:tr>
      <w:tr>
        <w:trPr>
          <w:trHeight w:val="25"/>
        </w:trPr>
        <w:tc>
          <w:tcPr>
            <w:tcW w:w="8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1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Lazard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881,296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869,193</w:t>
            </w:r>
          </w:p>
        </w:tc>
      </w:tr>
      <w:tr>
        <w:trPr>
          <w:trHeight w:val="232"/>
        </w:trPr>
        <w:tc>
          <w:tcPr>
            <w:tcW w:w="8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37,096</w:t>
            </w:r>
          </w:p>
        </w:tc>
      </w:tr>
      <w:tr>
        <w:trPr>
          <w:trHeight w:val="25"/>
        </w:trPr>
        <w:tc>
          <w:tcPr>
            <w:tcW w:w="8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1"/>
        </w:trPr>
        <w:tc>
          <w:tcPr>
            <w:tcW w:w="81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906,289</w:t>
            </w:r>
          </w:p>
        </w:tc>
      </w:tr>
      <w:tr>
        <w:trPr>
          <w:trHeight w:val="251"/>
        </w:trPr>
        <w:tc>
          <w:tcPr>
            <w:tcW w:w="81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Liabilities, Redeemable Noncontrolling Interests and Stockholders’ Equity</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4,240,648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4,936,272</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202" w:right="339"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 PERIODS ENDED MARCH 31, 2026 AND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w:t>
      </w:r>
    </w:p>
    <w:p>
      <w:pPr>
        <w:spacing w:after="0" w:line="244"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banking and other advisory fees</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357,421</w:t>
            </w:r>
          </w:p>
        </w:tc>
        <w:tc>
          <w:tcPr>
            <w:tcW w:w="8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360,367</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Asset management fees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327,299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264,616</w:t>
            </w: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11,662</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86,867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32,519</w:t>
            </w:r>
          </w:p>
        </w:tc>
      </w:tr>
      <w:tr>
        <w:trPr>
          <w:trHeight w:val="225"/>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779,399</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669,164</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w:t>
            </w:r>
          </w:p>
        </w:tc>
      </w:tr>
      <w:tr>
        <w:trPr>
          <w:trHeight w:val="225"/>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revenue</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756,582</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648,051</w:t>
            </w:r>
          </w:p>
        </w:tc>
      </w:tr>
      <w:tr>
        <w:trPr>
          <w:trHeight w:val="25"/>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491,894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430,270</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35,413</w:t>
            </w: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Marketing and business development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27,731</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Technology and information services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48,275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46,216</w:t>
            </w: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18,837</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Fund administration and outsourced services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33,516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26,545</w:t>
            </w: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8,404</w:t>
            </w:r>
          </w:p>
        </w:tc>
      </w:tr>
      <w:tr>
        <w:trPr>
          <w:trHeight w:val="25"/>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1"/>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667,008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593,416</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89,574</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54,635</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Benefit for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(7,354)</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100,563</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61,989</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LESS - NET INCOME (LOSS) ATTRIBUTABLE TO NONCONTROLLING INTERESTS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r>
      <w:tr>
        <w:trPr>
          <w:trHeight w:val="25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LAZARD</w:t>
            </w: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100,916</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60,375</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ATTRIBUTABLE TO LAZARD COMMON STOCKHOLDERS:</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WEIGHTED AVERAGE SHARES OF COMMON STOCK OUTSTANDING:</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99,460,256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95,255,423</w:t>
            </w:r>
          </w:p>
        </w:tc>
      </w:tr>
      <w:tr>
        <w:trPr>
          <w:trHeight w:val="232"/>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106,787,975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104,828,753</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 PER SHARE OF 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58"/>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4"/>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 PERIODS ENDED MARCH 31, 2026 AND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44"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100,563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61,989</w:t>
            </w: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 NET OF TAX:</w:t>
            </w: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Currency translation adjustments (net of tax benefit of $6 for the three months ended March 31, 2026)</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24,213</w:t>
            </w:r>
          </w:p>
        </w:tc>
      </w:tr>
      <w:tr>
        <w:trPr>
          <w:trHeight w:val="232"/>
        </w:trPr>
        <w:tc>
          <w:tcPr>
            <w:tcW w:w="7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Employee benefit plans: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7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Actuarial gain (loss) (net of tax expense (benefit) of $1,262 and $(1,602) for the three months ended</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8"/>
        </w:trPr>
        <w:tc>
          <w:tcPr>
            <w:tcW w:w="77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March 31, 2026 and 2025, respectively)</w:t>
            </w:r>
          </w:p>
        </w:tc>
        <w:tc>
          <w:tcPr>
            <w:tcW w:w="10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(5,789)</w:t>
            </w:r>
          </w:p>
        </w:tc>
      </w:tr>
      <w:tr>
        <w:trPr>
          <w:trHeight w:val="216"/>
        </w:trPr>
        <w:tc>
          <w:tcPr>
            <w:tcW w:w="77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Adjustment for items reclassified to earnings (net of tax expense of $524 and $530 for the three months</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7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ended March 31, 2026 and 2025, respectively)</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r>
      <w:tr>
        <w:trPr>
          <w:trHeight w:val="25"/>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 NET OF TAX</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10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95,388</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81,989</w:t>
            </w: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LESS - COMPREHENSIVE INCOME (LOSS) ATTRIBUTABLE TO NONCONTROLLING</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52"/>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5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LAZARD</w:t>
            </w: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95,747</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80,351</w:t>
            </w: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7" w:name="page8"/>
    <w:bookmarkEnd w:id="7"/>
    <w:p>
      <w:pPr>
        <w:ind w:left="500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 PERIODS ENDED MARCH 31, 2026 AND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3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100,563</w:t>
            </w:r>
          </w:p>
        </w:tc>
        <w:tc>
          <w:tcPr>
            <w:tcW w:w="80" w:type="dxa"/>
            <w:vAlign w:val="bottom"/>
          </w:tcPr>
          <w:p>
            <w:pPr>
              <w:spacing w:after="0"/>
              <w:rPr>
                <w:sz w:val="19"/>
                <w:szCs w:val="19"/>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61,989</w:t>
            </w:r>
          </w:p>
        </w:tc>
      </w:tr>
      <w:tr>
        <w:trPr>
          <w:trHeight w:val="24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(used in) operating activities: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Amortization of deferred expenses and share-based incentive compensation</w:t>
            </w:r>
          </w:p>
        </w:tc>
        <w:tc>
          <w:tcPr>
            <w:tcW w:w="34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128,076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104,166</w:t>
            </w: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Noncash lease expense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13,781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15,844</w:t>
            </w:r>
          </w:p>
        </w:tc>
      </w:tr>
      <w:tr>
        <w:trPr>
          <w:trHeight w:val="223"/>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Depreciation and amortization of property</w:t>
            </w:r>
          </w:p>
        </w:tc>
        <w:tc>
          <w:tcPr>
            <w:tcW w:w="34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8,443</w:t>
            </w: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Deferred tax benefit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(26,088)</w:t>
            </w:r>
          </w:p>
        </w:tc>
      </w:tr>
      <w:tr>
        <w:trPr>
          <w:trHeight w:val="223"/>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Gain on sale and deconsolidation of business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Other adjustments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(5,204)</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(Increase) decrease in operating assets and increase (decrease) in operating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Receivables-net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109,942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88,373</w:t>
            </w:r>
          </w:p>
        </w:tc>
      </w:tr>
      <w:tr>
        <w:trPr>
          <w:trHeight w:val="223"/>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Investments</w:t>
            </w:r>
          </w:p>
        </w:tc>
        <w:tc>
          <w:tcPr>
            <w:tcW w:w="34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77,137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96,393</w:t>
            </w: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Other assets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19,300</w:t>
            </w:r>
          </w:p>
        </w:tc>
      </w:tr>
      <w:tr>
        <w:trPr>
          <w:trHeight w:val="225"/>
        </w:trPr>
        <w:tc>
          <w:tcPr>
            <w:tcW w:w="8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Accrued compensation and benefits and other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(562,685)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(580,742)</w:t>
            </w:r>
          </w:p>
        </w:tc>
      </w:tr>
      <w:tr>
        <w:trPr>
          <w:trHeight w:val="232"/>
        </w:trPr>
        <w:tc>
          <w:tcPr>
            <w:tcW w:w="8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(219,267)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(217,526)</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Additions to property</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(13,824)</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Sale and deconsolidation of business, net of cash proceeds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(payments for) customer loans, net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(10,535)</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1,666</w:t>
            </w:r>
          </w:p>
        </w:tc>
      </w:tr>
      <w:tr>
        <w:trPr>
          <w:trHeight w:val="232"/>
        </w:trPr>
        <w:tc>
          <w:tcPr>
            <w:tcW w:w="8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(47,506)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(22,693)</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(payments for) customer deposits, net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46,600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6,197</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Contributions from noncontrolling interests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for: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23"/>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Tax receivable agreement obligation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Purchase of common stock</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(36,165)</w:t>
            </w:r>
          </w:p>
        </w:tc>
      </w:tr>
      <w:tr>
        <w:trPr>
          <w:trHeight w:val="223"/>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Common stock dividends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(44,950)</w:t>
            </w:r>
          </w:p>
        </w:tc>
      </w:tr>
      <w:tr>
        <w:trPr>
          <w:trHeight w:val="241"/>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Settlement of share-based incentive compensation in satisfaction of tax withholding requirements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(93,780)</w:t>
            </w:r>
          </w:p>
        </w:tc>
      </w:tr>
      <w:tr>
        <w:trPr>
          <w:trHeight w:val="223"/>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LFI Consolidated Funds redemptions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(14,368)</w:t>
            </w:r>
          </w:p>
        </w:tc>
      </w:tr>
      <w:tr>
        <w:trPr>
          <w:trHeight w:val="234"/>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(8,604)</w:t>
            </w:r>
          </w:p>
        </w:tc>
      </w:tr>
      <w:tr>
        <w:trPr>
          <w:trHeight w:val="225"/>
        </w:trPr>
        <w:tc>
          <w:tcPr>
            <w:tcW w:w="81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(153,387)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(191,574)</w:t>
            </w: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EFFECT OF EXCHANGE RATE CHANGES ON CASH AND CASH EQUIVALENTS AND RESTRICTED CASH</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30,207</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 AND RESTRICTED CASH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(436,108)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(401,586)</w:t>
            </w:r>
          </w:p>
        </w:tc>
      </w:tr>
      <w:tr>
        <w:trPr>
          <w:trHeight w:val="23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AND RESTRICTED CASH— January 1</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1,670,571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1,609,368</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AND RESTRICTED CASH—March 31</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1,234,463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1,207,782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738" w:right="37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5"/>
          <w:szCs w:val="15"/>
          <w:b w:val="1"/>
          <w:bCs w:val="1"/>
          <w:color w:val="auto"/>
        </w:rPr>
        <w:t>RECONCILIATION OF CASH AND CASH EQUIVALENTS AND RESTRICTED CASH WITHIN THE CONDENSED</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b w:val="1"/>
          <w:bCs w:val="1"/>
          <w:color w:val="auto"/>
        </w:rPr>
        <w:t>CONSOLIDATED STATEMENTS OF FINANCIAL CONDITION: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1,020,666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1,469,416</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Deposits with banks and short-term investments</w:t>
            </w:r>
          </w:p>
        </w:tc>
        <w:tc>
          <w:tcPr>
            <w:tcW w:w="280" w:type="dxa"/>
            <w:vAlign w:val="bottom"/>
          </w:tcPr>
          <w:p>
            <w:pPr>
              <w:spacing w:after="0"/>
              <w:rPr>
                <w:sz w:val="19"/>
                <w:szCs w:val="19"/>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207,207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167,134</w:t>
            </w:r>
          </w:p>
        </w:tc>
      </w:tr>
      <w:tr>
        <w:trPr>
          <w:trHeight w:val="23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Restricted cash</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6,590</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34,021</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CASH AND CASH EQUIVALENTS AND RESTRICTED CASH</w:t>
            </w: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1,234,463</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1,670,571</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9" w:name="page10"/>
    <w:bookmarkEnd w:id="9"/>
    <w:p>
      <w:pPr>
        <w:ind w:left="496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AND REDEEMABLE NONCONTROLLING</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INTERESTS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THREE MONTH PERIOD ENDED MARCH 31, 2026</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6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Lazard</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6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64"/>
        </w:trPr>
        <w:tc>
          <w:tcPr>
            <w:tcW w:w="1760" w:type="dxa"/>
            <w:vAlign w:val="bottom"/>
          </w:tcPr>
          <w:p>
            <w:pPr>
              <w:spacing w:after="0"/>
              <w:rPr>
                <w:sz w:val="5"/>
                <w:szCs w:val="5"/>
                <w:color w:val="auto"/>
              </w:rPr>
            </w:pPr>
          </w:p>
        </w:tc>
        <w:tc>
          <w:tcPr>
            <w:tcW w:w="15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Held In Treasury</w:t>
            </w: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740" w:type="dxa"/>
            <w:vAlign w:val="bottom"/>
            <w:gridSpan w:val="2"/>
            <w:vMerge w:val="restart"/>
          </w:tcPr>
          <w:p>
            <w:pPr>
              <w:jc w:val="center"/>
              <w:ind w:right="80"/>
              <w:spacing w:after="0" w:line="111" w:lineRule="exact"/>
              <w:rPr>
                <w:sz w:val="20"/>
                <w:szCs w:val="20"/>
                <w:color w:val="auto"/>
              </w:rPr>
            </w:pPr>
            <w:r>
              <w:rPr>
                <w:rFonts w:ascii="Times New Roman" w:cs="Times New Roman" w:eastAsia="Times New Roman" w:hAnsi="Times New Roman"/>
                <w:sz w:val="12"/>
                <w:szCs w:val="12"/>
                <w:b w:val="1"/>
                <w:bCs w:val="1"/>
                <w:color w:val="auto"/>
              </w:rPr>
              <w:t>Paid-In-</w:t>
            </w:r>
          </w:p>
        </w:tc>
        <w:tc>
          <w:tcPr>
            <w:tcW w:w="880" w:type="dxa"/>
            <w:vAlign w:val="bottom"/>
            <w:gridSpan w:val="2"/>
            <w:vMerge w:val="restart"/>
          </w:tcPr>
          <w:p>
            <w:pPr>
              <w:ind w:left="140"/>
              <w:spacing w:after="0" w:line="111"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980" w:type="dxa"/>
            <w:vAlign w:val="bottom"/>
            <w:gridSpan w:val="3"/>
            <w:vMerge w:val="restart"/>
          </w:tcPr>
          <w:p>
            <w:pPr>
              <w:jc w:val="center"/>
              <w:ind w:right="100"/>
              <w:spacing w:after="0" w:line="111" w:lineRule="exact"/>
              <w:rPr>
                <w:sz w:val="20"/>
                <w:szCs w:val="20"/>
                <w:color w:val="auto"/>
              </w:rPr>
            </w:pPr>
            <w:r>
              <w:rPr>
                <w:rFonts w:ascii="Times New Roman" w:cs="Times New Roman" w:eastAsia="Times New Roman" w:hAnsi="Times New Roman"/>
                <w:sz w:val="12"/>
                <w:szCs w:val="12"/>
                <w:b w:val="1"/>
                <w:bCs w:val="1"/>
                <w:color w:val="auto"/>
              </w:rPr>
              <w:t>Income (Loss),</w:t>
            </w:r>
          </w:p>
        </w:tc>
        <w:tc>
          <w:tcPr>
            <w:tcW w:w="164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11"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40" w:type="dxa"/>
            <w:vAlign w:val="bottom"/>
            <w:gridSpan w:val="3"/>
            <w:vMerge w:val="restart"/>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80" w:type="dxa"/>
            <w:vAlign w:val="bottom"/>
            <w:gridSpan w:val="3"/>
            <w:vMerge w:val="restart"/>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60" w:type="dxa"/>
            <w:vAlign w:val="bottom"/>
            <w:gridSpan w:val="2"/>
            <w:vMerge w:val="restart"/>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26"/>
        </w:trPr>
        <w:tc>
          <w:tcPr>
            <w:tcW w:w="1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46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Net of Tax</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4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5"/>
                <w:szCs w:val="15"/>
                <w:color w:val="auto"/>
              </w:rPr>
            </w:pPr>
          </w:p>
        </w:tc>
        <w:tc>
          <w:tcPr>
            <w:tcW w:w="72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26"/>
        </w:trPr>
        <w:tc>
          <w:tcPr>
            <w:tcW w:w="1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Balance - January 1, 2026 111,728,757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1,117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$306,425</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$1,517,571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(271,509)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17,822,122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shd w:val="clear" w:color="auto" w:fill="CCEEFF"/>
              </w:rPr>
              <w:t>$ (684,411)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869,193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37,096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906,289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78,379</w:t>
            </w:r>
          </w:p>
        </w:tc>
        <w:tc>
          <w:tcPr>
            <w:tcW w:w="0" w:type="dxa"/>
            <w:vAlign w:val="bottom"/>
          </w:tcPr>
          <w:p>
            <w:pPr>
              <w:spacing w:after="0"/>
              <w:rPr>
                <w:sz w:val="1"/>
                <w:szCs w:val="1"/>
                <w:color w:val="auto"/>
              </w:rPr>
            </w:pPr>
          </w:p>
        </w:tc>
      </w:tr>
      <w:tr>
        <w:trPr>
          <w:trHeight w:val="194"/>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income (loss)</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100,916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100,662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0" w:type="dxa"/>
            <w:vAlign w:val="bottom"/>
          </w:tcPr>
          <w:p>
            <w:pPr>
              <w:spacing w:after="0"/>
              <w:rPr>
                <w:sz w:val="1"/>
                <w:szCs w:val="1"/>
                <w:color w:val="auto"/>
              </w:rPr>
            </w:pPr>
          </w:p>
        </w:tc>
      </w:tr>
      <w:tr>
        <w:trPr>
          <w:trHeight w:val="194"/>
        </w:trPr>
        <w:tc>
          <w:tcPr>
            <w:tcW w:w="1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comprehensive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7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loss - net of tax</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(5,169)</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 of share-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based incentive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compensation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103,261</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103,901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equivalents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12,148</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dividends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($0.50 per share)</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and cancellation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 common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Delivery of common stock</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 connection with share-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based incentive</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compensation and related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tax expense of $10,652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(314,881)</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(4,572,552)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Business acquisitions 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related equity</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transactions: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issuable</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Contributions from</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noncontrolling</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interests,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LFI Consolidated Funds</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3,146</w:t>
            </w:r>
          </w:p>
        </w:tc>
        <w:tc>
          <w:tcPr>
            <w:tcW w:w="0" w:type="dxa"/>
            <w:vAlign w:val="bottom"/>
          </w:tcPr>
          <w:p>
            <w:pPr>
              <w:spacing w:after="0"/>
              <w:rPr>
                <w:sz w:val="1"/>
                <w:szCs w:val="1"/>
                <w:color w:val="auto"/>
              </w:rPr>
            </w:pPr>
          </w:p>
        </w:tc>
      </w:tr>
      <w:tr>
        <w:trPr>
          <w:trHeight w:val="194"/>
        </w:trPr>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and deconsolidation of</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business</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(47,002)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(47,002)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Balance - March 31, 2026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8"/>
                <w:shd w:val="clear" w:color="auto" w:fill="CCEEFF"/>
              </w:rPr>
              <w:t>111,687,255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1,117</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$106,494</w:t>
            </w: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$1,559,269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(276,678)</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13,249,570</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$(508,906)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881,296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(8,841)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872,455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81,426</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400" w:top="1099" w:right="399" w:bottom="1440" w:gutter="0" w:footer="0" w:header="0"/>
        </w:sectPr>
      </w:pPr>
    </w:p>
    <w:bookmarkStart w:id="10" w:name="page11"/>
    <w:bookmarkEnd w:id="10"/>
    <w:p>
      <w:pPr>
        <w:ind w:left="498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AND REDEEMABLE NONCONTROLLING</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INTERESTS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THREE MONTH PERIOD ENDED MARCH 31, 2025</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6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Lazard</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64"/>
        </w:trPr>
        <w:tc>
          <w:tcPr>
            <w:tcW w:w="174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6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Held In Treasury</w:t>
            </w: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740" w:type="dxa"/>
            <w:vAlign w:val="bottom"/>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740" w:type="dxa"/>
            <w:vAlign w:val="bottom"/>
            <w:gridSpan w:val="2"/>
            <w:vMerge w:val="restart"/>
          </w:tcPr>
          <w:p>
            <w:pPr>
              <w:jc w:val="center"/>
              <w:ind w:right="80"/>
              <w:spacing w:after="0" w:line="111" w:lineRule="exact"/>
              <w:rPr>
                <w:sz w:val="20"/>
                <w:szCs w:val="20"/>
                <w:color w:val="auto"/>
              </w:rPr>
            </w:pPr>
            <w:r>
              <w:rPr>
                <w:rFonts w:ascii="Times New Roman" w:cs="Times New Roman" w:eastAsia="Times New Roman" w:hAnsi="Times New Roman"/>
                <w:sz w:val="12"/>
                <w:szCs w:val="12"/>
                <w:b w:val="1"/>
                <w:bCs w:val="1"/>
                <w:color w:val="auto"/>
              </w:rPr>
              <w:t>Paid-In-</w:t>
            </w:r>
          </w:p>
        </w:tc>
        <w:tc>
          <w:tcPr>
            <w:tcW w:w="880" w:type="dxa"/>
            <w:vAlign w:val="bottom"/>
            <w:gridSpan w:val="2"/>
            <w:vMerge w:val="restart"/>
          </w:tcPr>
          <w:p>
            <w:pPr>
              <w:ind w:left="140"/>
              <w:spacing w:after="0" w:line="111"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980" w:type="dxa"/>
            <w:vAlign w:val="bottom"/>
            <w:gridSpan w:val="3"/>
            <w:vMerge w:val="restart"/>
          </w:tcPr>
          <w:p>
            <w:pPr>
              <w:jc w:val="center"/>
              <w:ind w:right="140"/>
              <w:spacing w:after="0" w:line="111" w:lineRule="exact"/>
              <w:rPr>
                <w:sz w:val="20"/>
                <w:szCs w:val="20"/>
                <w:color w:val="auto"/>
              </w:rPr>
            </w:pPr>
            <w:r>
              <w:rPr>
                <w:rFonts w:ascii="Times New Roman" w:cs="Times New Roman" w:eastAsia="Times New Roman" w:hAnsi="Times New Roman"/>
                <w:sz w:val="12"/>
                <w:szCs w:val="12"/>
                <w:b w:val="1"/>
                <w:bCs w:val="1"/>
                <w:color w:val="auto"/>
              </w:rPr>
              <w:t>Income (Loss),</w:t>
            </w:r>
          </w:p>
        </w:tc>
        <w:tc>
          <w:tcPr>
            <w:tcW w:w="16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120"/>
              <w:spacing w:after="0" w:line="111"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40" w:type="dxa"/>
            <w:vAlign w:val="bottom"/>
            <w:gridSpan w:val="3"/>
            <w:vMerge w:val="restart"/>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60" w:type="dxa"/>
            <w:vAlign w:val="bottom"/>
            <w:gridSpan w:val="3"/>
            <w:vMerge w:val="restart"/>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80" w:type="dxa"/>
            <w:vAlign w:val="bottom"/>
            <w:gridSpan w:val="2"/>
            <w:vMerge w:val="restart"/>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46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Net of Tax</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Pr>
          <w:p>
            <w:pPr>
              <w:spacing w:after="0"/>
              <w:rPr>
                <w:sz w:val="15"/>
                <w:szCs w:val="15"/>
                <w:color w:val="auto"/>
              </w:rPr>
            </w:pPr>
          </w:p>
        </w:tc>
        <w:tc>
          <w:tcPr>
            <w:tcW w:w="72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26"/>
        </w:trPr>
        <w:tc>
          <w:tcPr>
            <w:tcW w:w="1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Balance - January 1, 2025 112,766,091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1,128</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$293,884</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$1,501,577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(326,742)</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22,467,315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$(838,069)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631,778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48,914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680,692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79,629</w:t>
            </w:r>
          </w:p>
        </w:tc>
        <w:tc>
          <w:tcPr>
            <w:tcW w:w="0" w:type="dxa"/>
            <w:vAlign w:val="bottom"/>
          </w:tcPr>
          <w:p>
            <w:pPr>
              <w:spacing w:after="0"/>
              <w:rPr>
                <w:sz w:val="1"/>
                <w:szCs w:val="1"/>
                <w:color w:val="auto"/>
              </w:rPr>
            </w:pPr>
          </w:p>
        </w:tc>
      </w:tr>
      <w:tr>
        <w:trPr>
          <w:trHeight w:val="194"/>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Comprehensive income</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(loss):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6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income (loss)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60,375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60,375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63,181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0" w:type="dxa"/>
            <w:vAlign w:val="bottom"/>
          </w:tcPr>
          <w:p>
            <w:pPr>
              <w:spacing w:after="0"/>
              <w:rPr>
                <w:sz w:val="1"/>
                <w:szCs w:val="1"/>
                <w:color w:val="auto"/>
              </w:rPr>
            </w:pPr>
          </w:p>
        </w:tc>
      </w:tr>
      <w:tr>
        <w:trPr>
          <w:trHeight w:val="194"/>
        </w:trPr>
        <w:tc>
          <w:tcPr>
            <w:tcW w:w="266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rPr>
              <w:t>Other comprehensive</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60" w:type="dxa"/>
            <w:vAlign w:val="bottom"/>
            <w:gridSpan w:val="3"/>
          </w:tcPr>
          <w:p>
            <w:pPr>
              <w:ind w:left="420"/>
              <w:spacing w:after="0"/>
              <w:rPr>
                <w:sz w:val="20"/>
                <w:szCs w:val="20"/>
                <w:color w:val="auto"/>
              </w:rPr>
            </w:pPr>
            <w:r>
              <w:rPr>
                <w:rFonts w:ascii="Times New Roman" w:cs="Times New Roman" w:eastAsia="Times New Roman" w:hAnsi="Times New Roman"/>
                <w:sz w:val="15"/>
                <w:szCs w:val="15"/>
                <w:color w:val="auto"/>
              </w:rPr>
              <w:t>income - net of tax</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19,976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19,976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share-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based incentive</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74,950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74,950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77,168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Dividend equivalents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9,421</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dividends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($0.50 per share)</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(44,950)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Purchase of common stock</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773,955</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(36,165)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Delivery of common stock</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 connection with share-</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based incentive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compensation and related</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tax expense of $10,655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(278,381)</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(4,664,538)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175,468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Business acquisitions and</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related equity</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transactions: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Common stock</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6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issuable</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1,235</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Contributions from</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noncontrolling</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interests, net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LFI Consolidated Funds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5,374</w:t>
            </w:r>
          </w:p>
        </w:tc>
        <w:tc>
          <w:tcPr>
            <w:tcW w:w="0" w:type="dxa"/>
            <w:vAlign w:val="bottom"/>
          </w:tcPr>
          <w:p>
            <w:pPr>
              <w:spacing w:after="0"/>
              <w:rPr>
                <w:sz w:val="1"/>
                <w:szCs w:val="1"/>
                <w:color w:val="auto"/>
              </w:rPr>
            </w:pPr>
          </w:p>
        </w:tc>
      </w:tr>
      <w:tr>
        <w:trPr>
          <w:trHeight w:val="225"/>
        </w:trPr>
        <w:tc>
          <w:tcPr>
            <w:tcW w:w="1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(3,338)</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41,969</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(5,265)</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Balance - March 31, 2025 112,766,091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1,128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$ 97,771</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$1,507,126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(306,766)</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18,618,701</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$(700,693)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598,566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45,525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644,091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83,811</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1099" w:right="379" w:bottom="1440" w:gutter="0" w:footer="0" w:header="0"/>
        </w:sectPr>
      </w:pPr>
    </w:p>
    <w:bookmarkStart w:id="11" w:name="page12"/>
    <w:bookmarkEnd w:id="11"/>
    <w:p>
      <w:pPr>
        <w:ind w:left="504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right="7080" w:hanging="317"/>
        <w:spacing w:after="0" w:line="383" w:lineRule="auto"/>
        <w:tabs>
          <w:tab w:leader="none" w:pos="311" w:val="left"/>
        </w:tabs>
        <w:numPr>
          <w:ilvl w:val="0"/>
          <w:numId w:val="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ORGANIZATION AND BASIS OF PRESENTATION Organization</w:t>
      </w:r>
    </w:p>
    <w:p>
      <w:pPr>
        <w:spacing w:after="0" w:line="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Lazard, Inc. is a global financial advisory and asset management firm, incorporated in Delaware that specializes in crafting solutions to the complex financial and strategic challenges and opportunities of our clients. Lazard provides advice on mergers and acquisitions, capital markets and capital solutions, restructuring and liability management, geopolitics, and other strategic matters, as well as asset management and investment solutions to institutions, corporations, governments, partnerships, family offices, and high net worth individuals.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Lazard, Inc. indirectly held 100% of all outstanding common membership interests of Lazard Group LLC, a Delaware limited liability company (collectively referred to, together with its subsidiaries, as “Lazard Group”), as of March 31, 2026 and December 31, 2025. Lazard, Inc., through its control of the managing members of Lazard Group LLC, controls Lazard Group, which is governed by a Third Amended and Restated Operating Agreement (the “Operating Agreement”).</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Lazard, Inc.’s primary operating asset is its indirect ownership of the common membership interests of, and managing member interests in, Lazard Group, whose principal operating activities are included in two business segments:</w:t>
      </w:r>
    </w:p>
    <w:p>
      <w:pPr>
        <w:spacing w:after="0" w:line="48" w:lineRule="exact"/>
        <w:rPr>
          <w:sz w:val="20"/>
          <w:szCs w:val="20"/>
          <w:color w:val="auto"/>
        </w:rPr>
      </w:pPr>
    </w:p>
    <w:p>
      <w:pPr>
        <w:jc w:val="both"/>
        <w:ind w:left="860" w:hanging="238"/>
        <w:spacing w:after="0" w:line="270" w:lineRule="auto"/>
        <w:tabs>
          <w:tab w:leader="none" w:pos="8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Advisory, which offers corporate, partnership, institutional, government, sovereign and individual clients across the globe a wide array of financial advisory services including mergers and acquisitions (“M&amp;A”) advisory, strategic capital solutions, shareholder advisory, sovereign advisory, geopolitical advisory, restructuring and liability management, capital raising and placement, and other strategic matters; and</w:t>
      </w:r>
    </w:p>
    <w:p>
      <w:pPr>
        <w:spacing w:after="0" w:line="62" w:lineRule="exact"/>
        <w:rPr>
          <w:rFonts w:ascii="Times New Roman" w:cs="Times New Roman" w:eastAsia="Times New Roman" w:hAnsi="Times New Roman"/>
          <w:sz w:val="17"/>
          <w:szCs w:val="17"/>
          <w:color w:val="auto"/>
        </w:rPr>
      </w:pPr>
    </w:p>
    <w:p>
      <w:pPr>
        <w:jc w:val="both"/>
        <w:ind w:left="860" w:hanging="238"/>
        <w:spacing w:after="0" w:line="270" w:lineRule="auto"/>
        <w:tabs>
          <w:tab w:leader="none" w:pos="8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Management, which offers a broad range of global investment solutions and investment and wealth management services in equity and fixed income strategies, asset allocation strategies, alternative investments and private equity funds to corporations, public funds, sovereign entities, endowments and foundations, labor funds, financial intermediaries and private wealth clients.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we record selected other activities in our Corporate segment, including cash management, certain investments, deferred tax assets, outstanding indebtedness and certain contingent obligations.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of Lazard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Inc.’s Annual Report on Form 10-K for the year ended December 31, 2025. The accompanying December 31, 2025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that are, in the opinion of management, necessary for a fair presentation of the financial position, results of operations and cash flows for the interim periods presented.</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Preparing financial statements requires management to make estimates and assumptions that affect the amounts that are reported in the condensed consolidated financial statements and the accompanying disclosures. For example, discretionary compensation and benefits expense for interim periods is accrued based on the year-to-date amount of revenue earned, and an estimated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condensed consolidated results of operations for the three month period ended March 31, 2026 are not indicative of the results to be expected for any future interim or annual period.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condensed consolidated financial statements include Lazard, Inc. and its subsidiaries including Lazard Group LLC and Lazard Group LLC’s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Lazard Frères Banque SA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policy is to consolidate entities in which it has a controlling financial interest. The Company consolidates:</w:t>
      </w:r>
    </w:p>
    <w:p>
      <w:pPr>
        <w:spacing w:after="0" w:line="114" w:lineRule="exact"/>
        <w:rPr>
          <w:sz w:val="20"/>
          <w:szCs w:val="20"/>
          <w:color w:val="auto"/>
        </w:rPr>
      </w:pPr>
    </w:p>
    <w:p>
      <w:pPr>
        <w:ind w:left="840" w:hanging="218"/>
        <w:spacing w:after="0"/>
        <w:tabs>
          <w:tab w:leader="none" w:pos="8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interest entities (“VOEs”) where the Company holds a majority of the voting interest in such VOEs and</w:t>
      </w:r>
    </w:p>
    <w:p>
      <w:pPr>
        <w:spacing w:after="0" w:line="113" w:lineRule="exact"/>
        <w:rPr>
          <w:rFonts w:ascii="Times New Roman" w:cs="Times New Roman" w:eastAsia="Times New Roman" w:hAnsi="Times New Roman"/>
          <w:sz w:val="17"/>
          <w:szCs w:val="17"/>
          <w:color w:val="auto"/>
        </w:rPr>
      </w:pPr>
    </w:p>
    <w:p>
      <w:pPr>
        <w:jc w:val="both"/>
        <w:ind w:left="860" w:hanging="238"/>
        <w:spacing w:after="0" w:line="270" w:lineRule="auto"/>
        <w:tabs>
          <w:tab w:leader="none" w:pos="8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20).</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losses or (ii) elects the option to measure its investment at fair value.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Intercompany transactions and balances have been eliminated.</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“Proceeds from (payments for) customer loans, net” is being reported separately in the condensed consolidated statements of cash flows. Such amounts were previously reported in “other investing activities”. Prior period information has been recast to reflect the updated presentation.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Change in Accounting Principle</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first quarter of 2026, the Company changed its accounting principle for recognizing compensation expense for share-based incentive compensation awards and certain deferred compensation arrangements with only a service condition from the graded attribution method to the straight-line attribution method. The Company believes that the straight-line attribution method of accounting is preferable because it more appropriately reflects the pattern of service provided by the employee. This change in accounting principle was retrospectively applied resulting in a cumulative effect that was recorded as an adjustment to opening retained earnings as of January 1, 2024. The effect of the change on each prior period’s condensed consolidated statements of operations and cash flows presented as well as on basic and diluted net income per share and weighted average shares of common stock outstanding was not material, and as a result these amounts were not recast. The Company also changed the vesting period for share-based incentive compensation awards and certain deferred compensation arrangements with only a service condition, granted in the first quarter of 2026, such that they vest to employees ratably over three years (see Note 13).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present the effect of the change in accounting principle and its impact on key components of the Company's condensed consolidated statements of financial condition and condensed consolidated statements of changes in stockholders’ equity and redeemable noncontrolling interests: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
        </w:trPr>
        <w:tc>
          <w:tcPr>
            <w:tcW w:w="59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77"/>
        </w:trPr>
        <w:tc>
          <w:tcPr>
            <w:tcW w:w="5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260" w:type="dxa"/>
            <w:vAlign w:val="bottom"/>
          </w:tcPr>
          <w:p>
            <w:pPr>
              <w:spacing w:after="0"/>
              <w:rPr>
                <w:sz w:val="15"/>
                <w:szCs w:val="15"/>
                <w:color w:val="auto"/>
              </w:rPr>
            </w:pPr>
          </w:p>
        </w:tc>
        <w:tc>
          <w:tcPr>
            <w:tcW w:w="14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Effect of Change</w:t>
            </w:r>
          </w:p>
        </w:tc>
      </w:tr>
      <w:tr>
        <w:trPr>
          <w:trHeight w:val="22"/>
        </w:trPr>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449,531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(9,556)</w:t>
            </w:r>
          </w:p>
        </w:tc>
      </w:tr>
      <w:tr>
        <w:trPr>
          <w:trHeight w:val="252"/>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 (a)</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5,094</w:t>
            </w:r>
          </w:p>
        </w:tc>
      </w:tr>
      <w:tr>
        <w:trPr>
          <w:trHeight w:val="264"/>
        </w:trPr>
        <w:tc>
          <w:tcPr>
            <w:tcW w:w="5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paid-in-capital</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(33,926)</w:t>
            </w:r>
          </w:p>
        </w:tc>
      </w:tr>
      <w:tr>
        <w:trPr>
          <w:trHeight w:val="232"/>
        </w:trPr>
        <w:tc>
          <w:tcPr>
            <w:tcW w:w="5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1,517,571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29,464</w:t>
            </w:r>
          </w:p>
        </w:tc>
      </w:tr>
      <w:tr>
        <w:trPr>
          <w:trHeight w:val="25"/>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8"/>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Lazard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873,655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869,193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w:t>
            </w:r>
          </w:p>
        </w:tc>
      </w:tr>
      <w:tr>
        <w:trPr>
          <w:trHeight w:val="232"/>
        </w:trPr>
        <w:tc>
          <w:tcPr>
            <w:tcW w:w="5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910,751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906,289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(4,462)</w:t>
            </w:r>
          </w:p>
        </w:tc>
      </w:tr>
      <w:tr>
        <w:trPr>
          <w:trHeight w:val="660"/>
        </w:trPr>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gridSpan w:val="6"/>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2025</w:t>
            </w:r>
          </w:p>
        </w:tc>
        <w:tc>
          <w:tcPr>
            <w:tcW w:w="1440" w:type="dxa"/>
            <w:vAlign w:val="bottom"/>
          </w:tcPr>
          <w:p>
            <w:pPr>
              <w:spacing w:after="0"/>
              <w:rPr>
                <w:sz w:val="24"/>
                <w:szCs w:val="24"/>
                <w:color w:val="auto"/>
              </w:rPr>
            </w:pPr>
          </w:p>
        </w:tc>
      </w:tr>
      <w:tr>
        <w:trPr>
          <w:trHeight w:val="35"/>
        </w:trPr>
        <w:tc>
          <w:tcPr>
            <w:tcW w:w="59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77"/>
        </w:trPr>
        <w:tc>
          <w:tcPr>
            <w:tcW w:w="5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260" w:type="dxa"/>
            <w:vAlign w:val="bottom"/>
          </w:tcPr>
          <w:p>
            <w:pPr>
              <w:spacing w:after="0"/>
              <w:rPr>
                <w:sz w:val="15"/>
                <w:szCs w:val="15"/>
                <w:color w:val="auto"/>
              </w:rPr>
            </w:pPr>
          </w:p>
        </w:tc>
        <w:tc>
          <w:tcPr>
            <w:tcW w:w="14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Effect of Change</w:t>
            </w:r>
          </w:p>
        </w:tc>
      </w:tr>
      <w:tr>
        <w:trPr>
          <w:trHeight w:val="22"/>
        </w:trPr>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 Paid-In-Capital:</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2"/>
        </w:trPr>
        <w:tc>
          <w:tcPr>
            <w:tcW w:w="5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 January 1, 2025</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327,810</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293,884</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(33,926)</w:t>
            </w:r>
          </w:p>
        </w:tc>
      </w:tr>
      <w:tr>
        <w:trPr>
          <w:trHeight w:val="25"/>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8"/>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 March 31, 2025</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97,771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(33,926)</w:t>
            </w:r>
          </w:p>
        </w:tc>
      </w:tr>
      <w:tr>
        <w:trPr>
          <w:trHeight w:val="258"/>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32"/>
        </w:trPr>
        <w:tc>
          <w:tcPr>
            <w:tcW w:w="5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 January 1, 2025</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1,472,113</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1,501,577</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29,464</w:t>
            </w:r>
          </w:p>
        </w:tc>
      </w:tr>
      <w:tr>
        <w:trPr>
          <w:trHeight w:val="25"/>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 March 31, 2025</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1,477,662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1,507,126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29,464</w:t>
            </w:r>
          </w:p>
        </w:tc>
      </w:tr>
      <w:tr>
        <w:trPr>
          <w:trHeight w:val="25"/>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w:t>
      </w:r>
    </w:p>
    <w:p>
      <w:pPr>
        <w:spacing w:after="0" w:line="112" w:lineRule="exact"/>
        <w:rPr>
          <w:sz w:val="20"/>
          <w:szCs w:val="20"/>
          <w:color w:val="auto"/>
        </w:rPr>
      </w:pPr>
    </w:p>
    <w:p>
      <w:pPr>
        <w:ind w:left="320" w:hanging="317"/>
        <w:spacing w:after="0" w:line="287" w:lineRule="auto"/>
        <w:tabs>
          <w:tab w:leader="none" w:pos="31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assets is the prepaid compensation asset relating to Lazard Fund Interests (“LFI”) and other similar deferred compensation arrangements. The following table presents the impact to the prepaid compensation asset as presented in Note 13: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5"/>
        </w:trPr>
        <w:tc>
          <w:tcPr>
            <w:tcW w:w="55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77"/>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240" w:type="dxa"/>
            <w:vAlign w:val="bottom"/>
          </w:tcPr>
          <w:p>
            <w:pPr>
              <w:spacing w:after="0"/>
              <w:rPr>
                <w:sz w:val="15"/>
                <w:szCs w:val="15"/>
                <w:color w:val="auto"/>
              </w:rPr>
            </w:pPr>
          </w:p>
        </w:tc>
        <w:tc>
          <w:tcPr>
            <w:tcW w:w="14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Effect of Change</w:t>
            </w:r>
          </w:p>
        </w:tc>
      </w:tr>
      <w:tr>
        <w:trPr>
          <w:trHeight w:val="22"/>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Compensation Asset - LFI</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33,501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r>
      <w:tr>
        <w:trPr>
          <w:trHeight w:val="25"/>
        </w:trPr>
        <w:tc>
          <w:tcPr>
            <w:tcW w:w="5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Sale and Deconsolidation of The Edgewater Management Vehicles (“Edgewater”)</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February 13, 2026, the Company completed the sale of a controlling stake in the Edgewater management vehicles, resulting in the deconsolidation of the related entities. The Company measured its retained investment in Edgewater, primarily composed of certain carried interests, at fair value of $8,164 at the time of transaction. This measurement, which required significant management estimates and assumptions, was determined using an income approach, which is based on discounted estimated future cash flows from net income. As a result of the transaction, the Company recorded a pre-tax gain of $77,990, which was reported as “other revenue” on the condensed consolidated statement of operations for the three month period ended March 31, 2026. Cash flows from investing activities “sale and deconsolidation of business, net of cash proceeds” in the condensed consolidated statements of cash flows for the three month period ended March 31, 2026 primarily relate to decrease in cash and cash equivalents and restricted cash from the deconsolidation of Edgewater. The Company will use the equity method to account for its retained investment.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RECENT ACCOUNTING DEVELOPMENTS</w:t>
      </w:r>
    </w:p>
    <w:p>
      <w:pPr>
        <w:spacing w:after="0" w:line="21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Financial Instruments—Credit Losses (Topic 326): Measurement of Credit Losses for Accounts Receivable and Contract Assets </w:t>
      </w:r>
      <w:r>
        <w:rPr>
          <w:rFonts w:ascii="Times New Roman" w:cs="Times New Roman" w:eastAsia="Times New Roman" w:hAnsi="Times New Roman"/>
          <w:sz w:val="17"/>
          <w:szCs w:val="17"/>
          <w:color w:val="auto"/>
        </w:rPr>
        <w:t>— In July 2025,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FASB issued an accounting standard update that provides a practical expedient related to the estimation of expected credit losses on accounts receivable, which permits entities to assume that the current conditions as of the balance sheet date do not change for the remaining life of the asset. The amendments are effective for annual periods beginning after December 15, 2025 and interim periods within those annual periods, with either prospective or retrospective application. The Company elected to apply the practical expedient on a prospective basis beginning January 1, 2026. The adoption of this guidance did not have a material impact on the Company’s financial statements.</w:t>
      </w:r>
    </w:p>
    <w:p>
      <w:pPr>
        <w:spacing w:after="0" w:line="168"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17"/>
          <w:szCs w:val="17"/>
          <w:color w:val="auto"/>
        </w:rPr>
        <w:t>— In November 2024, the FASB issued an accounting standard update to require additional information about the types of expenses in commonly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presented expense captions. The amendments are effective for annual periods beginning after December 15, 2026, and the subsequent interim periods, with early adoption permitted. The amendments shall be applied either prospectively or retrospectively. The Company is currently evaluating the new guidance.</w:t>
      </w:r>
    </w:p>
    <w:p>
      <w:pPr>
        <w:spacing w:after="0" w:line="16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Intangibles—Goodwill and Other—Internal-Use Software (Subtopic 350-40): Targeted Improvements to the Accounting for Internal-Use Software </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2025, the FASB issued an accounting standard update to eliminate accounting consideration of software project development stages and enhance the guidance related to when an entity would begin capitalizing software costs. The amendments are effective for annual periods beginning after December 15, 2027, and the interim periods within those annual periods, with early adoption permitted. The amendments can be applied prospectively, retrospectively, or using a modified transition approach. The Company is currently evaluating the new guidance.</w:t>
      </w:r>
    </w:p>
    <w:p>
      <w:pPr>
        <w:spacing w:after="0" w:line="27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i w:val="1"/>
          <w:iCs w:val="1"/>
          <w:color w:val="auto"/>
        </w:rPr>
        <w:t>3.</w:t>
        <w:tab/>
        <w:t>REVENUE RECOGNITION</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disaggregates revenue from contracts with customers based on its business segment results and believes that the following information provides a reasonable representation of how performance obligations relate to the nature, amount, timing and uncertainty of revenue and cash flows:</w:t>
      </w:r>
    </w:p>
    <w:p>
      <w:pPr>
        <w:spacing w:after="0" w:line="9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776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4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Advisory (a)</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358,169</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367,359</w:t>
            </w:r>
          </w:p>
        </w:tc>
      </w:tr>
      <w:tr>
        <w:trPr>
          <w:trHeight w:val="20"/>
        </w:trPr>
        <w:tc>
          <w:tcPr>
            <w:tcW w:w="776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7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 Management:</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1"/>
        </w:trPr>
        <w:tc>
          <w:tcPr>
            <w:tcW w:w="7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Management fees (b)</w:t>
            </w:r>
          </w:p>
        </w:tc>
        <w:tc>
          <w:tcPr>
            <w:tcW w:w="102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315,475</w:t>
            </w: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254,700</w:t>
            </w:r>
          </w:p>
        </w:tc>
      </w:tr>
      <w:tr>
        <w:trPr>
          <w:trHeight w:val="239"/>
        </w:trPr>
        <w:tc>
          <w:tcPr>
            <w:tcW w:w="7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Incentive fees (c)</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9,908</w:t>
            </w:r>
          </w:p>
        </w:tc>
      </w:tr>
      <w:tr>
        <w:trPr>
          <w:trHeight w:val="245"/>
        </w:trPr>
        <w:tc>
          <w:tcPr>
            <w:tcW w:w="7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Other (d)</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10,973</w:t>
            </w:r>
          </w:p>
        </w:tc>
        <w:tc>
          <w:tcPr>
            <w:tcW w:w="8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23,492</w:t>
            </w:r>
          </w:p>
        </w:tc>
      </w:tr>
      <w:tr>
        <w:trPr>
          <w:trHeight w:val="24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 Management</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338,272</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288,100</w:t>
            </w: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w:t>
      </w:r>
    </w:p>
    <w:p>
      <w:pPr>
        <w:spacing w:after="0" w:line="103" w:lineRule="exact"/>
        <w:rPr>
          <w:sz w:val="20"/>
          <w:szCs w:val="20"/>
          <w:color w:val="auto"/>
        </w:rPr>
      </w:pPr>
    </w:p>
    <w:p>
      <w:pPr>
        <w:jc w:val="both"/>
        <w:ind w:left="320" w:hanging="317"/>
        <w:spacing w:after="0" w:line="258" w:lineRule="auto"/>
        <w:tabs>
          <w:tab w:leader="none" w:pos="3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Advisory is comprised of a wide array of financial advisory services regarding M&amp;A advisory, strategic capital solutions, shareholder advisory, sovereign advisory, geopolitical advisory, restructuring and liability management, capital raising and placement,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may relate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330"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48" w:lineRule="exact"/>
        <w:rPr>
          <w:sz w:val="20"/>
          <w:szCs w:val="20"/>
          <w:color w:val="auto"/>
        </w:rPr>
      </w:pPr>
    </w:p>
    <w:p>
      <w:pPr>
        <w:jc w:val="both"/>
        <w:ind w:left="320" w:hanging="317"/>
        <w:spacing w:after="0" w:line="264" w:lineRule="auto"/>
        <w:tabs>
          <w:tab w:leader="none" w:pos="3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fees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the benefits of such services are transferred to the Company’s clients at the point in time that such fund interests are sold or distributed.</w:t>
      </w:r>
    </w:p>
    <w:p>
      <w:pPr>
        <w:spacing w:after="0" w:line="68" w:lineRule="exact"/>
        <w:rPr>
          <w:rFonts w:ascii="Times New Roman" w:cs="Times New Roman" w:eastAsia="Times New Roman" w:hAnsi="Times New Roman"/>
          <w:sz w:val="17"/>
          <w:szCs w:val="17"/>
          <w:color w:val="auto"/>
        </w:rPr>
      </w:pPr>
    </w:p>
    <w:p>
      <w:pPr>
        <w:jc w:val="both"/>
        <w:ind w:left="320" w:hanging="317"/>
        <w:spacing w:after="0" w:line="264" w:lineRule="auto"/>
        <w:tabs>
          <w:tab w:leader="none" w:pos="31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68" w:lineRule="exact"/>
        <w:rPr>
          <w:rFonts w:ascii="Times New Roman" w:cs="Times New Roman" w:eastAsia="Times New Roman" w:hAnsi="Times New Roman"/>
          <w:sz w:val="17"/>
          <w:szCs w:val="17"/>
          <w:color w:val="auto"/>
        </w:rPr>
      </w:pPr>
    </w:p>
    <w:p>
      <w:pPr>
        <w:ind w:left="320" w:hanging="317"/>
        <w:spacing w:after="0" w:line="287" w:lineRule="auto"/>
        <w:tabs>
          <w:tab w:leader="none" w:pos="3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is primarily comprised of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Asset Management “other” revenue is being reported separately in the above table. Such amounts were previously included in “management fees and other”. Prior period information has been recast to reflect the updated presentation.</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 March 31, 2026, the Company had deferred revenue of $5,829 included in “other liabilities” on the condensed consolidated statements of financial condition. During the three month period ended March 31, 2026, the Company recognized $8,663 in revenue that was included in the deferred revenue balance as of December 31, 2025 of $139,022. The majority of the remaining decrease in the deferred revenue balance in the three month period ended March 31, 2026 relates to the sale and corresponding deconsolidation of Edgewater. See Note 1 for further information.</w:t>
      </w:r>
    </w:p>
    <w:p>
      <w:pPr>
        <w:spacing w:after="0" w:line="26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i w:val="1"/>
          <w:iCs w:val="1"/>
          <w:color w:val="auto"/>
        </w:rPr>
        <w:t>4.</w:t>
        <w:tab/>
        <w:t>RECEIVABLES AND ALLOWANCE FOR CREDIT LOSSES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Company’s receivables represent fee receivables, amounts due from customers and other receivables. Where applicable, receivables are stated net of an estimated allowance for credit losses determined in accordance with the current expected credit losses (“CECL”) model.</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Of the Company’s fee receivables at March 31, 2026 and December 31, 2025, $120,945 and $152,227, respectively, represented financing receivables for our Private Capital Advisory fees.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March 31, 2026 and December 31, 2025, customers and other receivables included $139,048 and $142,454, respectively, of customer loans provided by LFB to high net worth individuals and families, which are fully collateralized and monitored for counterparty creditworthiness, with such collateral having a fair value in excess of the carrying amount of the loans as of both March 31, 2026 and December 31, 2025.</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aggregate carrying amount of other fees and customers and other receivables was $513,792 and $603,105 at March 31, 2026 and December 31, 2025,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Activity in the allowance for credit losses for the three month periods ended March 31, 2026 and 2025 was as follows:</w:t>
      </w:r>
    </w:p>
    <w:p>
      <w:pPr>
        <w:sectPr>
          <w:pgSz w:w="11900" w:h="16838" w:orient="portrait"/>
          <w:cols w:equalWidth="0" w:num="1">
            <w:col w:w="11240"/>
          </w:cols>
          <w:pgMar w:left="320" w:top="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38670"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Provision for credit losses, net of reversals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3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Charge-offs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Foreign currency translation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Ending Balance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22,884</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32,033</w:t>
            </w:r>
          </w:p>
        </w:tc>
      </w:tr>
      <w:tr>
        <w:trPr>
          <w:trHeight w:val="245"/>
        </w:trPr>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(5,422)</w:t>
            </w:r>
          </w:p>
        </w:tc>
      </w:tr>
      <w:tr>
        <w:trPr>
          <w:trHeight w:val="258"/>
        </w:trPr>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r>
      <w:tr>
        <w:trPr>
          <w:trHeight w:val="264"/>
        </w:trPr>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38"/>
        </w:trPr>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22,239</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26,340</w:t>
            </w:r>
          </w:p>
        </w:tc>
      </w:tr>
      <w:tr>
        <w:trPr>
          <w:trHeight w:val="25"/>
        </w:trPr>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040" w:space="720"/>
            <w:col w:w="3480"/>
          </w:cols>
          <w:pgMar w:left="320" w:top="325" w:right="339" w:bottom="1440" w:gutter="0" w:footer="0" w:header="0"/>
          <w:type w:val="continuous"/>
        </w:sectPr>
      </w:pPr>
    </w:p>
    <w:p>
      <w:pPr>
        <w:spacing w:after="0" w:line="8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provision for credit losses, net of reversals represents the current period provision of expected credit losses and is included in “operating expenses-other” on the condensed consolidated statements of operations.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allowance for credit losses is substantially all related to Financial Advisory fee receivables and other receivables.</w:t>
      </w:r>
    </w:p>
    <w:p>
      <w:pPr>
        <w:spacing w:after="0" w:line="31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i w:val="1"/>
          <w:iCs w:val="1"/>
          <w:color w:val="auto"/>
        </w:rPr>
        <w:t>5.</w:t>
        <w:tab/>
        <w:t>INVESTMENTS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investments consist of the following at March 31, 2026 and December 31,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4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7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77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8"/>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Debt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1,729</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53,186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56,920</w:t>
            </w:r>
          </w:p>
        </w:tc>
      </w:tr>
      <w:tr>
        <w:trPr>
          <w:trHeight w:val="25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Alternative investments (a)</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51,842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52,702</w:t>
            </w:r>
          </w:p>
        </w:tc>
      </w:tr>
      <w:tr>
        <w:trPr>
          <w:trHeight w:val="251"/>
        </w:trPr>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Debt (a)</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83,263</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125,806</w:t>
            </w:r>
          </w:p>
        </w:tc>
      </w:tr>
      <w:tr>
        <w:trPr>
          <w:trHeight w:val="23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(a)</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279,863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320,832</w:t>
            </w:r>
          </w:p>
        </w:tc>
      </w:tr>
      <w:tr>
        <w:trPr>
          <w:trHeight w:val="245"/>
        </w:trPr>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Private equity (b)</w:t>
            </w:r>
          </w:p>
        </w:tc>
        <w:tc>
          <w:tcPr>
            <w:tcW w:w="3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20,202</w:t>
            </w: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49,105</w:t>
            </w:r>
          </w:p>
        </w:tc>
      </w:tr>
      <w:tr>
        <w:trPr>
          <w:trHeight w:val="238"/>
        </w:trPr>
        <w:tc>
          <w:tcPr>
            <w:tcW w:w="77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Total funds</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435,170</w:t>
            </w: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548,445</w:t>
            </w:r>
          </w:p>
        </w:tc>
      </w:tr>
      <w:tr>
        <w:trPr>
          <w:trHeight w:val="244"/>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Investments, at fair value</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490,080</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607,094</w:t>
            </w:r>
          </w:p>
        </w:tc>
      </w:tr>
      <w:tr>
        <w:trPr>
          <w:trHeight w:val="239"/>
        </w:trPr>
        <w:tc>
          <w:tcPr>
            <w:tcW w:w="7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Equity method investments (b)</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26,475</w:t>
            </w: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18,752</w:t>
            </w:r>
          </w:p>
        </w:tc>
      </w:tr>
      <w:tr>
        <w:trPr>
          <w:trHeight w:val="26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516,555</w:t>
            </w:r>
          </w:p>
        </w:tc>
        <w:tc>
          <w:tcPr>
            <w:tcW w:w="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625,846</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w:t>
      </w:r>
    </w:p>
    <w:p>
      <w:pPr>
        <w:spacing w:after="0" w:line="61" w:lineRule="exact"/>
        <w:rPr>
          <w:sz w:val="20"/>
          <w:szCs w:val="20"/>
          <w:color w:val="auto"/>
        </w:rPr>
      </w:pPr>
    </w:p>
    <w:p>
      <w:pPr>
        <w:jc w:val="both"/>
        <w:ind w:left="320" w:hanging="317"/>
        <w:spacing w:after="0" w:line="264" w:lineRule="auto"/>
        <w:tabs>
          <w:tab w:leader="none" w:pos="3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Interests in alternative investment funds, debt funds and equity funds include investments (fair values shown below), including those held by LFI Consolidated Funds (see Note 20), held to satisfy the Company’s obligation upon vesting of previously granted LFI and other similar deferred compensation arrangements. LFI represent grants by the Company to eligible employees of interests in a number of Lazard-managed funds, subject to service-based vesting conditions (see Notes 7 and 13).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7" w:name="page18"/>
    <w:bookmarkEnd w:id="17"/>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related to LFI and other similar deferred compensation arrangements:</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Alternative investments</w:t>
            </w:r>
          </w:p>
        </w:tc>
        <w:tc>
          <w:tcPr>
            <w:tcW w:w="260" w:type="dxa"/>
            <w:vAlign w:val="bottom"/>
          </w:tcPr>
          <w:p>
            <w:pPr>
              <w:spacing w:after="0"/>
              <w:rPr>
                <w:sz w:val="21"/>
                <w:szCs w:val="21"/>
                <w:color w:val="auto"/>
              </w:rPr>
            </w:pPr>
          </w:p>
        </w:tc>
        <w:tc>
          <w:tcPr>
            <w:tcW w:w="1180" w:type="dxa"/>
            <w:vAlign w:val="bottom"/>
            <w:gridSpan w:val="2"/>
          </w:tcPr>
          <w:p>
            <w:pPr>
              <w:jc w:val="right"/>
              <w:ind w:right="64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22,053</w:t>
            </w:r>
          </w:p>
        </w:tc>
        <w:tc>
          <w:tcPr>
            <w:tcW w:w="4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22,224</w:t>
            </w: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101,297</w:t>
            </w: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Equity</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126,516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161,500</w:t>
            </w: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285,021</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 Unfunded commitments relating to investments:</w:t>
            </w: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7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760" w:type="dxa"/>
            <w:vAlign w:val="bottom"/>
            <w:tcBorders>
              <w:bottom w:val="single" w:sz="8" w:color="CCEEFF"/>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equity funds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27,778</w:t>
            </w:r>
          </w:p>
        </w:tc>
        <w:tc>
          <w:tcPr>
            <w:tcW w:w="660" w:type="dxa"/>
            <w:vAlign w:val="bottom"/>
            <w:gridSpan w:val="3"/>
            <w:shd w:val="clear" w:color="auto" w:fill="CCEEFF"/>
          </w:tcPr>
          <w:p>
            <w:pPr>
              <w:jc w:val="right"/>
              <w:ind w:right="35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Debt securities primarily consist of investments in government securities held within separately managed accounts in order to seed strategies in our Asset Management business.</w:t>
      </w:r>
    </w:p>
    <w:p>
      <w:pPr>
        <w:spacing w:after="0" w:line="151"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Equity securities primarily consist of investments in marketable equity securities of large-, mid- and small-cap domestic, international and global companies held within separately managed accounts in order to seed strategies in our Asset Management business.</w:t>
      </w:r>
    </w:p>
    <w:p>
      <w:pPr>
        <w:spacing w:after="0" w:line="151"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Alternative investment funds primarily consist of interests in various Lazard-managed hedge funds, funds of funds and mutual funds. Such amounts primarily consist of investments in funds in order to seed strategies in our Asset Management business, and amounts related to LFI discussed above.</w:t>
      </w:r>
    </w:p>
    <w:p>
      <w:pPr>
        <w:spacing w:after="0" w:line="151"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Debt funds primarily consist of investments in debt securities in order to seed strategies in our Asset Management business and amounts related to LFI discussed above.</w:t>
      </w:r>
    </w:p>
    <w:p>
      <w:pPr>
        <w:spacing w:after="0" w:line="151"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Equity funds primarily consist of investments in equity securities in order to seed strategies in our Asset Management business, and amounts related to LFI discussed above.</w:t>
      </w:r>
    </w:p>
    <w:p>
      <w:pPr>
        <w:spacing w:after="0" w:line="151"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Private equity investments are primarily comprised of investments in private equity funds. Such investments primarily include (i) Edgewater Growth Capital Partners III, L.P. (“EGCP III”), a fund primarily making equity and buyout investments in middle market companies, (ii) a seed investment in a fund that invests in sustainable private infrastructure opportunities, and (iii) an investment in a European tech-focused growth equity fund managed by our asset management business. In 2025, private equity investments consolidated but not owned by Lazard relate to the economic interests that are owned by the management team and other investors in Edgewater.</w:t>
      </w:r>
    </w:p>
    <w:p>
      <w:pPr>
        <w:spacing w:after="0" w:line="175"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Equity method investments include (i) retained investment in Edgewater, and (ii) an interest in a venture capital asset management entity accounted for under the equity method of accounting. The carrying value includes amounts related to intangible assets, which are amortized, and goodwill.</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25"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three month periods ended March 31, 2026 and 2025,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95"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16510</wp:posOffset>
            </wp:positionV>
            <wp:extent cx="2218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20" w:lineRule="exact"/>
        <w:rPr>
          <w:sz w:val="20"/>
          <w:szCs w:val="20"/>
          <w:color w:val="auto"/>
        </w:rPr>
      </w:pPr>
    </w:p>
    <w:p>
      <w:pPr>
        <w:ind w:left="8460"/>
        <w:spacing w:after="0"/>
        <w:tabs>
          <w:tab w:leader="none" w:pos="102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46" w:lineRule="exact"/>
        <w:rPr>
          <w:sz w:val="20"/>
          <w:szCs w:val="20"/>
          <w:color w:val="auto"/>
        </w:rPr>
      </w:pPr>
    </w:p>
    <w:p>
      <w:pPr>
        <w:ind w:left="20"/>
        <w:spacing w:after="0"/>
        <w:tabs>
          <w:tab w:leader="none" w:pos="7740" w:val="left"/>
          <w:tab w:leader="none" w:pos="8820" w:val="left"/>
          <w:tab w:leader="none" w:pos="9540" w:val="left"/>
          <w:tab w:leader="none" w:pos="10700" w:val="left"/>
        </w:tabs>
        <w:rPr>
          <w:sz w:val="20"/>
          <w:szCs w:val="20"/>
          <w:color w:val="auto"/>
        </w:rPr>
      </w:pPr>
      <w:r>
        <w:rPr>
          <w:rFonts w:ascii="Times New Roman" w:cs="Times New Roman" w:eastAsia="Times New Roman" w:hAnsi="Times New Roman"/>
          <w:sz w:val="17"/>
          <w:szCs w:val="17"/>
          <w:color w:val="auto"/>
        </w:rPr>
        <w:t>Net unrealized investment gains (losses)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(23,849)</w:t>
        <w:tab/>
        <w:t>$</w:t>
      </w:r>
      <w:r>
        <w:rPr>
          <w:sz w:val="20"/>
          <w:szCs w:val="20"/>
          <w:color w:val="auto"/>
        </w:rPr>
        <w:tab/>
      </w:r>
      <w:r>
        <w:rPr>
          <w:rFonts w:ascii="Times New Roman" w:cs="Times New Roman" w:eastAsia="Times New Roman" w:hAnsi="Times New Roman"/>
          <w:sz w:val="17"/>
          <w:szCs w:val="17"/>
          <w:color w:val="auto"/>
        </w:rPr>
        <w:t>(8,984)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50165</wp:posOffset>
            </wp:positionV>
            <wp:extent cx="2218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352"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2026 and December 31, 2025, the Company has pledged investments with a carrying value of $33,089 and $48,966, respectively, primarily as collateral for its derivative contracts (see Note 7). Such pledged assets can be sold or repledged by the secured party.</w:t>
      </w:r>
    </w:p>
    <w:p>
      <w:pPr>
        <w:spacing w:after="0" w:line="24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i w:val="1"/>
          <w:iCs w:val="1"/>
          <w:color w:val="auto"/>
        </w:rPr>
        <w:t>6.</w:t>
      </w:r>
      <w:r>
        <w:rPr>
          <w:sz w:val="20"/>
          <w:szCs w:val="20"/>
          <w:color w:val="auto"/>
        </w:rPr>
        <w:tab/>
      </w:r>
      <w:r>
        <w:rPr>
          <w:rFonts w:ascii="Times New Roman" w:cs="Times New Roman" w:eastAsia="Times New Roman" w:hAnsi="Times New Roman"/>
          <w:sz w:val="16"/>
          <w:szCs w:val="16"/>
          <w:b w:val="1"/>
          <w:bCs w:val="1"/>
          <w:i w:val="1"/>
          <w:iCs w:val="1"/>
          <w:color w:val="auto"/>
        </w:rPr>
        <w:t>FAIR VALUE MEASUREMENTS</w:t>
      </w:r>
    </w:p>
    <w:p>
      <w:pPr>
        <w:spacing w:after="0" w:line="114"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Fair Value Hierarchy of Investments and Certain Other Assets and Liabilities</w:t>
      </w:r>
      <w:r>
        <w:rPr>
          <w:rFonts w:ascii="Times New Roman" w:cs="Times New Roman" w:eastAsia="Times New Roman" w:hAnsi="Times New Roman"/>
          <w:sz w:val="17"/>
          <w:szCs w:val="17"/>
          <w:color w:val="auto"/>
        </w:rPr>
        <w:t>—Lazard categorizes its investments and certain other assets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liabilities recorded at fair value into a three-level fair value hierarchy as follows:</w:t>
      </w:r>
    </w:p>
    <w:p>
      <w:pPr>
        <w:spacing w:after="0" w:line="39" w:lineRule="exact"/>
        <w:rPr>
          <w:sz w:val="20"/>
          <w:szCs w:val="20"/>
          <w:color w:val="auto"/>
        </w:rPr>
      </w:pPr>
    </w:p>
    <w:p>
      <w:pPr>
        <w:jc w:val="both"/>
        <w:ind w:left="620" w:hanging="618"/>
        <w:spacing w:after="0" w:line="287" w:lineRule="auto"/>
        <w:tabs>
          <w:tab w:leader="none" w:pos="600" w:val="left"/>
        </w:tabs>
        <w:rPr>
          <w:sz w:val="20"/>
          <w:szCs w:val="20"/>
          <w:color w:val="auto"/>
        </w:rPr>
      </w:pPr>
      <w:r>
        <w:rPr>
          <w:rFonts w:ascii="Times New Roman" w:cs="Times New Roman" w:eastAsia="Times New Roman" w:hAnsi="Times New Roman"/>
          <w:sz w:val="17"/>
          <w:szCs w:val="17"/>
          <w:i w:val="1"/>
          <w:iCs w:val="1"/>
          <w:color w:val="auto"/>
        </w:rPr>
        <w:t>Level 1.</w:t>
      </w:r>
      <w:r>
        <w:rPr>
          <w:sz w:val="20"/>
          <w:szCs w:val="20"/>
          <w:color w:val="auto"/>
        </w:rPr>
        <w:tab/>
      </w:r>
      <w:r>
        <w:rPr>
          <w:rFonts w:ascii="Times New Roman" w:cs="Times New Roman" w:eastAsia="Times New Roman" w:hAnsi="Times New Roman"/>
          <w:sz w:val="17"/>
          <w:szCs w:val="17"/>
          <w:color w:val="auto"/>
        </w:rPr>
        <w:t>Assets and liabilities whose values are based on unadjusted quoted prices for identical assets or liabilities in an active market that Lazard has the ability to access.</w:t>
      </w:r>
    </w:p>
    <w:p>
      <w:pPr>
        <w:spacing w:after="0" w:line="48" w:lineRule="exact"/>
        <w:rPr>
          <w:sz w:val="20"/>
          <w:szCs w:val="20"/>
          <w:color w:val="auto"/>
        </w:rPr>
      </w:pPr>
    </w:p>
    <w:p>
      <w:pPr>
        <w:jc w:val="both"/>
        <w:ind w:left="620" w:hanging="618"/>
        <w:spacing w:after="0" w:line="270" w:lineRule="auto"/>
        <w:tabs>
          <w:tab w:leader="none" w:pos="600" w:val="left"/>
        </w:tabs>
        <w:rPr>
          <w:sz w:val="20"/>
          <w:szCs w:val="20"/>
          <w:color w:val="auto"/>
        </w:rPr>
      </w:pPr>
      <w:r>
        <w:rPr>
          <w:rFonts w:ascii="Times New Roman" w:cs="Times New Roman" w:eastAsia="Times New Roman" w:hAnsi="Times New Roman"/>
          <w:sz w:val="17"/>
          <w:szCs w:val="17"/>
          <w:i w:val="1"/>
          <w:iCs w:val="1"/>
          <w:color w:val="auto"/>
        </w:rPr>
        <w:t>Level 2.</w:t>
      </w:r>
      <w:r>
        <w:rPr>
          <w:sz w:val="20"/>
          <w:szCs w:val="20"/>
          <w:color w:val="auto"/>
        </w:rPr>
        <w:tab/>
      </w:r>
      <w:r>
        <w:rPr>
          <w:rFonts w:ascii="Times New Roman" w:cs="Times New Roman" w:eastAsia="Times New Roman" w:hAnsi="Times New Roman"/>
          <w:sz w:val="17"/>
          <w:szCs w:val="17"/>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62" w:lineRule="exact"/>
        <w:rPr>
          <w:sz w:val="20"/>
          <w:szCs w:val="20"/>
          <w:color w:val="auto"/>
        </w:rPr>
      </w:pPr>
    </w:p>
    <w:p>
      <w:pPr>
        <w:jc w:val="both"/>
        <w:ind w:left="620" w:hanging="618"/>
        <w:spacing w:after="0" w:line="264" w:lineRule="auto"/>
        <w:tabs>
          <w:tab w:leader="none" w:pos="600" w:val="left"/>
        </w:tabs>
        <w:rPr>
          <w:sz w:val="20"/>
          <w:szCs w:val="20"/>
          <w:color w:val="auto"/>
        </w:rPr>
      </w:pPr>
      <w:r>
        <w:rPr>
          <w:rFonts w:ascii="Times New Roman" w:cs="Times New Roman" w:eastAsia="Times New Roman" w:hAnsi="Times New Roman"/>
          <w:sz w:val="17"/>
          <w:szCs w:val="17"/>
          <w:i w:val="1"/>
          <w:iCs w:val="1"/>
          <w:color w:val="auto"/>
        </w:rPr>
        <w:t>Level 3.</w:t>
      </w:r>
      <w:r>
        <w:rPr>
          <w:sz w:val="20"/>
          <w:szCs w:val="20"/>
          <w:color w:val="auto"/>
        </w:rPr>
        <w:tab/>
      </w:r>
      <w:r>
        <w:rPr>
          <w:rFonts w:ascii="Times New Roman" w:cs="Times New Roman" w:eastAsia="Times New Roman" w:hAnsi="Times New Roman"/>
          <w:sz w:val="17"/>
          <w:szCs w:val="17"/>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instruments for which there is little, if any, market activity. As a result, valuation inputs may involve significant management judgment or estimation.</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instruments reported as cash and cash equivalents, deposits with banks and short-term investments, and restricted cash, is classified as Level 1 when the fair values are based on unadjusted quoted prices in active markets.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debt securities is classified as Level 1 when the fair values are based on unadjusted quoted prices in active markets, or Level 2 when based on one or more quoted prices in markets that are not active or for which all significant inputs are observable, either directly or indirectly.</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equity securities is classified as Level 1 or Level 3 as follows: marketable equity securities are classified as Level 1 and are valued based on the last trade price on the primary exchange for that security as provided by external pricing services; equity interests in private companies are generally classified as Level 3.</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investments in alternative investment funds, debt funds and equity funds is classified as Level 1 when the fair values are based on the publicly reported closing price for the fund, or Level 2 when based on one or more quoted prices in markets that are not active or for which all significant inputs are observable, either directly or indirectly.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investments in certain private equity funds is classified as Level 3 when the acquisition price is considered the best measure of fair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securities sold, not yet purchased, is classified as Level 1 when the fair values are based on unadjusted quoted prices in active markets.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contingent consideration liability is classified as Level 3. The contingent consideration liability is initially recorded at fair value on the acquisition date and is included in “other liabilities” on the condensed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consolidated statements of financial condition. The fair value of the contingent consideration liability is remeasured at each reporting period. The inputs used to derive the fair value of the contingent consideration include the application of probabilities when assessing certain performance thresholds for the relevant periods.</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change in the fair value is recognized in “operating expenses-other” in the condensed consolidated statements of operations. Our business acquisitions may involve the potential payment of contingent consideration upon the achievement of certain performance thresholds.</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fair value of derivatives classified as Level 2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69"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Investments Measured at Net Asset Value (“NAV”)</w:t>
      </w:r>
      <w:r>
        <w:rPr>
          <w:rFonts w:ascii="Times New Roman" w:cs="Times New Roman" w:eastAsia="Times New Roman" w:hAnsi="Times New Roman"/>
          <w:sz w:val="17"/>
          <w:szCs w:val="17"/>
          <w:color w:val="auto"/>
        </w:rPr>
        <w:t>—As a practical expedient, the Company uses NAV or its equivalent to measure the fair value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present, as of March 31, 2026 and December 31, 2025, the classification of (i) investments and certain other assets and liabilities measured at fair value on a recurring basis within the fair value hierarchy and (ii) investments measured at NAV or its equivalent as a practical expedient: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March 31, 2026</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NAV</w:t>
            </w:r>
          </w:p>
        </w:tc>
        <w:tc>
          <w:tcPr>
            <w:tcW w:w="320" w:type="dxa"/>
            <w:vAlign w:val="bottom"/>
          </w:tcPr>
          <w:p>
            <w:pPr>
              <w:spacing w:after="0"/>
              <w:rPr>
                <w:sz w:val="15"/>
                <w:szCs w:val="15"/>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40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with banks and short-term</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 (a)</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24,619</w:t>
            </w:r>
          </w:p>
        </w:tc>
        <w:tc>
          <w:tcPr>
            <w:tcW w:w="0" w:type="dxa"/>
            <w:vAlign w:val="bottom"/>
          </w:tcPr>
          <w:p>
            <w:pPr>
              <w:spacing w:after="0"/>
              <w:rPr>
                <w:sz w:val="1"/>
                <w:szCs w:val="1"/>
                <w:color w:val="auto"/>
              </w:rPr>
            </w:pPr>
          </w:p>
        </w:tc>
      </w:tr>
      <w:tr>
        <w:trPr>
          <w:trHeight w:val="251"/>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cash (a)</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0" w:type="dxa"/>
            <w:vAlign w:val="bottom"/>
          </w:tcPr>
          <w:p>
            <w:pPr>
              <w:spacing w:after="0"/>
              <w:rPr>
                <w:sz w:val="1"/>
                <w:szCs w:val="1"/>
                <w:color w:val="auto"/>
              </w:rPr>
            </w:pPr>
          </w:p>
        </w:tc>
      </w:tr>
      <w:tr>
        <w:trPr>
          <w:trHeight w:val="239"/>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53,186</w:t>
            </w:r>
          </w:p>
        </w:tc>
        <w:tc>
          <w:tcPr>
            <w:tcW w:w="0" w:type="dxa"/>
            <w:vAlign w:val="bottom"/>
          </w:tcPr>
          <w:p>
            <w:pPr>
              <w:spacing w:after="0"/>
              <w:rPr>
                <w:sz w:val="1"/>
                <w:szCs w:val="1"/>
                <w:color w:val="auto"/>
              </w:rPr>
            </w:pPr>
          </w:p>
        </w:tc>
      </w:tr>
      <w:tr>
        <w:trPr>
          <w:trHeight w:val="251"/>
        </w:trPr>
        <w:tc>
          <w:tcPr>
            <w:tcW w:w="4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Funds: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Alternative investments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51,842</w:t>
            </w:r>
          </w:p>
        </w:tc>
        <w:tc>
          <w:tcPr>
            <w:tcW w:w="0" w:type="dxa"/>
            <w:vAlign w:val="bottom"/>
          </w:tcPr>
          <w:p>
            <w:pPr>
              <w:spacing w:after="0"/>
              <w:rPr>
                <w:sz w:val="1"/>
                <w:szCs w:val="1"/>
                <w:color w:val="auto"/>
              </w:rPr>
            </w:pPr>
          </w:p>
        </w:tc>
      </w:tr>
      <w:tr>
        <w:trPr>
          <w:trHeight w:val="251"/>
        </w:trPr>
        <w:tc>
          <w:tcPr>
            <w:tcW w:w="4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Debt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76,525</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6,735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83,263</w:t>
            </w:r>
          </w:p>
        </w:tc>
        <w:tc>
          <w:tcPr>
            <w:tcW w:w="0" w:type="dxa"/>
            <w:vAlign w:val="bottom"/>
          </w:tcPr>
          <w:p>
            <w:pPr>
              <w:spacing w:after="0"/>
              <w:rPr>
                <w:sz w:val="1"/>
                <w:szCs w:val="1"/>
                <w:color w:val="auto"/>
              </w:rPr>
            </w:pPr>
          </w:p>
        </w:tc>
      </w:tr>
      <w:tr>
        <w:trPr>
          <w:trHeight w:val="239"/>
        </w:trPr>
        <w:tc>
          <w:tcPr>
            <w:tcW w:w="4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Equity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279,863</w:t>
            </w:r>
          </w:p>
        </w:tc>
        <w:tc>
          <w:tcPr>
            <w:tcW w:w="0" w:type="dxa"/>
            <w:vAlign w:val="bottom"/>
          </w:tcPr>
          <w:p>
            <w:pPr>
              <w:spacing w:after="0"/>
              <w:rPr>
                <w:sz w:val="1"/>
                <w:szCs w:val="1"/>
                <w:color w:val="auto"/>
              </w:rPr>
            </w:pPr>
          </w:p>
        </w:tc>
      </w:tr>
      <w:tr>
        <w:trPr>
          <w:trHeight w:val="251"/>
        </w:trPr>
        <w:tc>
          <w:tcPr>
            <w:tcW w:w="4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Private equity</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19,918</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20,202</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5,181</w:t>
            </w:r>
          </w:p>
        </w:tc>
        <w:tc>
          <w:tcPr>
            <w:tcW w:w="0" w:type="dxa"/>
            <w:vAlign w:val="bottom"/>
          </w:tcPr>
          <w:p>
            <w:pPr>
              <w:spacing w:after="0"/>
              <w:rPr>
                <w:sz w:val="1"/>
                <w:szCs w:val="1"/>
                <w:color w:val="auto"/>
              </w:rPr>
            </w:pPr>
          </w:p>
        </w:tc>
      </w:tr>
      <w:tr>
        <w:trPr>
          <w:trHeight w:val="269"/>
        </w:trPr>
        <w:tc>
          <w:tcPr>
            <w:tcW w:w="40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435,181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12,635</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71,430</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520,180</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Securities sold, not yet purchased</w:t>
            </w: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136,032</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136,032</w:t>
            </w:r>
          </w:p>
        </w:tc>
        <w:tc>
          <w:tcPr>
            <w:tcW w:w="0" w:type="dxa"/>
            <w:vAlign w:val="bottom"/>
          </w:tcPr>
          <w:p>
            <w:pPr>
              <w:spacing w:after="0"/>
              <w:rPr>
                <w:sz w:val="1"/>
                <w:szCs w:val="1"/>
                <w:color w:val="auto"/>
              </w:rPr>
            </w:pPr>
          </w:p>
        </w:tc>
      </w:tr>
      <w:tr>
        <w:trPr>
          <w:trHeight w:val="264"/>
        </w:trPr>
        <w:tc>
          <w:tcPr>
            <w:tcW w:w="4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136,032</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138,509</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NAV</w:t>
            </w:r>
          </w:p>
        </w:tc>
        <w:tc>
          <w:tcPr>
            <w:tcW w:w="32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40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with banks and short-term</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 (a)</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24,820</w:t>
            </w:r>
          </w:p>
        </w:tc>
        <w:tc>
          <w:tcPr>
            <w:tcW w:w="0" w:type="dxa"/>
            <w:vAlign w:val="bottom"/>
          </w:tcPr>
          <w:p>
            <w:pPr>
              <w:spacing w:after="0"/>
              <w:rPr>
                <w:sz w:val="1"/>
                <w:szCs w:val="1"/>
                <w:color w:val="auto"/>
              </w:rPr>
            </w:pPr>
          </w:p>
        </w:tc>
      </w:tr>
      <w:tr>
        <w:trPr>
          <w:trHeight w:val="25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cash (a)</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Debt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0" w:type="dxa"/>
            <w:vAlign w:val="bottom"/>
          </w:tcPr>
          <w:p>
            <w:pPr>
              <w:spacing w:after="0"/>
              <w:rPr>
                <w:sz w:val="1"/>
                <w:szCs w:val="1"/>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56,920</w:t>
            </w:r>
          </w:p>
        </w:tc>
        <w:tc>
          <w:tcPr>
            <w:tcW w:w="0" w:type="dxa"/>
            <w:vAlign w:val="bottom"/>
          </w:tcPr>
          <w:p>
            <w:pPr>
              <w:spacing w:after="0"/>
              <w:rPr>
                <w:sz w:val="1"/>
                <w:szCs w:val="1"/>
                <w:color w:val="auto"/>
              </w:rPr>
            </w:pPr>
          </w:p>
        </w:tc>
      </w:tr>
      <w:tr>
        <w:trPr>
          <w:trHeight w:val="251"/>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Funds: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Alternative investments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52,702</w:t>
            </w:r>
          </w:p>
        </w:tc>
        <w:tc>
          <w:tcPr>
            <w:tcW w:w="0" w:type="dxa"/>
            <w:vAlign w:val="bottom"/>
          </w:tcPr>
          <w:p>
            <w:pPr>
              <w:spacing w:after="0"/>
              <w:rPr>
                <w:sz w:val="1"/>
                <w:szCs w:val="1"/>
                <w:color w:val="auto"/>
              </w:rPr>
            </w:pPr>
          </w:p>
        </w:tc>
      </w:tr>
      <w:tr>
        <w:trPr>
          <w:trHeight w:val="251"/>
        </w:trPr>
        <w:tc>
          <w:tcPr>
            <w:tcW w:w="40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Debt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116,464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9,339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125,806</w:t>
            </w:r>
          </w:p>
        </w:tc>
        <w:tc>
          <w:tcPr>
            <w:tcW w:w="0" w:type="dxa"/>
            <w:vAlign w:val="bottom"/>
          </w:tcPr>
          <w:p>
            <w:pPr>
              <w:spacing w:after="0"/>
              <w:rPr>
                <w:sz w:val="1"/>
                <w:szCs w:val="1"/>
                <w:color w:val="auto"/>
              </w:rPr>
            </w:pPr>
          </w:p>
        </w:tc>
      </w:tr>
      <w:tr>
        <w:trPr>
          <w:trHeight w:val="239"/>
        </w:trPr>
        <w:tc>
          <w:tcPr>
            <w:tcW w:w="40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Equity</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320,832</w:t>
            </w:r>
          </w:p>
        </w:tc>
        <w:tc>
          <w:tcPr>
            <w:tcW w:w="0" w:type="dxa"/>
            <w:vAlign w:val="bottom"/>
          </w:tcPr>
          <w:p>
            <w:pPr>
              <w:spacing w:after="0"/>
              <w:rPr>
                <w:sz w:val="1"/>
                <w:szCs w:val="1"/>
                <w:color w:val="auto"/>
              </w:rPr>
            </w:pPr>
          </w:p>
        </w:tc>
      </w:tr>
      <w:tr>
        <w:trPr>
          <w:trHeight w:val="251"/>
        </w:trPr>
        <w:tc>
          <w:tcPr>
            <w:tcW w:w="40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Private equity</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48,815</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49,105</w:t>
            </w: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69"/>
        </w:trPr>
        <w:tc>
          <w:tcPr>
            <w:tcW w:w="40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526,508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10,640</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94,354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632,467</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Securities sold, not yet purchased</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4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Derivatives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218,939</w:t>
            </w:r>
          </w:p>
        </w:tc>
        <w:tc>
          <w:tcPr>
            <w:tcW w:w="1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218,939</w:t>
            </w:r>
          </w:p>
        </w:tc>
        <w:tc>
          <w:tcPr>
            <w:tcW w:w="0" w:type="dxa"/>
            <w:vAlign w:val="bottom"/>
          </w:tcPr>
          <w:p>
            <w:pPr>
              <w:spacing w:after="0"/>
              <w:rPr>
                <w:sz w:val="1"/>
                <w:szCs w:val="1"/>
                <w:color w:val="auto"/>
              </w:rPr>
            </w:pPr>
          </w:p>
        </w:tc>
      </w:tr>
      <w:tr>
        <w:trPr>
          <w:trHeight w:val="244"/>
        </w:trPr>
        <w:tc>
          <w:tcPr>
            <w:tcW w:w="4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218,939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224,673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Level 1 represents U.S. Treasury securities.</w:t>
      </w:r>
    </w:p>
    <w:p>
      <w:pPr>
        <w:spacing w:after="0" w:line="217" w:lineRule="exact"/>
        <w:rPr>
          <w:sz w:val="20"/>
          <w:szCs w:val="20"/>
          <w:color w:val="auto"/>
        </w:rPr>
      </w:pPr>
    </w:p>
    <w:p>
      <w:pPr>
        <w:ind w:firstLine="357"/>
        <w:spacing w:after="0" w:line="287" w:lineRule="auto"/>
        <w:rPr>
          <w:sz w:val="20"/>
          <w:szCs w:val="20"/>
          <w:color w:val="auto"/>
        </w:rPr>
      </w:pPr>
      <w:r>
        <w:rPr>
          <w:rFonts w:ascii="Times New Roman" w:cs="Times New Roman" w:eastAsia="Times New Roman" w:hAnsi="Times New Roman"/>
          <w:sz w:val="17"/>
          <w:szCs w:val="17"/>
          <w:color w:val="auto"/>
        </w:rPr>
        <w:t>The following tables provide a summary of changes in fair value of the Company’s Level 3 assets and liabilities for the three month periods ended March 31, 2026 and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Foreign</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Gains/Losses</w:t>
            </w:r>
          </w:p>
        </w:tc>
        <w:tc>
          <w:tcPr>
            <w:tcW w:w="18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80" w:type="dxa"/>
            <w:vAlign w:val="bottom"/>
          </w:tcPr>
          <w:p>
            <w:pPr>
              <w:spacing w:after="0"/>
              <w:rPr>
                <w:sz w:val="14"/>
                <w:szCs w:val="14"/>
                <w:color w:val="auto"/>
              </w:rPr>
            </w:pP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240" w:type="dxa"/>
            <w:vAlign w:val="bottom"/>
          </w:tcPr>
          <w:p>
            <w:pPr>
              <w:spacing w:after="0"/>
              <w:rPr>
                <w:sz w:val="14"/>
                <w:szCs w:val="14"/>
                <w:color w:val="auto"/>
              </w:rPr>
            </w:pPr>
          </w:p>
        </w:tc>
        <w:tc>
          <w:tcPr>
            <w:tcW w:w="10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Included In</w:t>
            </w: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18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18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1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center"/>
              <w:ind w:left="881"/>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Private equity funds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921"/>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Total Level 3 assets</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center"/>
              <w:ind w:left="881"/>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7"/>
                <w:szCs w:val="17"/>
                <w:color w:val="auto"/>
              </w:rPr>
              <w:t>liability (a)</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center"/>
              <w:ind w:left="921"/>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Total Level 3 liabilities</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FF0FC"/>
          </w:tcPr>
          <w:p>
            <w:pPr>
              <w:jc w:val="center"/>
              <w:ind w:left="821"/>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Foreign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Beginning</w:t>
            </w:r>
          </w:p>
        </w:tc>
        <w:tc>
          <w:tcPr>
            <w:tcW w:w="118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7"/>
              </w:rPr>
              <w:t>Gains/Losses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80" w:type="dxa"/>
            <w:vAlign w:val="bottom"/>
          </w:tcPr>
          <w:p>
            <w:pPr>
              <w:jc w:val="center"/>
              <w:ind w:left="183"/>
              <w:spacing w:after="0" w:line="155" w:lineRule="exact"/>
              <w:rPr>
                <w:sz w:val="20"/>
                <w:szCs w:val="20"/>
                <w:color w:val="auto"/>
              </w:rPr>
            </w:pPr>
            <w:r>
              <w:rPr>
                <w:rFonts w:ascii="Times New Roman" w:cs="Times New Roman" w:eastAsia="Times New Roman" w:hAnsi="Times New Roman"/>
                <w:sz w:val="14"/>
                <w:szCs w:val="14"/>
                <w:b w:val="1"/>
                <w:bCs w:val="1"/>
                <w:color w:val="auto"/>
                <w:w w:val="97"/>
              </w:rPr>
              <w:t>Included In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2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8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Settlements/</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6"/>
                <w:szCs w:val="16"/>
                <w:color w:val="auto"/>
              </w:rPr>
            </w:pPr>
          </w:p>
        </w:tc>
        <w:tc>
          <w:tcPr>
            <w:tcW w:w="9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Private equity funds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64"/>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Level 3 assets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80" w:type="dxa"/>
            <w:vAlign w:val="bottom"/>
          </w:tcPr>
          <w:p>
            <w:pPr>
              <w:spacing w:after="0"/>
              <w:rPr>
                <w:sz w:val="18"/>
                <w:szCs w:val="18"/>
                <w:color w:val="auto"/>
              </w:rPr>
            </w:pPr>
          </w:p>
        </w:tc>
        <w:tc>
          <w:tcPr>
            <w:tcW w:w="1180" w:type="dxa"/>
            <w:vAlign w:val="bottom"/>
            <w:vMerge w:val="restart"/>
          </w:tcPr>
          <w:p>
            <w:pPr>
              <w:jc w:val="right"/>
              <w:ind w:right="100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26</w:t>
            </w:r>
          </w:p>
        </w:tc>
        <w:tc>
          <w:tcPr>
            <w:tcW w:w="80" w:type="dxa"/>
            <w:vAlign w:val="bottom"/>
          </w:tcPr>
          <w:p>
            <w:pPr>
              <w:spacing w:after="0"/>
              <w:rPr>
                <w:sz w:val="18"/>
                <w:szCs w:val="18"/>
                <w:color w:val="auto"/>
              </w:rPr>
            </w:pPr>
          </w:p>
        </w:tc>
        <w:tc>
          <w:tcPr>
            <w:tcW w:w="1020" w:type="dxa"/>
            <w:vAlign w:val="bottom"/>
            <w:vMerge w:val="restart"/>
          </w:tcPr>
          <w:p>
            <w:pPr>
              <w:jc w:val="right"/>
              <w:ind w:right="841"/>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tcPr>
          <w:p>
            <w:pPr>
              <w:spacing w:after="0"/>
              <w:rPr>
                <w:sz w:val="18"/>
                <w:szCs w:val="18"/>
                <w:color w:val="auto"/>
              </w:rPr>
            </w:pPr>
          </w:p>
        </w:tc>
        <w:tc>
          <w:tcPr>
            <w:tcW w:w="26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liability (a)</w:t>
            </w:r>
          </w:p>
        </w:tc>
        <w:tc>
          <w:tcPr>
            <w:tcW w:w="2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Level 3 liabilities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26</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w:t>
      </w:r>
    </w:p>
    <w:p>
      <w:pPr>
        <w:spacing w:after="0" w:line="112" w:lineRule="exact"/>
        <w:rPr>
          <w:sz w:val="20"/>
          <w:szCs w:val="20"/>
          <w:color w:val="auto"/>
        </w:rPr>
      </w:pPr>
    </w:p>
    <w:p>
      <w:pPr>
        <w:ind w:left="320" w:right="40" w:hanging="317"/>
        <w:spacing w:after="0" w:line="287" w:lineRule="auto"/>
        <w:tabs>
          <w:tab w:leader="none" w:pos="31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Settlements for the three month periods ended March 31, 2026 and 2025 represent aggregate cash and noncash settlement of contingent consideration after the acquisition date.</w:t>
      </w:r>
    </w:p>
    <w:p>
      <w:pPr>
        <w:spacing w:after="0" w:line="151" w:lineRule="exact"/>
        <w:rPr>
          <w:sz w:val="20"/>
          <w:szCs w:val="20"/>
          <w:color w:val="auto"/>
        </w:rPr>
      </w:pPr>
    </w:p>
    <w:p>
      <w:pPr>
        <w:ind w:firstLine="357"/>
        <w:spacing w:after="0" w:line="287" w:lineRule="auto"/>
        <w:rPr>
          <w:sz w:val="20"/>
          <w:szCs w:val="20"/>
          <w:color w:val="auto"/>
        </w:rPr>
      </w:pPr>
      <w:r>
        <w:rPr>
          <w:rFonts w:ascii="Times New Roman" w:cs="Times New Roman" w:eastAsia="Times New Roman" w:hAnsi="Times New Roman"/>
          <w:sz w:val="17"/>
          <w:szCs w:val="17"/>
          <w:color w:val="auto"/>
        </w:rPr>
        <w:t>The following tables present, at March 31, 2026 and December 31, 2025, certain investments that are valued using NAV or its equivalent as a practical expedient in determining fair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Not</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Redemption</w:t>
            </w:r>
          </w:p>
        </w:tc>
        <w:tc>
          <w:tcPr>
            <w:tcW w:w="1360" w:type="dxa"/>
            <w:vAlign w:val="bottom"/>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NAV</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Frequency</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22"/>
        </w:trPr>
        <w:tc>
          <w:tcPr>
            <w:tcW w:w="510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8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Hedge funds</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46,928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 days</w:t>
            </w:r>
          </w:p>
        </w:tc>
        <w:tc>
          <w:tcPr>
            <w:tcW w:w="0" w:type="dxa"/>
            <w:vAlign w:val="bottom"/>
          </w:tcPr>
          <w:p>
            <w:pPr>
              <w:spacing w:after="0"/>
              <w:rPr>
                <w:sz w:val="1"/>
                <w:szCs w:val="1"/>
                <w:color w:val="auto"/>
              </w:rPr>
            </w:pPr>
          </w:p>
        </w:tc>
      </w:tr>
      <w:tr>
        <w:trPr>
          <w:trHeight w:val="251"/>
        </w:trPr>
        <w:tc>
          <w:tcPr>
            <w:tcW w:w="5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8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(b)</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&lt;30-90 days</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funds</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(c)</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&lt;30 -30 days</w:t>
            </w:r>
          </w:p>
        </w:tc>
        <w:tc>
          <w:tcPr>
            <w:tcW w:w="0" w:type="dxa"/>
            <w:vAlign w:val="bottom"/>
          </w:tcPr>
          <w:p>
            <w:pPr>
              <w:spacing w:after="0"/>
              <w:rPr>
                <w:sz w:val="1"/>
                <w:szCs w:val="1"/>
                <w:color w:val="auto"/>
              </w:rPr>
            </w:pPr>
          </w:p>
        </w:tc>
      </w:tr>
      <w:tr>
        <w:trPr>
          <w:trHeight w:val="251"/>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Equity funds</w:t>
            </w:r>
          </w:p>
        </w:tc>
        <w:tc>
          <w:tcPr>
            <w:tcW w:w="8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&lt;30-30 days</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equity funds:</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Equity growth</w:t>
            </w:r>
          </w:p>
        </w:tc>
        <w:tc>
          <w:tcPr>
            <w:tcW w:w="8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19,918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44"/>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71,430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w:t>
      </w:r>
    </w:p>
    <w:p>
      <w:pPr>
        <w:spacing w:after="0" w:line="99"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(100%)</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daily (100%)</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daily (100%)</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daily (99%) and monthly (1%)</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from each fund will be received as the underlying investments of the funds are liquidated.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460" w:type="dxa"/>
            <w:vAlign w:val="bottom"/>
          </w:tcPr>
          <w:p>
            <w:pPr>
              <w:spacing w:after="0"/>
              <w:rPr>
                <w:sz w:val="14"/>
                <w:szCs w:val="14"/>
                <w:color w:val="auto"/>
              </w:rPr>
            </w:pPr>
          </w:p>
        </w:tc>
        <w:tc>
          <w:tcPr>
            <w:tcW w:w="14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Redemption</w:t>
            </w:r>
          </w:p>
        </w:tc>
        <w:tc>
          <w:tcPr>
            <w:tcW w:w="134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Not</w:t>
            </w:r>
          </w:p>
        </w:tc>
        <w:tc>
          <w:tcPr>
            <w:tcW w:w="46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NAV</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46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Frequency</w:t>
            </w: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35"/>
        </w:trPr>
        <w:tc>
          <w:tcPr>
            <w:tcW w:w="50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60" w:type="dxa"/>
            <w:vAlign w:val="bottom"/>
            <w:tcBorders>
              <w:bottom w:val="single" w:sz="8" w:color="CFF0FC"/>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Hedge funds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 days</w:t>
            </w:r>
          </w:p>
        </w:tc>
        <w:tc>
          <w:tcPr>
            <w:tcW w:w="0" w:type="dxa"/>
            <w:vAlign w:val="bottom"/>
          </w:tcPr>
          <w:p>
            <w:pPr>
              <w:spacing w:after="0"/>
              <w:rPr>
                <w:sz w:val="1"/>
                <w:szCs w:val="1"/>
                <w:color w:val="auto"/>
              </w:rPr>
            </w:pPr>
          </w:p>
        </w:tc>
      </w:tr>
      <w:tr>
        <w:trPr>
          <w:trHeight w:val="251"/>
        </w:trPr>
        <w:tc>
          <w:tcPr>
            <w:tcW w:w="5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(b)</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&lt;30-90 days</w:t>
            </w:r>
          </w:p>
        </w:tc>
        <w:tc>
          <w:tcPr>
            <w:tcW w:w="0" w:type="dxa"/>
            <w:vAlign w:val="bottom"/>
          </w:tcPr>
          <w:p>
            <w:pPr>
              <w:spacing w:after="0"/>
              <w:rPr>
                <w:sz w:val="1"/>
                <w:szCs w:val="1"/>
                <w:color w:val="auto"/>
              </w:rPr>
            </w:pP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funds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(c)</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&lt;30-30 days</w:t>
            </w:r>
          </w:p>
        </w:tc>
        <w:tc>
          <w:tcPr>
            <w:tcW w:w="0" w:type="dxa"/>
            <w:vAlign w:val="bottom"/>
          </w:tcPr>
          <w:p>
            <w:pPr>
              <w:spacing w:after="0"/>
              <w:rPr>
                <w:sz w:val="1"/>
                <w:szCs w:val="1"/>
                <w:color w:val="auto"/>
              </w:rPr>
            </w:pPr>
          </w:p>
        </w:tc>
      </w:tr>
      <w:tr>
        <w:trPr>
          <w:trHeight w:val="251"/>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Equity funds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&lt;30-30 days</w:t>
            </w:r>
          </w:p>
        </w:tc>
        <w:tc>
          <w:tcPr>
            <w:tcW w:w="0" w:type="dxa"/>
            <w:vAlign w:val="bottom"/>
          </w:tcPr>
          <w:p>
            <w:pPr>
              <w:spacing w:after="0"/>
              <w:rPr>
                <w:sz w:val="1"/>
                <w:szCs w:val="1"/>
                <w:color w:val="auto"/>
              </w:rPr>
            </w:pP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equity funds: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Equity growth</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48,815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44"/>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94,354</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w:t>
      </w:r>
    </w:p>
    <w:p>
      <w:pPr>
        <w:spacing w:after="0" w:line="99"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(100%)</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daily (100%)</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daily (100%)</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(100%)</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from each fund will be received as the underlying investments of the funds are liquidated.</w:t>
      </w:r>
    </w:p>
    <w:p>
      <w:pPr>
        <w:spacing w:after="0" w:line="2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i w:val="1"/>
          <w:iCs w:val="1"/>
          <w:color w:val="auto"/>
        </w:rPr>
        <w:t>7.</w:t>
      </w:r>
      <w:r>
        <w:rPr>
          <w:sz w:val="20"/>
          <w:szCs w:val="20"/>
          <w:color w:val="auto"/>
        </w:rPr>
        <w:tab/>
      </w:r>
      <w:r>
        <w:rPr>
          <w:rFonts w:ascii="Times New Roman" w:cs="Times New Roman" w:eastAsia="Times New Roman" w:hAnsi="Times New Roman"/>
          <w:sz w:val="16"/>
          <w:szCs w:val="16"/>
          <w:b w:val="1"/>
          <w:bCs w:val="1"/>
          <w:i w:val="1"/>
          <w:iCs w:val="1"/>
          <w:color w:val="auto"/>
        </w:rPr>
        <w:t>DERIVATIVES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tables below present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March 31, 2026 and December 31, 2025. Notional amounts provide an indication of the volume of the Company's derivative activity.</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Derivative assets and liabilities, as well as the related cash collateral from the same counterparty, have been netted on the condensed consolidated statements of financial condition where the Company has a right to set off under an enforceable master netting agreement.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to the cash collateral received and transferred that is presented on a net basis with derivative assets and liabilities, the Company receives and transfers additional securities and cash collateral. These amounts mitigate counterparty credit risk associated with the Company’s derivative instruments, but are not eligible for net presentation on the condensed consolidated statements of financial condition.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2"/>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r>
      <w:tr>
        <w:trPr>
          <w:trHeight w:val="22"/>
        </w:trPr>
        <w:tc>
          <w:tcPr>
            <w:tcW w:w="20" w:type="dxa"/>
            <w:vAlign w:val="bottom"/>
          </w:tcPr>
          <w:p>
            <w:pPr>
              <w:spacing w:after="0" w:line="20" w:lineRule="exact"/>
              <w:rPr>
                <w:sz w:val="1"/>
                <w:szCs w:val="1"/>
                <w:color w:val="auto"/>
              </w:rPr>
            </w:pPr>
          </w:p>
        </w:tc>
        <w:tc>
          <w:tcPr>
            <w:tcW w:w="54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Forward foreign currency exchange rate contracts</w:t>
            </w:r>
          </w:p>
        </w:tc>
        <w:tc>
          <w:tcPr>
            <w:tcW w:w="2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2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182,201</w:t>
            </w:r>
          </w:p>
        </w:tc>
        <w:tc>
          <w:tcPr>
            <w:tcW w:w="20" w:type="dxa"/>
            <w:vAlign w:val="bottom"/>
            <w:shd w:val="clear" w:color="auto" w:fill="CFF0FC"/>
          </w:tcPr>
          <w:p>
            <w:pPr>
              <w:spacing w:after="0"/>
              <w:rPr>
                <w:sz w:val="20"/>
                <w:szCs w:val="20"/>
                <w:color w:val="auto"/>
              </w:rPr>
            </w:pPr>
          </w:p>
        </w:tc>
        <w:tc>
          <w:tcPr>
            <w:tcW w:w="320" w:type="dxa"/>
            <w:vAlign w:val="bottom"/>
            <w:gridSpan w:val="3"/>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4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89,455</w:t>
            </w:r>
          </w:p>
        </w:tc>
        <w:tc>
          <w:tcPr>
            <w:tcW w:w="40" w:type="dxa"/>
            <w:vAlign w:val="bottom"/>
            <w:shd w:val="clear" w:color="auto" w:fill="CFF0FC"/>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return swaps and other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68,844</w:t>
            </w:r>
          </w:p>
        </w:tc>
        <w:tc>
          <w:tcPr>
            <w:tcW w:w="4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LFI and other similar deferred compensation arrangements</w:t>
            </w:r>
          </w:p>
        </w:tc>
        <w:tc>
          <w:tcPr>
            <w:tcW w:w="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114,234</w:t>
            </w:r>
          </w:p>
        </w:tc>
        <w:tc>
          <w:tcPr>
            <w:tcW w:w="40" w:type="dxa"/>
            <w:vAlign w:val="bottom"/>
            <w:tcBorders>
              <w:bottom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127,620</w:t>
            </w:r>
          </w:p>
        </w:tc>
        <w:tc>
          <w:tcPr>
            <w:tcW w:w="40" w:type="dxa"/>
            <w:vAlign w:val="bottom"/>
            <w:tcBorders>
              <w:bottom w:val="single" w:sz="8" w:color="auto"/>
            </w:tcBorders>
            <w:shd w:val="clear" w:color="auto" w:fill="CFF0FC"/>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gross derivatives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6,794</w:t>
            </w:r>
          </w:p>
        </w:tc>
        <w:tc>
          <w:tcPr>
            <w:tcW w:w="2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137,646</w:t>
            </w:r>
          </w:p>
        </w:tc>
        <w:tc>
          <w:tcPr>
            <w:tcW w:w="40" w:type="dxa"/>
            <w:vAlign w:val="bottom"/>
          </w:tcPr>
          <w:p>
            <w:pPr>
              <w:spacing w:after="0"/>
              <w:rPr>
                <w:sz w:val="21"/>
                <w:szCs w:val="21"/>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285,919</w:t>
            </w:r>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Counterparty and cash collateral netting:</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Forward foreign currency exchange rate contracts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5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Total return swaps and other</w:t>
            </w:r>
          </w:p>
        </w:tc>
        <w:tc>
          <w:tcPr>
            <w:tcW w:w="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(1,396)</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40" w:type="dxa"/>
            <w:vAlign w:val="bottom"/>
            <w:tcBorders>
              <w:bottom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derivatives in "other assets" and "other liabilities"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Collateral not netted on the condensed consolidated</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statement of financial condition (a)</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(21,496)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5,181</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114,536</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83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2"/>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w:t>
            </w:r>
          </w:p>
        </w:tc>
      </w:tr>
      <w:tr>
        <w:trPr>
          <w:trHeight w:val="22"/>
        </w:trPr>
        <w:tc>
          <w:tcPr>
            <w:tcW w:w="20" w:type="dxa"/>
            <w:vAlign w:val="bottom"/>
            <w:tcBorders>
              <w:bottom w:val="single" w:sz="8" w:color="CFF0FC"/>
            </w:tcBorders>
          </w:tcPr>
          <w:p>
            <w:pPr>
              <w:spacing w:after="0" w:line="20" w:lineRule="exact"/>
              <w:rPr>
                <w:sz w:val="1"/>
                <w:szCs w:val="1"/>
                <w:color w:val="auto"/>
              </w:rPr>
            </w:pPr>
          </w:p>
        </w:tc>
        <w:tc>
          <w:tcPr>
            <w:tcW w:w="54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20" w:type="dxa"/>
            <w:vAlign w:val="bottom"/>
            <w:shd w:val="clear" w:color="auto" w:fill="CFF0FC"/>
          </w:tcPr>
          <w:p>
            <w:pPr>
              <w:spacing w:after="0"/>
              <w:rPr>
                <w:sz w:val="20"/>
                <w:szCs w:val="20"/>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Forward foreign currency exchange rate contracts</w:t>
            </w:r>
          </w:p>
        </w:tc>
        <w:tc>
          <w:tcPr>
            <w:tcW w:w="26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2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209,295</w:t>
            </w:r>
          </w:p>
        </w:tc>
        <w:tc>
          <w:tcPr>
            <w:tcW w:w="20" w:type="dxa"/>
            <w:vAlign w:val="bottom"/>
            <w:shd w:val="clear" w:color="auto" w:fill="CFF0FC"/>
          </w:tcPr>
          <w:p>
            <w:pPr>
              <w:spacing w:after="0"/>
              <w:rPr>
                <w:sz w:val="20"/>
                <w:szCs w:val="20"/>
                <w:color w:val="auto"/>
              </w:rPr>
            </w:pPr>
          </w:p>
        </w:tc>
        <w:tc>
          <w:tcPr>
            <w:tcW w:w="320" w:type="dxa"/>
            <w:vAlign w:val="bottom"/>
            <w:gridSpan w:val="3"/>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4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316,290</w:t>
            </w:r>
          </w:p>
        </w:tc>
        <w:tc>
          <w:tcPr>
            <w:tcW w:w="40" w:type="dxa"/>
            <w:vAlign w:val="bottom"/>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Total return swaps and other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38,849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155,693</w:t>
            </w:r>
          </w:p>
        </w:tc>
        <w:tc>
          <w:tcPr>
            <w:tcW w:w="40" w:type="dxa"/>
            <w:vAlign w:val="bottom"/>
          </w:tcPr>
          <w:p>
            <w:pPr>
              <w:spacing w:after="0"/>
              <w:rPr>
                <w:sz w:val="20"/>
                <w:szCs w:val="20"/>
                <w:color w:val="auto"/>
              </w:rPr>
            </w:pPr>
          </w:p>
        </w:tc>
      </w:tr>
      <w:tr>
        <w:trPr>
          <w:trHeight w:val="258"/>
        </w:trPr>
        <w:tc>
          <w:tcPr>
            <w:tcW w:w="20" w:type="dxa"/>
            <w:vAlign w:val="bottom"/>
            <w:shd w:val="clear" w:color="auto" w:fill="CFF0FC"/>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LFI and other similar deferred compensation arrangements</w:t>
            </w:r>
          </w:p>
        </w:tc>
        <w:tc>
          <w:tcPr>
            <w:tcW w:w="2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188,642</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159,677</w:t>
            </w:r>
          </w:p>
        </w:tc>
        <w:tc>
          <w:tcPr>
            <w:tcW w:w="40" w:type="dxa"/>
            <w:vAlign w:val="bottom"/>
          </w:tcPr>
          <w:p>
            <w:pPr>
              <w:spacing w:after="0"/>
              <w:rPr>
                <w:sz w:val="22"/>
                <w:szCs w:val="22"/>
                <w:color w:val="auto"/>
              </w:rPr>
            </w:pPr>
          </w:p>
        </w:tc>
      </w:tr>
      <w:tr>
        <w:trPr>
          <w:trHeight w:val="244"/>
        </w:trPr>
        <w:tc>
          <w:tcPr>
            <w:tcW w:w="2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Total gross derivatives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2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219,812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228,581</w:t>
            </w:r>
          </w:p>
        </w:tc>
        <w:tc>
          <w:tcPr>
            <w:tcW w:w="4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631,660</w:t>
            </w:r>
          </w:p>
        </w:tc>
        <w:tc>
          <w:tcPr>
            <w:tcW w:w="40" w:type="dxa"/>
            <w:vAlign w:val="bottom"/>
          </w:tcPr>
          <w:p>
            <w:pPr>
              <w:spacing w:after="0"/>
              <w:rPr>
                <w:sz w:val="21"/>
                <w:szCs w:val="2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54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Counterparty and cash collateral netting:</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Forward foreign currency exchange rate contracts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5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return swaps and other</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(9,421)</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Net derivatives in "other assets" and "other liabilities"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218,939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0" w:type="dxa"/>
            <w:vAlign w:val="bottom"/>
            <w:shd w:val="clear" w:color="auto" w:fill="CFF0FC"/>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Collateral not netted on the condensed consolidated</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20" w:type="dxa"/>
            <w:vAlign w:val="bottom"/>
            <w:shd w:val="clear" w:color="auto" w:fill="CFF0FC"/>
          </w:tcPr>
          <w:p>
            <w:pPr>
              <w:spacing w:after="0"/>
              <w:rPr>
                <w:sz w:val="19"/>
                <w:szCs w:val="19"/>
                <w:color w:val="auto"/>
              </w:rPr>
            </w:pPr>
          </w:p>
        </w:tc>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statement of financial condition (a)</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(29,582)</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189,357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w:t>
      </w:r>
    </w:p>
    <w:p>
      <w:pPr>
        <w:spacing w:after="0" w:line="112" w:lineRule="exact"/>
        <w:rPr>
          <w:sz w:val="20"/>
          <w:szCs w:val="20"/>
          <w:color w:val="auto"/>
        </w:rPr>
      </w:pPr>
    </w:p>
    <w:p>
      <w:pPr>
        <w:jc w:val="both"/>
        <w:ind w:left="320" w:hanging="317"/>
        <w:spacing w:after="0" w:line="264" w:lineRule="auto"/>
        <w:tabs>
          <w:tab w:leader="none" w:pos="3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cash and/or securities collateral pledged that are subject to master netting arrangements but do not meet the criteria for netting on the condensed consolidated statements of financial condition under U.S. GAAP. For some counterparties, the amounts of securities and cash collateral pledged may exceed the derivative assets and derivative liabilities balances. Where this is the case, the amount of collateral offset within net derivatives is limited to the net derivative assets and net derivative liabilities balances with that counterparty.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gains (losses) with respect to derivative instruments (included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2026 and 2025 were as follows:</w:t>
      </w:r>
    </w:p>
    <w:p>
      <w:pPr>
        <w:spacing w:after="0" w:line="20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596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7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Forward foreign currency exchange rate contracts</w:t>
            </w: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2,529</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(5,399)</w:t>
            </w:r>
          </w:p>
        </w:tc>
        <w:tc>
          <w:tcPr>
            <w:tcW w:w="0" w:type="dxa"/>
            <w:vAlign w:val="bottom"/>
          </w:tcPr>
          <w:p>
            <w:pPr>
              <w:spacing w:after="0"/>
              <w:rPr>
                <w:sz w:val="1"/>
                <w:szCs w:val="1"/>
                <w:color w:val="auto"/>
              </w:rPr>
            </w:pPr>
          </w:p>
        </w:tc>
      </w:tr>
      <w:tr>
        <w:trPr>
          <w:trHeight w:val="23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LFI and other similar deferred compensation arrangements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0" w:type="dxa"/>
            <w:vAlign w:val="bottom"/>
          </w:tcPr>
          <w:p>
            <w:pPr>
              <w:spacing w:after="0"/>
              <w:rPr>
                <w:sz w:val="1"/>
                <w:szCs w:val="1"/>
                <w:color w:val="auto"/>
              </w:rPr>
            </w:pPr>
          </w:p>
        </w:tc>
      </w:tr>
      <w:tr>
        <w:trPr>
          <w:trHeight w:val="245"/>
        </w:trPr>
        <w:tc>
          <w:tcPr>
            <w:tcW w:w="7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return swaps and other</w:t>
            </w: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0" w:type="dxa"/>
            <w:vAlign w:val="bottom"/>
          </w:tcPr>
          <w:p>
            <w:pPr>
              <w:spacing w:after="0"/>
              <w:rPr>
                <w:sz w:val="1"/>
                <w:szCs w:val="1"/>
                <w:color w:val="auto"/>
              </w:rPr>
            </w:pPr>
          </w:p>
        </w:tc>
      </w:tr>
      <w:tr>
        <w:trPr>
          <w:trHeight w:val="24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8.  PROPERTY, NET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2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At March 31, 2026 and December 31, 2025, property consisted of the following:</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960" w:type="dxa"/>
            <w:vAlign w:val="bottom"/>
          </w:tcPr>
          <w:p>
            <w:pPr>
              <w:spacing w:after="0"/>
              <w:rPr>
                <w:sz w:val="24"/>
                <w:szCs w:val="24"/>
                <w:color w:val="auto"/>
              </w:rPr>
            </w:pPr>
          </w:p>
        </w:tc>
        <w:tc>
          <w:tcPr>
            <w:tcW w:w="130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960" w:type="dxa"/>
            <w:vAlign w:val="bottom"/>
          </w:tcPr>
          <w:p>
            <w:pPr>
              <w:spacing w:after="0"/>
              <w:rPr>
                <w:sz w:val="13"/>
                <w:szCs w:val="13"/>
                <w:color w:val="auto"/>
              </w:rPr>
            </w:pPr>
          </w:p>
        </w:tc>
        <w:tc>
          <w:tcPr>
            <w:tcW w:w="1300" w:type="dxa"/>
            <w:vAlign w:val="bottom"/>
          </w:tcPr>
          <w:p>
            <w:pPr>
              <w:jc w:val="center"/>
              <w:ind w:left="331"/>
              <w:spacing w:after="0" w:line="155" w:lineRule="exact"/>
              <w:rPr>
                <w:sz w:val="20"/>
                <w:szCs w:val="20"/>
                <w:color w:val="auto"/>
              </w:rPr>
            </w:pPr>
            <w:r>
              <w:rPr>
                <w:rFonts w:ascii="Times New Roman" w:cs="Times New Roman" w:eastAsia="Times New Roman" w:hAnsi="Times New Roman"/>
                <w:sz w:val="14"/>
                <w:szCs w:val="14"/>
                <w:b w:val="1"/>
                <w:bCs w:val="1"/>
                <w:color w:val="auto"/>
                <w:w w:val="97"/>
              </w:rPr>
              <w:t>Depreciable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420" w:type="dxa"/>
            <w:vAlign w:val="bottom"/>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130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5"/>
        </w:trPr>
        <w:tc>
          <w:tcPr>
            <w:tcW w:w="596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12,956</w:t>
            </w:r>
          </w:p>
        </w:tc>
        <w:tc>
          <w:tcPr>
            <w:tcW w:w="0" w:type="dxa"/>
            <w:vAlign w:val="bottom"/>
          </w:tcPr>
          <w:p>
            <w:pPr>
              <w:spacing w:after="0"/>
              <w:rPr>
                <w:sz w:val="1"/>
                <w:szCs w:val="1"/>
                <w:color w:val="auto"/>
              </w:rPr>
            </w:pPr>
          </w:p>
        </w:tc>
      </w:tr>
      <w:tr>
        <w:trPr>
          <w:trHeight w:val="232"/>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 (a)</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234,316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236,294</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equipment (a)</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142,738</w:t>
            </w:r>
          </w:p>
        </w:tc>
        <w:tc>
          <w:tcPr>
            <w:tcW w:w="0" w:type="dxa"/>
            <w:vAlign w:val="bottom"/>
          </w:tcPr>
          <w:p>
            <w:pPr>
              <w:spacing w:after="0"/>
              <w:rPr>
                <w:sz w:val="1"/>
                <w:szCs w:val="1"/>
                <w:color w:val="auto"/>
              </w:rPr>
            </w:pPr>
          </w:p>
        </w:tc>
      </w:tr>
      <w:tr>
        <w:trPr>
          <w:trHeight w:val="232"/>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Computer software</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57,855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56,168</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6,084</w:t>
            </w:r>
          </w:p>
        </w:tc>
        <w:tc>
          <w:tcPr>
            <w:tcW w:w="0" w:type="dxa"/>
            <w:vAlign w:val="bottom"/>
          </w:tcPr>
          <w:p>
            <w:pPr>
              <w:spacing w:after="0"/>
              <w:rPr>
                <w:sz w:val="1"/>
                <w:szCs w:val="1"/>
                <w:color w:val="auto"/>
              </w:rPr>
            </w:pPr>
          </w:p>
        </w:tc>
      </w:tr>
      <w:tr>
        <w:trPr>
          <w:trHeight w:val="225"/>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450,789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454,240</w:t>
            </w:r>
          </w:p>
        </w:tc>
        <w:tc>
          <w:tcPr>
            <w:tcW w:w="0" w:type="dxa"/>
            <w:vAlign w:val="bottom"/>
          </w:tcPr>
          <w:p>
            <w:pPr>
              <w:spacing w:after="0"/>
              <w:rPr>
                <w:sz w:val="1"/>
                <w:szCs w:val="1"/>
                <w:color w:val="auto"/>
              </w:rPr>
            </w:pPr>
          </w:p>
        </w:tc>
      </w:tr>
      <w:tr>
        <w:trPr>
          <w:trHeight w:val="25"/>
        </w:trPr>
        <w:tc>
          <w:tcPr>
            <w:tcW w:w="5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 Accumulated depreciation and amortization</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290,686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286,235</w:t>
            </w:r>
          </w:p>
        </w:tc>
        <w:tc>
          <w:tcPr>
            <w:tcW w:w="0" w:type="dxa"/>
            <w:vAlign w:val="bottom"/>
          </w:tcPr>
          <w:p>
            <w:pPr>
              <w:spacing w:after="0"/>
              <w:rPr>
                <w:sz w:val="1"/>
                <w:szCs w:val="1"/>
                <w:color w:val="auto"/>
              </w:rPr>
            </w:pPr>
          </w:p>
        </w:tc>
      </w:tr>
      <w:tr>
        <w:trPr>
          <w:trHeight w:val="251"/>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net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160,103</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168,005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w:t>
      </w:r>
    </w:p>
    <w:p>
      <w:pPr>
        <w:spacing w:after="0" w:line="112" w:lineRule="exact"/>
        <w:rPr>
          <w:sz w:val="20"/>
          <w:szCs w:val="20"/>
          <w:color w:val="auto"/>
        </w:rPr>
      </w:pPr>
    </w:p>
    <w:p>
      <w:pPr>
        <w:ind w:left="320" w:hanging="317"/>
        <w:spacing w:after="0" w:line="287" w:lineRule="auto"/>
        <w:tabs>
          <w:tab w:leader="none" w:pos="31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classified assets as held for sale as of March 31, 2026 and December 31, 2025, the carrying amount of which was $3,684 (net of accumulated depreciation). The assets are expected to be sold in 2026. Effective January 1, 2026, depreciation expense is no longer recorded on these assets.</w:t>
      </w:r>
    </w:p>
    <w:p>
      <w:pPr>
        <w:spacing w:after="0" w:line="24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i w:val="1"/>
          <w:iCs w:val="1"/>
          <w:color w:val="auto"/>
        </w:rPr>
        <w:t>9.</w:t>
        <w:tab/>
        <w:t>GOODWILL</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the carrying amount of goodwill for the three month periods ended March 31, 2026 and 2025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26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
        </w:trPr>
        <w:tc>
          <w:tcPr>
            <w:tcW w:w="26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Advisory</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Management</w:t>
            </w:r>
          </w:p>
        </w:tc>
        <w:tc>
          <w:tcPr>
            <w:tcW w:w="280" w:type="dxa"/>
            <w:vAlign w:val="bottom"/>
          </w:tcPr>
          <w:p>
            <w:pPr>
              <w:spacing w:after="0"/>
              <w:rPr>
                <w:sz w:val="15"/>
                <w:szCs w:val="15"/>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Advisory</w:t>
            </w:r>
          </w:p>
        </w:tc>
        <w:tc>
          <w:tcPr>
            <w:tcW w:w="1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Management</w:t>
            </w:r>
          </w:p>
        </w:tc>
        <w:tc>
          <w:tcPr>
            <w:tcW w:w="300" w:type="dxa"/>
            <w:vAlign w:val="bottom"/>
          </w:tcPr>
          <w:p>
            <w:pPr>
              <w:spacing w:after="0"/>
              <w:rPr>
                <w:sz w:val="15"/>
                <w:szCs w:val="15"/>
                <w:color w:val="auto"/>
              </w:rPr>
            </w:pPr>
          </w:p>
        </w:tc>
        <w:tc>
          <w:tcPr>
            <w:tcW w:w="104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26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1"/>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January 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395,262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312,305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393,575</w:t>
            </w: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and deconsolidation of business</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8"/>
        </w:trPr>
        <w:tc>
          <w:tcPr>
            <w:tcW w:w="2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251"/>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313,680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80,911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394,591</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312,833</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81,270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394,103</w:t>
            </w:r>
          </w:p>
        </w:tc>
      </w:tr>
      <w:tr>
        <w:trPr>
          <w:trHeight w:val="20"/>
        </w:trPr>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10.</w:t>
        <w:tab/>
        <w:t>SENIOR DEBT</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Senior debt is comprised of the following as of March 31, 2026 and 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100" w:type="dxa"/>
            <w:vAlign w:val="bottom"/>
          </w:tcPr>
          <w:p>
            <w:pPr>
              <w:spacing w:after="0"/>
              <w:rPr>
                <w:sz w:val="3"/>
                <w:szCs w:val="3"/>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900" w:type="dxa"/>
            <w:vAlign w:val="bottom"/>
            <w:gridSpan w:val="2"/>
            <w:vMerge w:val="continue"/>
          </w:tcPr>
          <w:p>
            <w:pPr>
              <w:spacing w:after="0"/>
              <w:rPr>
                <w:sz w:val="12"/>
                <w:szCs w:val="12"/>
                <w:color w:val="auto"/>
              </w:rPr>
            </w:pPr>
          </w:p>
        </w:tc>
        <w:tc>
          <w:tcPr>
            <w:tcW w:w="11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Unamortized</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Unamortized</w:t>
            </w:r>
          </w:p>
        </w:tc>
        <w:tc>
          <w:tcPr>
            <w:tcW w:w="140" w:type="dxa"/>
            <w:vAlign w:val="bottom"/>
          </w:tcPr>
          <w:p>
            <w:pPr>
              <w:spacing w:after="0"/>
              <w:rPr>
                <w:sz w:val="12"/>
                <w:szCs w:val="12"/>
                <w:color w:val="auto"/>
              </w:rPr>
            </w:pPr>
          </w:p>
        </w:tc>
        <w:tc>
          <w:tcPr>
            <w:tcW w:w="7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900" w:type="dxa"/>
            <w:vAlign w:val="bottom"/>
            <w:gridSpan w:val="2"/>
            <w:vMerge w:val="continue"/>
          </w:tcPr>
          <w:p>
            <w:pPr>
              <w:spacing w:after="0"/>
              <w:rPr>
                <w:sz w:val="13"/>
                <w:szCs w:val="13"/>
                <w:color w:val="auto"/>
              </w:rPr>
            </w:pPr>
          </w:p>
        </w:tc>
        <w:tc>
          <w:tcPr>
            <w:tcW w:w="9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Debt Costs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Debt Costs</w:t>
            </w:r>
          </w:p>
        </w:tc>
        <w:tc>
          <w:tcPr>
            <w:tcW w:w="140" w:type="dxa"/>
            <w:vAlign w:val="bottom"/>
          </w:tcPr>
          <w:p>
            <w:pPr>
              <w:spacing w:after="0"/>
              <w:rPr>
                <w:sz w:val="16"/>
                <w:szCs w:val="16"/>
                <w:color w:val="auto"/>
              </w:rPr>
            </w:pPr>
          </w:p>
        </w:tc>
        <w:tc>
          <w:tcPr>
            <w:tcW w:w="7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
        </w:trPr>
        <w:tc>
          <w:tcPr>
            <w:tcW w:w="1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100" w:type="dxa"/>
            <w:vAlign w:val="bottom"/>
            <w:shd w:val="clear" w:color="auto" w:fill="CCEEFF"/>
          </w:tcPr>
          <w:p>
            <w:pPr>
              <w:jc w:val="right"/>
              <w:ind w:right="251"/>
              <w:spacing w:after="0" w:line="153" w:lineRule="exact"/>
              <w:rPr>
                <w:sz w:val="20"/>
                <w:szCs w:val="20"/>
                <w:color w:val="auto"/>
              </w:rPr>
            </w:pPr>
            <w:r>
              <w:rPr>
                <w:rFonts w:ascii="Times New Roman" w:cs="Times New Roman" w:eastAsia="Times New Roman" w:hAnsi="Times New Roman"/>
                <w:sz w:val="14"/>
                <w:szCs w:val="14"/>
                <w:color w:val="auto"/>
                <w:w w:val="97"/>
              </w:rPr>
              <w:t>Lazard Group</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1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2028 Senior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9/19/28</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4"/>
                <w:szCs w:val="14"/>
                <w:color w:val="auto"/>
              </w:rPr>
            </w:pPr>
          </w:p>
        </w:tc>
        <w:tc>
          <w:tcPr>
            <w:tcW w:w="11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4.70 %  $</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497,492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497,237</w:t>
            </w:r>
          </w:p>
        </w:tc>
        <w:tc>
          <w:tcPr>
            <w:tcW w:w="0" w:type="dxa"/>
            <w:vAlign w:val="bottom"/>
          </w:tcPr>
          <w:p>
            <w:pPr>
              <w:spacing w:after="0"/>
              <w:rPr>
                <w:sz w:val="1"/>
                <w:szCs w:val="1"/>
                <w:color w:val="auto"/>
              </w:rPr>
            </w:pPr>
          </w:p>
        </w:tc>
      </w:tr>
      <w:tr>
        <w:trPr>
          <w:trHeight w:val="181"/>
        </w:trPr>
        <w:tc>
          <w:tcPr>
            <w:tcW w:w="110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Notes</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3"/>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97"/>
              </w:rPr>
              <w:t>Lazard Group</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2029 Senior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3/11/29</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4.375 %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497,276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497,046</w:t>
            </w:r>
          </w:p>
        </w:tc>
        <w:tc>
          <w:tcPr>
            <w:tcW w:w="0" w:type="dxa"/>
            <w:vAlign w:val="bottom"/>
          </w:tcPr>
          <w:p>
            <w:pPr>
              <w:spacing w:after="0"/>
              <w:rPr>
                <w:sz w:val="1"/>
                <w:szCs w:val="1"/>
                <w:color w:val="auto"/>
              </w:rPr>
            </w:pPr>
          </w:p>
        </w:tc>
      </w:tr>
      <w:tr>
        <w:trPr>
          <w:trHeight w:val="178"/>
        </w:trPr>
        <w:tc>
          <w:tcPr>
            <w:tcW w:w="11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Notes</w:t>
            </w: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97"/>
              </w:rPr>
              <w:t>Lazard Group</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2031 Senior</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3/15/31</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396,581</w:t>
            </w:r>
          </w:p>
        </w:tc>
        <w:tc>
          <w:tcPr>
            <w:tcW w:w="0" w:type="dxa"/>
            <w:vAlign w:val="bottom"/>
          </w:tcPr>
          <w:p>
            <w:pPr>
              <w:spacing w:after="0"/>
              <w:rPr>
                <w:sz w:val="1"/>
                <w:szCs w:val="1"/>
                <w:color w:val="auto"/>
              </w:rPr>
            </w:pPr>
          </w:p>
        </w:tc>
      </w:tr>
      <w:tr>
        <w:trPr>
          <w:trHeight w:val="181"/>
        </w:trPr>
        <w:tc>
          <w:tcPr>
            <w:tcW w:w="110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Notes</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97"/>
              </w:rPr>
              <w:t>Lazard Group</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2035 Senior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8/01/35</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5.625 %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297,294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297,222</w:t>
            </w:r>
          </w:p>
        </w:tc>
        <w:tc>
          <w:tcPr>
            <w:tcW w:w="0" w:type="dxa"/>
            <w:vAlign w:val="bottom"/>
          </w:tcPr>
          <w:p>
            <w:pPr>
              <w:spacing w:after="0"/>
              <w:rPr>
                <w:sz w:val="1"/>
                <w:szCs w:val="1"/>
                <w:color w:val="auto"/>
              </w:rPr>
            </w:pPr>
          </w:p>
        </w:tc>
      </w:tr>
      <w:tr>
        <w:trPr>
          <w:trHeight w:val="178"/>
        </w:trPr>
        <w:tc>
          <w:tcPr>
            <w:tcW w:w="11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Notes</w:t>
            </w: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0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1,688,808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1,688,086</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Lazard, Inc. has provided an unconditional and irrevocable guarantee for the repayment of all the senior notes in the table above. The guarantee covers both the principal and interest payments on the senior debt and will remain in effect until all the Lazard Group senior notes are repaid. As of March 31, 2026, the maximum future payments that Lazard, Inc. could be required to make under this guarantee is the same as the principal value in the table above plus accrued interest.</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senior debt is unsecured and is carried at its principal amount outstanding, net of unamortized debt costs. At March 31, 2026 and December 31, 2025, the fair value of such senior debt was approximately $1,708,000 and $1,737,000, respectively. The fair value of the Company’s senior debt is based on market quotations. The Company’s senior debt would be categorized within Level 2 of the hierarchy of fair value measurements if carried at fair value.</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Lazard Group LLC has a Second Amended and Restated Credit Agreement with a group of lenders for a five-year, $200,000 senior revolving credit facility expiring in June 2028 (the “Second Amended and Restated Credit Agreement”). Any borrowings under the Second Amended and Restated Credit Agreement generally will bear interest at adjusted term SOFR plus an applicable margin for specific interest periods determined based on Lazard Group LLC’s highest credit rating from an internationally recognized credit agency. In conjunction with the Lazard, Inc. guarantee of the Lazard Group LLC’s then outstanding senior notes, on December 23, 2024, the Company and Lazard Group LLC entered into the First Amendment to Second Amended and Restated Credit Agreement pursuant to which Lazard, Inc. provided an unconditional and irrevocable guarantee for the obligations of Lazard Group LLC under the Second Amended and Restated Credit Agreement.</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2026, the Company had approximately $204,000 in unused lines of credit available to it, including the credit facility provided under the Second Amended and Restated Credit Agreement.</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Second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right="7680" w:hanging="317"/>
        <w:spacing w:after="0" w:line="383" w:lineRule="auto"/>
        <w:tabs>
          <w:tab w:leader="none" w:pos="388"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Leases</w:t>
      </w:r>
    </w:p>
    <w:p>
      <w:pPr>
        <w:spacing w:after="0" w:line="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signed two lease agreements for additional office facilities, with lease commencement anticipated in future periods. The lease terms are approximately 8 to 10 years and the total of undiscounted future lease payments is approximately $108,000.</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Notes 5 and 14 for information regarding commitments relating to investment capital funding commitments and obligations to fund our pension plans, respectively.</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fulfillment of the commitments described herein should not have a material adverse effect on the Company’s condensed consolidated financial position or results of operations.</w:t>
      </w:r>
    </w:p>
    <w:p>
      <w:pPr>
        <w:spacing w:after="0" w:line="14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Legal</w:t>
      </w:r>
      <w:r>
        <w:rPr>
          <w:rFonts w:ascii="Times New Roman" w:cs="Times New Roman" w:eastAsia="Times New Roman" w:hAnsi="Times New Roman"/>
          <w:sz w:val="17"/>
          <w:szCs w:val="17"/>
          <w:color w:val="auto"/>
        </w:rPr>
        <w:t>—The Company is involved from time to time in judicial, governmental, regulatory and arbitration proceedings and inquiries concerning matters arising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connection with the conduct of our businesses, including contractual and employment matters. The Company reviews such matters on a case-by-case basis and establishes any required accrual if a loss is probable and the amount of such loss can be reasonably estimated. The Company may experience significant variation in its revenue and earnings on a quarterly basis. Accordingly, the results of any pending matter or matters could be significant when compared to the Company’s earnings in any particular quarter. The Company believes, however, based on currently available information, that the results of any pending matters, in the aggregate, will not have a material effect on its business or financial condition.</w:t>
      </w:r>
    </w:p>
    <w:p>
      <w:pPr>
        <w:spacing w:after="0" w:line="2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12.</w:t>
        <w:tab/>
        <w:t>STOCKHOLDERS’ EQUITY AND REDEEMABLE NONCONTROLLING INTERESTS</w:t>
      </w:r>
    </w:p>
    <w:p>
      <w:pPr>
        <w:spacing w:after="0" w:line="114"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Share Repurchase Program</w:t>
      </w:r>
      <w:r>
        <w:rPr>
          <w:rFonts w:ascii="Times New Roman" w:cs="Times New Roman" w:eastAsia="Times New Roman" w:hAnsi="Times New Roman"/>
          <w:sz w:val="17"/>
          <w:szCs w:val="17"/>
          <w:color w:val="auto"/>
        </w:rPr>
        <w:t>—The Board of Directors of Lazard authorized the repurchase of Lazard, Inc. common stock (“common stock”) as set forth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table below as of March 31, 2026: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Repurchase</w:t>
            </w:r>
          </w:p>
        </w:tc>
        <w:tc>
          <w:tcPr>
            <w:tcW w:w="1920" w:type="dxa"/>
            <w:vAlign w:val="bottom"/>
          </w:tcPr>
          <w:p>
            <w:pPr>
              <w:spacing w:after="0"/>
              <w:rPr>
                <w:sz w:val="14"/>
                <w:szCs w:val="14"/>
                <w:color w:val="auto"/>
              </w:rPr>
            </w:pPr>
          </w:p>
        </w:tc>
      </w:tr>
      <w:tr>
        <w:trPr>
          <w:trHeight w:val="153"/>
        </w:trPr>
        <w:tc>
          <w:tcPr>
            <w:tcW w:w="75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Date</w:t>
            </w:r>
          </w:p>
        </w:tc>
        <w:tc>
          <w:tcPr>
            <w:tcW w:w="260" w:type="dxa"/>
            <w:vAlign w:val="bottom"/>
          </w:tcPr>
          <w:p>
            <w:pPr>
              <w:spacing w:after="0"/>
              <w:rPr>
                <w:sz w:val="13"/>
                <w:szCs w:val="13"/>
                <w:color w:val="auto"/>
              </w:rPr>
            </w:pPr>
          </w:p>
        </w:tc>
        <w:tc>
          <w:tcPr>
            <w:tcW w:w="152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Authorization</w:t>
            </w:r>
          </w:p>
        </w:tc>
        <w:tc>
          <w:tcPr>
            <w:tcW w:w="1920" w:type="dxa"/>
            <w:vAlign w:val="bottom"/>
          </w:tcPr>
          <w:p>
            <w:pPr>
              <w:ind w:left="640"/>
              <w:spacing w:after="0" w:line="153" w:lineRule="exact"/>
              <w:rPr>
                <w:sz w:val="20"/>
                <w:szCs w:val="20"/>
                <w:color w:val="auto"/>
              </w:rPr>
            </w:pPr>
            <w:r>
              <w:rPr>
                <w:rFonts w:ascii="Times New Roman" w:cs="Times New Roman" w:eastAsia="Times New Roman" w:hAnsi="Times New Roman"/>
                <w:sz w:val="14"/>
                <w:szCs w:val="14"/>
                <w:b w:val="1"/>
                <w:bCs w:val="1"/>
                <w:color w:val="auto"/>
              </w:rPr>
              <w:t>Expiration</w:t>
            </w:r>
          </w:p>
        </w:tc>
      </w:tr>
      <w:tr>
        <w:trPr>
          <w:trHeight w:val="44"/>
        </w:trPr>
        <w:tc>
          <w:tcPr>
            <w:tcW w:w="20" w:type="dxa"/>
            <w:vAlign w:val="bottom"/>
            <w:tcBorders>
              <w:bottom w:val="single" w:sz="8" w:color="CCEEFF"/>
            </w:tcBorders>
          </w:tcPr>
          <w:p>
            <w:pPr>
              <w:spacing w:after="0"/>
              <w:rPr>
                <w:sz w:val="3"/>
                <w:szCs w:val="3"/>
                <w:color w:val="auto"/>
              </w:rPr>
            </w:pPr>
          </w:p>
        </w:tc>
        <w:tc>
          <w:tcPr>
            <w:tcW w:w="280" w:type="dxa"/>
            <w:vAlign w:val="bottom"/>
            <w:tcBorders>
              <w:top w:val="single" w:sz="8" w:color="auto"/>
              <w:bottom w:val="single" w:sz="8" w:color="CCEEFF"/>
            </w:tcBorders>
          </w:tcPr>
          <w:p>
            <w:pPr>
              <w:spacing w:after="0"/>
              <w:rPr>
                <w:sz w:val="3"/>
                <w:szCs w:val="3"/>
                <w:color w:val="auto"/>
              </w:rPr>
            </w:pPr>
          </w:p>
        </w:tc>
        <w:tc>
          <w:tcPr>
            <w:tcW w:w="7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25"/>
        </w:trPr>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2024</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200,000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December 31, 2026</w:t>
            </w:r>
          </w:p>
        </w:tc>
      </w:tr>
      <w:tr>
        <w:trPr>
          <w:trHeight w:val="25"/>
        </w:trPr>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purchases under the share repurchase program over time are used to offset dilution from the shares that have been or will be issued under Lazard’s 2018 Incentive Compensation Plan, as amended (the “2018 Plan”). Pursuant to the share repurchase program, purchases have been made in the open market or through privately negotiated transactions, including those with employees. The rate at which the Company purchases shares in connection with the share repurchase program may vary from period to period due to a variety of factors. Purchases with respect to such program are set forth in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80" w:type="dxa"/>
            <w:vAlign w:val="bottom"/>
          </w:tcPr>
          <w:p>
            <w:pPr>
              <w:spacing w:after="0"/>
              <w:rPr>
                <w:sz w:val="13"/>
                <w:szCs w:val="13"/>
                <w:color w:val="auto"/>
              </w:rPr>
            </w:pPr>
          </w:p>
        </w:tc>
        <w:tc>
          <w:tcPr>
            <w:tcW w:w="148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8"/>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380" w:type="dxa"/>
            <w:vAlign w:val="bottom"/>
          </w:tcPr>
          <w:p>
            <w:pPr>
              <w:spacing w:after="0"/>
              <w:rPr>
                <w:sz w:val="14"/>
                <w:szCs w:val="14"/>
                <w:color w:val="auto"/>
              </w:rPr>
            </w:pPr>
          </w:p>
        </w:tc>
        <w:tc>
          <w:tcPr>
            <w:tcW w:w="1480" w:type="dxa"/>
            <w:vAlign w:val="bottom"/>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w w:val="97"/>
              </w:rPr>
              <w:t>Price Per</w:t>
            </w:r>
          </w:p>
        </w:tc>
      </w:tr>
      <w:tr>
        <w:trPr>
          <w:trHeight w:val="153"/>
        </w:trPr>
        <w:tc>
          <w:tcPr>
            <w:tcW w:w="760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8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380" w:type="dxa"/>
            <w:vAlign w:val="bottom"/>
          </w:tcPr>
          <w:p>
            <w:pPr>
              <w:spacing w:after="0"/>
              <w:rPr>
                <w:sz w:val="13"/>
                <w:szCs w:val="13"/>
                <w:color w:val="auto"/>
              </w:rPr>
            </w:pPr>
          </w:p>
        </w:tc>
        <w:tc>
          <w:tcPr>
            <w:tcW w:w="1480" w:type="dxa"/>
            <w:vAlign w:val="bottom"/>
          </w:tcPr>
          <w:p>
            <w:pPr>
              <w:jc w:val="center"/>
              <w:ind w:right="304"/>
              <w:spacing w:after="0" w:line="153" w:lineRule="exact"/>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44"/>
        </w:trPr>
        <w:tc>
          <w:tcPr>
            <w:tcW w:w="20" w:type="dxa"/>
            <w:vAlign w:val="bottom"/>
            <w:tcBorders>
              <w:bottom w:val="single" w:sz="8" w:color="CCEEFF"/>
            </w:tcBorders>
          </w:tcPr>
          <w:p>
            <w:pPr>
              <w:spacing w:after="0"/>
              <w:rPr>
                <w:sz w:val="3"/>
                <w:szCs w:val="3"/>
                <w:color w:val="auto"/>
              </w:rPr>
            </w:pPr>
          </w:p>
        </w:tc>
        <w:tc>
          <w:tcPr>
            <w:tcW w:w="1900" w:type="dxa"/>
            <w:vAlign w:val="bottom"/>
            <w:tcBorders>
              <w:top w:val="single" w:sz="8" w:color="auto"/>
              <w:bottom w:val="single" w:sz="8" w:color="CCEEFF"/>
            </w:tcBorders>
          </w:tcPr>
          <w:p>
            <w:pPr>
              <w:spacing w:after="0"/>
              <w:rPr>
                <w:sz w:val="3"/>
                <w:szCs w:val="3"/>
                <w:color w:val="auto"/>
              </w:rPr>
            </w:pPr>
          </w:p>
        </w:tc>
        <w:tc>
          <w:tcPr>
            <w:tcW w:w="56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1"/>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6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773,955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w:t>
            </w:r>
          </w:p>
        </w:tc>
      </w:tr>
      <w:tr>
        <w:trPr>
          <w:trHeight w:val="232"/>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2026 (a)</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41,502</w:t>
            </w:r>
          </w:p>
        </w:tc>
        <w:tc>
          <w:tcPr>
            <w:tcW w:w="8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40.82</w:t>
            </w:r>
          </w:p>
        </w:tc>
      </w:tr>
      <w:tr>
        <w:trPr>
          <w:trHeight w:val="309"/>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______________________</w:t>
            </w:r>
          </w:p>
        </w:tc>
        <w:tc>
          <w:tcPr>
            <w:tcW w:w="5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35" w:lineRule="exact"/>
        <w:rPr>
          <w:sz w:val="20"/>
          <w:szCs w:val="20"/>
          <w:color w:val="auto"/>
        </w:rPr>
      </w:pPr>
    </w:p>
    <w:p>
      <w:pPr>
        <w:ind w:left="5540" w:right="1340" w:hanging="5537"/>
        <w:spacing w:after="0" w:line="983" w:lineRule="auto"/>
        <w:tabs>
          <w:tab w:leader="none" w:pos="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were immediately cancelled by the Company. There was no impact on total stockholders' equity as a result of the share cancellation.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three month periods ended March 31, 2026 and 2025, certain of our executive officers received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common stock from certain of our executive officers equal in value to all or a portion of the estimated amount of such tax. The aggregate value of all such purchases during the three month periods ended March 31, 2026 and 2025 was</w:t>
      </w:r>
    </w:p>
    <w:p>
      <w:pPr>
        <w:spacing w:after="0" w:line="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approximately $1,694 and $8,001, respectively. Such shares of common stock are reported at cost, and are either included in “common stock held in treasury” on the accompanying condensed consolidated statements of financial condition or were immediately canceled by the Company.</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2026, a total of $107,295 of share repurchase authorization remained available under Lazard, Inc.’s share repurchase program, which will expire on December 31, 2026.</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 (Loss) (“AOCI”), Net of Tax</w:t>
      </w:r>
      <w:r>
        <w:rPr>
          <w:rFonts w:ascii="Times New Roman" w:cs="Times New Roman" w:eastAsia="Times New Roman" w:hAnsi="Times New Roman"/>
          <w:sz w:val="17"/>
          <w:szCs w:val="17"/>
          <w:color w:val="auto"/>
        </w:rPr>
        <w:t>—The tables below reflect the balances of each component of AOCI at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and 2025 and activity during the three month periods then ended: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gridSpan w:val="6"/>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2026</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2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Employee</w:t>
            </w:r>
          </w:p>
        </w:tc>
        <w:tc>
          <w:tcPr>
            <w:tcW w:w="34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Attributable to</w:t>
            </w:r>
          </w:p>
        </w:tc>
        <w:tc>
          <w:tcPr>
            <w:tcW w:w="320" w:type="dxa"/>
            <w:vAlign w:val="bottom"/>
          </w:tcPr>
          <w:p>
            <w:pPr>
              <w:spacing w:after="0"/>
              <w:rPr>
                <w:sz w:val="14"/>
                <w:szCs w:val="14"/>
                <w:color w:val="auto"/>
              </w:rPr>
            </w:pPr>
          </w:p>
        </w:tc>
        <w:tc>
          <w:tcPr>
            <w:tcW w:w="11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28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3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320" w:type="dxa"/>
            <w:vAlign w:val="bottom"/>
          </w:tcPr>
          <w:p>
            <w:pPr>
              <w:spacing w:after="0"/>
              <w:rPr>
                <w:sz w:val="13"/>
                <w:szCs w:val="13"/>
                <w:color w:val="auto"/>
              </w:rPr>
            </w:pPr>
          </w:p>
        </w:tc>
        <w:tc>
          <w:tcPr>
            <w:tcW w:w="1160" w:type="dxa"/>
            <w:vAlign w:val="bottom"/>
          </w:tcPr>
          <w:p>
            <w:pPr>
              <w:jc w:val="center"/>
              <w:ind w:right="241"/>
              <w:spacing w:after="0" w:line="155" w:lineRule="exact"/>
              <w:rPr>
                <w:sz w:val="20"/>
                <w:szCs w:val="20"/>
                <w:color w:val="auto"/>
              </w:rPr>
            </w:pPr>
            <w:r>
              <w:rPr>
                <w:rFonts w:ascii="Times New Roman" w:cs="Times New Roman" w:eastAsia="Times New Roman" w:hAnsi="Times New Roman"/>
                <w:sz w:val="14"/>
                <w:szCs w:val="14"/>
                <w:b w:val="1"/>
                <w:bCs w:val="1"/>
                <w:color w:val="auto"/>
              </w:rPr>
              <w:t>Lazard</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34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320" w:type="dxa"/>
            <w:vAlign w:val="bottom"/>
          </w:tcPr>
          <w:p>
            <w:pPr>
              <w:spacing w:after="0"/>
              <w:rPr>
                <w:sz w:val="16"/>
                <w:szCs w:val="16"/>
                <w:color w:val="auto"/>
              </w:rPr>
            </w:pPr>
          </w:p>
        </w:tc>
        <w:tc>
          <w:tcPr>
            <w:tcW w:w="116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0" w:type="dxa"/>
            <w:vAlign w:val="bottom"/>
          </w:tcPr>
          <w:p>
            <w:pPr>
              <w:spacing w:after="0"/>
              <w:rPr>
                <w:sz w:val="1"/>
                <w:szCs w:val="1"/>
                <w:color w:val="auto"/>
              </w:rPr>
            </w:pP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 January 1, 2026</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(101,481)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center"/>
              <w:ind w:left="882"/>
              <w:spacing w:after="0"/>
              <w:rPr>
                <w:sz w:val="20"/>
                <w:szCs w:val="20"/>
                <w:color w:val="auto"/>
              </w:rPr>
            </w:pPr>
            <w:r>
              <w:rPr>
                <w:rFonts w:ascii="Times New Roman" w:cs="Times New Roman" w:eastAsia="Times New Roman" w:hAnsi="Times New Roman"/>
                <w:sz w:val="17"/>
                <w:szCs w:val="17"/>
                <w:color w:val="auto"/>
                <w:w w:val="93"/>
              </w:rPr>
              <w:t>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(271,509)</w:t>
            </w: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Activity:</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reclassifications, net of tax</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ind w:left="842"/>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(6,805)</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for items reclassified to earnings,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of tax</w:t>
            </w:r>
          </w:p>
        </w:tc>
        <w:tc>
          <w:tcPr>
            <w:tcW w:w="240" w:type="dxa"/>
            <w:vAlign w:val="bottom"/>
          </w:tcPr>
          <w:p>
            <w:pPr>
              <w:spacing w:after="0"/>
              <w:rPr>
                <w:sz w:val="19"/>
                <w:szCs w:val="19"/>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center"/>
              <w:ind w:left="802"/>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0" w:type="dxa"/>
            <w:vAlign w:val="bottom"/>
          </w:tcPr>
          <w:p>
            <w:pPr>
              <w:spacing w:after="0"/>
              <w:rPr>
                <w:sz w:val="1"/>
                <w:szCs w:val="1"/>
                <w:color w:val="auto"/>
              </w:rPr>
            </w:pPr>
          </w:p>
        </w:tc>
      </w:tr>
      <w:tr>
        <w:trPr>
          <w:trHeight w:val="25"/>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842"/>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0" w:type="dxa"/>
            <w:vAlign w:val="bottom"/>
          </w:tcPr>
          <w:p>
            <w:pPr>
              <w:spacing w:after="0"/>
              <w:rPr>
                <w:sz w:val="1"/>
                <w:szCs w:val="1"/>
                <w:color w:val="auto"/>
              </w:rPr>
            </w:pPr>
          </w:p>
        </w:tc>
      </w:tr>
      <w:tr>
        <w:trPr>
          <w:trHeight w:val="251"/>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(112,513)</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(164,167)</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(276,680)</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center"/>
              <w:ind w:left="842"/>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(276,678)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gridSpan w:val="6"/>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2025</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
        </w:trPr>
        <w:tc>
          <w:tcPr>
            <w:tcW w:w="3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8"/>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Currency</w:t>
            </w:r>
          </w:p>
        </w:tc>
        <w:tc>
          <w:tcPr>
            <w:tcW w:w="2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Employee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Attributable to</w:t>
            </w:r>
          </w:p>
        </w:tc>
        <w:tc>
          <w:tcPr>
            <w:tcW w:w="320" w:type="dxa"/>
            <w:vAlign w:val="bottom"/>
          </w:tcPr>
          <w:p>
            <w:pPr>
              <w:spacing w:after="0"/>
              <w:rPr>
                <w:sz w:val="14"/>
                <w:szCs w:val="14"/>
                <w:color w:val="auto"/>
              </w:rPr>
            </w:pPr>
          </w:p>
        </w:tc>
        <w:tc>
          <w:tcPr>
            <w:tcW w:w="11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55"/>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28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340" w:type="dxa"/>
            <w:vAlign w:val="bottom"/>
          </w:tcPr>
          <w:p>
            <w:pPr>
              <w:spacing w:after="0"/>
              <w:rPr>
                <w:sz w:val="13"/>
                <w:szCs w:val="13"/>
                <w:color w:val="auto"/>
              </w:rPr>
            </w:pPr>
          </w:p>
        </w:tc>
        <w:tc>
          <w:tcPr>
            <w:tcW w:w="12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320" w:type="dxa"/>
            <w:vAlign w:val="bottom"/>
          </w:tcPr>
          <w:p>
            <w:pPr>
              <w:spacing w:after="0"/>
              <w:rPr>
                <w:sz w:val="13"/>
                <w:szCs w:val="13"/>
                <w:color w:val="auto"/>
              </w:rPr>
            </w:pPr>
          </w:p>
        </w:tc>
        <w:tc>
          <w:tcPr>
            <w:tcW w:w="1160" w:type="dxa"/>
            <w:vAlign w:val="bottom"/>
          </w:tcPr>
          <w:p>
            <w:pPr>
              <w:jc w:val="center"/>
              <w:ind w:right="241"/>
              <w:spacing w:after="0" w:line="155" w:lineRule="exact"/>
              <w:rPr>
                <w:sz w:val="20"/>
                <w:szCs w:val="20"/>
                <w:color w:val="auto"/>
              </w:rPr>
            </w:pPr>
            <w:r>
              <w:rPr>
                <w:rFonts w:ascii="Times New Roman" w:cs="Times New Roman" w:eastAsia="Times New Roman" w:hAnsi="Times New Roman"/>
                <w:sz w:val="14"/>
                <w:szCs w:val="14"/>
                <w:b w:val="1"/>
                <w:bCs w:val="1"/>
                <w:color w:val="auto"/>
              </w:rPr>
              <w:t>Lazard</w:t>
            </w:r>
          </w:p>
        </w:tc>
      </w:tr>
      <w:tr>
        <w:trPr>
          <w:trHeight w:val="195"/>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34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320" w:type="dxa"/>
            <w:vAlign w:val="bottom"/>
          </w:tcPr>
          <w:p>
            <w:pPr>
              <w:spacing w:after="0"/>
              <w:rPr>
                <w:sz w:val="16"/>
                <w:szCs w:val="16"/>
                <w:color w:val="auto"/>
              </w:rPr>
            </w:pPr>
          </w:p>
        </w:tc>
        <w:tc>
          <w:tcPr>
            <w:tcW w:w="116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8"/>
              </w:rPr>
              <w:t>AOCI</w:t>
            </w:r>
          </w:p>
        </w:tc>
      </w:tr>
      <w:tr>
        <w:trPr>
          <w:trHeight w:val="35"/>
        </w:trPr>
        <w:tc>
          <w:tcPr>
            <w:tcW w:w="3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 January 1, 2025</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(165,888)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(326,802)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(326,742)</w:t>
            </w: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Activity:</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5"/>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8"/>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reclassifications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18,400</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for items reclassified to earnings,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of tax</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r>
      <w:tr>
        <w:trPr>
          <w:trHeight w:val="25"/>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19,976</w:t>
            </w:r>
          </w:p>
        </w:tc>
      </w:tr>
      <w:tr>
        <w:trPr>
          <w:trHeight w:val="251"/>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(136,701)</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(170,101)</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(306,802)</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(306,766)</w:t>
            </w: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reflects adjustments for items reclassified out of AOCI, by component, for the three month periods ended March 31, 2026 and 2025:</w:t>
      </w:r>
    </w:p>
    <w:p>
      <w:pPr>
        <w:spacing w:after="0" w:line="157"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1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benefit plans: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relating to employee benefit plans (a)</w:t>
            </w: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8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w:t>
            </w:r>
          </w:p>
        </w:tc>
      </w:tr>
      <w:tr>
        <w:trPr>
          <w:trHeight w:val="25"/>
        </w:trPr>
        <w:tc>
          <w:tcPr>
            <w:tcW w:w="7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 related income taxes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5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reclassifications, net of tax</w:t>
            </w: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w:t>
      </w:r>
    </w:p>
    <w:p>
      <w:pPr>
        <w:spacing w:after="0" w:line="99" w:lineRule="exact"/>
        <w:rPr>
          <w:sz w:val="20"/>
          <w:szCs w:val="20"/>
          <w:color w:val="auto"/>
        </w:rPr>
      </w:pPr>
    </w:p>
    <w:p>
      <w:pPr>
        <w:ind w:left="320" w:hanging="317"/>
        <w:spacing w:after="0" w:line="287" w:lineRule="auto"/>
        <w:tabs>
          <w:tab w:leader="none" w:pos="31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computation of net periodic benefit cost (see Note 14). Such amounts are included in “operating expenses–other” on the condensed consolidated statements of operations.</w:t>
      </w:r>
    </w:p>
    <w:p>
      <w:pPr>
        <w:spacing w:after="0" w:line="145"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Noncontrolling Interests</w:t>
      </w:r>
      <w:r>
        <w:rPr>
          <w:rFonts w:ascii="Times New Roman" w:cs="Times New Roman" w:eastAsia="Times New Roman" w:hAnsi="Times New Roman"/>
          <w:sz w:val="17"/>
          <w:szCs w:val="17"/>
          <w:color w:val="auto"/>
        </w:rPr>
        <w:t>—Noncontrolling interests principally represent (i) profits interest participation rights (see Note 13), and (ii) up to February 13,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2026, interests held in Edgewater’s management vehicles that the Company was deemed to control, but does not own (see Note 1).</w:t>
      </w:r>
    </w:p>
    <w:p>
      <w:pPr>
        <w:spacing w:after="0" w:line="140"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Redeemable Noncontrolling Interests</w:t>
      </w:r>
      <w:r>
        <w:rPr>
          <w:rFonts w:ascii="Times New Roman" w:cs="Times New Roman" w:eastAsia="Times New Roman" w:hAnsi="Times New Roman"/>
          <w:sz w:val="17"/>
          <w:szCs w:val="17"/>
          <w:color w:val="auto"/>
        </w:rPr>
        <w:t>—Redeemable noncontrolling interests represent consolidated VIE interests held by employees (vested LFI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which may be redeemed at any time at the option of the holder for cash, are recorded on the Company’s condensed consolidated statements of financial position at redemption value and classified as temporary equity. Changes in redemption value are recognized immediately as they occur and will adjust the carrying value of redeemable noncontrolling interests to equal the redemption value at the end of each reporting period (see Note 20).</w:t>
      </w:r>
    </w:p>
    <w:p>
      <w:pPr>
        <w:spacing w:after="0" w:line="161"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Dividends Declared, April 30, 2026</w:t>
      </w:r>
      <w:r>
        <w:rPr>
          <w:rFonts w:ascii="Times New Roman" w:cs="Times New Roman" w:eastAsia="Times New Roman" w:hAnsi="Times New Roman"/>
          <w:sz w:val="17"/>
          <w:szCs w:val="17"/>
          <w:color w:val="auto"/>
        </w:rPr>
        <w:t>—On April 30, 2026, the Board of Directors of Lazard declared a quarterly dividend of $0.50 per share on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The dividend is payable on May 22, 2026, to stockholders of record on May 11, 2026.</w:t>
      </w:r>
    </w:p>
    <w:p>
      <w:pPr>
        <w:spacing w:after="0" w:line="2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13.</w:t>
        <w:tab/>
        <w:t>INCENTIVE PLANS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Share-Based Incentive Plan Awards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Total shares available for issuance under incentive compensation plans are primarily from the 2018 Plan, which as amended, authorized the issuance of an aggregate of 70,000,000 shares. Such shares may be issued pursuant to the grant or exercise of stock options; stock appreciation rights; restricted stock units, restricted stock awards, and deferred stock units (collectively “RSUs”); profits interest participation rights (“PIPRs”); and other share-based awards.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Expense</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reflects the expense with respect to share-based incentive plans, which is primarily recorded within “compensation and benefits” expense in the Company’s accompanying condensed consolidated statements of operations for the three month periods ended March 31, 2026 and 2025:</w:t>
      </w:r>
    </w:p>
    <w:p>
      <w:pPr>
        <w:spacing w:after="0" w:line="195"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incentive awards:</w:t>
            </w:r>
          </w:p>
        </w:tc>
        <w:tc>
          <w:tcPr>
            <w:tcW w:w="10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RSUs</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93,866</w:t>
            </w:r>
          </w:p>
        </w:tc>
        <w:tc>
          <w:tcPr>
            <w:tcW w:w="8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68,832</w:t>
            </w: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PIPRs</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8,380</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Performance-based restricted</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units</w:t>
            </w:r>
          </w:p>
        </w:tc>
        <w:tc>
          <w:tcPr>
            <w:tcW w:w="10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5"/>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103,901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77,168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Compensation and benefits expense relating to share-based awards with service and/or performance conditions is reversed if the awards are forfeited due to these conditions not being met. Compensation and benefits expense relating to share-based awards with market-based conditions is not reversed if these awards are forfeited based solely on failing to meet such market-based conditions.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periodically assesses forfeiture rates,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share-based incentive plans and awards are described below.</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RSUs</w:t>
      </w:r>
    </w:p>
    <w:p>
      <w:pPr>
        <w:spacing w:after="0" w:line="1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7"/>
          <w:szCs w:val="17"/>
          <w:color w:val="auto"/>
        </w:rPr>
        <w:t>RSUs generally require future service as a condition for vesting (unless the recipient is then eligible for retirement under the Company’s retirement policy or is a non-executive member of the Board of Directors) and convert into shares of common stock on a one-for-one basis after the stipulated vesting periods. RSUs granted in 2026 vest ratably over three years, which we expect will be the vesting period for all year-end compensation grants going forward. RSUs granted prior</w:t>
      </w:r>
    </w:p>
    <w:p>
      <w:pPr>
        <w:jc w:val="both"/>
        <w:spacing w:after="0" w:line="287" w:lineRule="auto"/>
        <w:rPr>
          <w:sz w:val="20"/>
          <w:szCs w:val="20"/>
          <w:color w:val="auto"/>
        </w:rPr>
      </w:pPr>
      <w:r>
        <w:rPr>
          <w:rFonts w:ascii="Times New Roman" w:cs="Times New Roman" w:eastAsia="Times New Roman" w:hAnsi="Times New Roman"/>
          <w:sz w:val="17"/>
          <w:szCs w:val="17"/>
          <w:color w:val="auto"/>
        </w:rPr>
        <w:t>to 2026 vest generally, one-third after two years and the remaining two-thirds after the third year. The grant date fair value of the RSUs, net of an estimated forfeiture rate, is expensed over the requisite service periods under the straight-line attribution method and is adjusted for actual forfeitures over such period.</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RSUs generally include a dividend participation right during the applicable vesting period, which is payable in additional units. During the three month period ended March 31, 2026, dividend participation rights required the issuance of an aggregate 240,526 units of RSUs and the associated aggregate charge to “retained earnings” (with a corresponding credit to “additional paid-in-capital”) was $12,148.</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RSUs that settled during the three month period ended March 31, 2026, the Company satisfied its minimum statutory tax withholding requirements in lieu of delivering 2,440,728 shares of common stock during such three month period. Accordingly, 3,359,537 shares of common stock held by the Company were delivered during the three month period ended March 31,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activity relating to RSUs during the three month period ended March 31, 2026: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60" w:type="dxa"/>
            <w:vAlign w:val="bottom"/>
          </w:tcPr>
          <w:p>
            <w:pPr>
              <w:spacing w:after="0"/>
              <w:rPr>
                <w:sz w:val="15"/>
                <w:szCs w:val="15"/>
                <w:color w:val="auto"/>
              </w:rPr>
            </w:pPr>
          </w:p>
        </w:tc>
        <w:tc>
          <w:tcPr>
            <w:tcW w:w="2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80" w:type="dxa"/>
            <w:vAlign w:val="bottom"/>
          </w:tcPr>
          <w:p>
            <w:pPr>
              <w:spacing w:after="0"/>
              <w:rPr>
                <w:sz w:val="15"/>
                <w:szCs w:val="15"/>
                <w:color w:val="auto"/>
              </w:rPr>
            </w:pPr>
          </w:p>
        </w:tc>
      </w:tr>
      <w:tr>
        <w:trPr>
          <w:trHeight w:val="35"/>
        </w:trPr>
        <w:tc>
          <w:tcPr>
            <w:tcW w:w="776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62"/>
        </w:trPr>
        <w:tc>
          <w:tcPr>
            <w:tcW w:w="7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68"/>
        </w:trPr>
        <w:tc>
          <w:tcPr>
            <w:tcW w:w="7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55"/>
        </w:trPr>
        <w:tc>
          <w:tcPr>
            <w:tcW w:w="77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center"/>
              <w:ind w:right="242"/>
              <w:spacing w:after="0" w:line="155" w:lineRule="exact"/>
              <w:rPr>
                <w:sz w:val="20"/>
                <w:szCs w:val="20"/>
                <w:color w:val="auto"/>
              </w:rPr>
            </w:pPr>
            <w:r>
              <w:rPr>
                <w:rFonts w:ascii="Times New Roman" w:cs="Times New Roman" w:eastAsia="Times New Roman" w:hAnsi="Times New Roman"/>
                <w:sz w:val="14"/>
                <w:szCs w:val="14"/>
                <w:b w:val="1"/>
                <w:bCs w:val="1"/>
                <w:color w:val="auto"/>
                <w:w w:val="96"/>
              </w:rPr>
              <w:t>Grant Date</w:t>
            </w:r>
          </w:p>
        </w:tc>
      </w:tr>
      <w:tr>
        <w:trPr>
          <w:trHeight w:val="182"/>
        </w:trPr>
        <w:tc>
          <w:tcPr>
            <w:tcW w:w="7760" w:type="dxa"/>
            <w:vAlign w:val="bottom"/>
          </w:tcPr>
          <w:p>
            <w:pPr>
              <w:spacing w:after="0"/>
              <w:rPr>
                <w:sz w:val="15"/>
                <w:szCs w:val="15"/>
                <w:color w:val="auto"/>
              </w:rPr>
            </w:pPr>
          </w:p>
        </w:tc>
        <w:tc>
          <w:tcPr>
            <w:tcW w:w="17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35"/>
        </w:trPr>
        <w:tc>
          <w:tcPr>
            <w:tcW w:w="776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January 1, 2026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17,963,773</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44.03</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 (including 240,526 RSUs relating to dividend participation)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8,189,966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54.06</w:t>
            </w:r>
          </w:p>
        </w:tc>
      </w:tr>
      <w:tr>
        <w:trPr>
          <w:trHeight w:val="25"/>
        </w:trPr>
        <w:tc>
          <w:tcPr>
            <w:tcW w:w="7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(96,135)</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49.38</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(5,800,265)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38.27</w:t>
            </w:r>
          </w:p>
        </w:tc>
      </w:tr>
      <w:tr>
        <w:trPr>
          <w:trHeight w:val="25"/>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7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20,257,339</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weighted-average grant date fair value of RSUs granted in the three month period ended March 31, 2025 was $53.87.</w:t>
      </w:r>
    </w:p>
    <w:p>
      <w:pPr>
        <w:spacing w:after="0" w:line="11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As of March 31, 2026, the total estimated unrecognized compensation expense related to RSUs was $641,783. The Company expects to expense such amounts over a weighted-average period of approximately 2.2 years subsequent to March 31, 2026.</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PIPRs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PIPRs are equity incentive awards that, subject to certain vesting and other conditions described below, may be exchanged for shares of common stock pursuant to the 2018 Plan. They are a class of membership interests in Lazard Group that are intended to qualify as “profits interests” for U.S. federal income tax purposes and are recorded as noncontrolling interests within stockholders’ equity in the Company’s condensed consolidated statements of financial condition until they are exchanged into common stock, at which time there is a reclassification to additional paid-in-capital.</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PIPRs, with the exception of Stock Price PIPRs (“SP-PIPRs”), as explained below, generally provide for vesting approximately three years following the grant date, so long as applicable vesting and other conditions have been satisfied. PIPRs are subject to continued employment and other conditions and restrictions and are forfeited if those conditions and restrictions are not fulfilled.</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 recipient generally realizes value from PIPRs only to the extent that applicable vesting and other conditions are satisfied, and an amount of economic appreciation in the assets of Lazard Group occurs as necessary to satisfy certain partnership tax rules (referred to as the “Minimum Value Condition”), otherwise the PIPRs will be forfeited. Upon satisfaction of such conditions, PIPRs that are in parity with the value of common stock will be exchanged on a one-for-one basis for shares of common stock. If forfeited based solely on failing to meet the Minimum Value Condition, or, if applicable, common stock price milestones as described below, the associated compensation expense would not be reversed.</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All PIPR awards are subject to service-based vesting conditions. In addition to PIPR awards with only service based vesting conditions (“Ordinary PIPRs”) granted to certain of our executive officers and a limited number of employees, the Company has granted the following types of PIPRs to certain of our executive officers, that are subject to additional vesting and market-based conditions:</w:t>
      </w:r>
    </w:p>
    <w:p>
      <w:pPr>
        <w:spacing w:after="0" w:line="62"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 PIPRs (“TSR-PIPRs”) are subject to service-based vesting conditions and have a payout based on the Company’s relative three-year total shareholder return versus the S&amp;P 1500. The payout ranges between 0% and 150% and is capped at 100% if absolute TSR is negative.</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SP-PIPRs, which are subject to service-based vesting conditions and common stock price milestones and are eligible to vest in three tranches.</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SP-PIPRs are eligible to vest in three tranches (each, a “Tranche”) based on the achievement of service conditions and Tranche-specific common stock price milestones measured as of a specified anniversary of the date of grant, as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described below. Their aggregate fair value at the original grant date, which, based on the estimated probability of achieving the common stock price milestones was approximately $33,900, is expensed over the requisite service periods.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Each Tranche, as described below, is subject to the executive’s continued employment through the applicable anniversary of the date of grant, or earlier in certain circumstances, and requires that the applicable common stock price milestone is sustained for any 30 consecutive day period prior to the anniversary of the date of grant of the applicable Tranche (the “Expiration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SP-PIPRs vest:</w:t>
      </w:r>
    </w:p>
    <w:p>
      <w:pPr>
        <w:spacing w:after="0" w:line="217" w:lineRule="exact"/>
        <w:rPr>
          <w:sz w:val="20"/>
          <w:szCs w:val="20"/>
          <w:color w:val="auto"/>
        </w:rPr>
      </w:pPr>
    </w:p>
    <w:p>
      <w:pPr>
        <w:ind w:left="620" w:hanging="307"/>
        <w:spacing w:after="0" w:line="284"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if, during the three years following the date of grant, the common stock price has appreciated 25% above the average trailing 30 consecutive day stock price preceding the date of grant (the “Grant Date Stock Price”);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 if, during the five years following the date of grant, the common stock price has appreciated 50% above the Grant Date Stock Price;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 if, during the seven years following the date of grant, the common stock price has appreciated 100% above the Grant Date Stock Price.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the service conditions and common stock price milestones, as described above, are not achieved as of the Expiration Date, all SP-PIPRs in such Tranche will be forfeited.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activity relating to all PIPRs during the three month period ended March 31, 2026: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27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Ordinary PIPRs</w:t>
            </w:r>
          </w:p>
        </w:tc>
        <w:tc>
          <w:tcPr>
            <w:tcW w:w="266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TSR-PIPRs/ SP-PIPRs</w:t>
            </w:r>
          </w:p>
        </w:tc>
      </w:tr>
      <w:tr>
        <w:trPr>
          <w:trHeight w:val="35"/>
        </w:trPr>
        <w:tc>
          <w:tcPr>
            <w:tcW w:w="58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62"/>
        </w:trPr>
        <w:tc>
          <w:tcPr>
            <w:tcW w:w="5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68"/>
        </w:trPr>
        <w:tc>
          <w:tcPr>
            <w:tcW w:w="5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55"/>
        </w:trPr>
        <w:tc>
          <w:tcPr>
            <w:tcW w:w="5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2"/>
              <w:spacing w:after="0" w:line="155" w:lineRule="exact"/>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82"/>
        </w:trPr>
        <w:tc>
          <w:tcPr>
            <w:tcW w:w="5820" w:type="dxa"/>
            <w:vAlign w:val="bottom"/>
          </w:tcPr>
          <w:p>
            <w:pPr>
              <w:spacing w:after="0"/>
              <w:rPr>
                <w:sz w:val="15"/>
                <w:szCs w:val="15"/>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35"/>
        </w:trPr>
        <w:tc>
          <w:tcPr>
            <w:tcW w:w="58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1"/>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January 1, 2026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4,084,294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1,239,506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w:t>
            </w:r>
          </w:p>
        </w:tc>
      </w:tr>
      <w:tr>
        <w:trPr>
          <w:trHeight w:val="25"/>
        </w:trPr>
        <w:tc>
          <w:tcPr>
            <w:tcW w:w="5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Settled</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(1,213,015)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8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7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4,110,785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2,345,380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Fair values shown above represent the weighted average as of grant date. The weighted-average grant date fair value of ordinary PIPRs granted in the three month period ended March 31, 2025 was $44.93.</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Compensation expense recognized for PIPRs is determined by multiplying the number of shares of common stock underlying such awards by the grant date fair value. As of March 31, 2026, the total estimated unrecognized compensation expense of all profits interest participation rights was $79,623 and the Company expects to expense such amount over a weighted-average period of approximately 1.8 years subsequent to March 31,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LFI and Other Similar Deferred Compensation Arrangements</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LFI and other similar deferred compensation arrangements, granted to eligible employees, which generally require future service as a condition for vesting (which, for awards granted before 2026 and those granted in 2026, are generally similar to the respective vesting periods for RSUs), the Company records a prepaid compensation asset and a corresponding compensation liability on the grant date based upon the fair value of the award. The prepaid asset is amortized over the applicable requisite service periods under the straight-line attribution method and is charged to “compensation and benefits” expense within the Company’s condensed consolidated statements of operations. LFI and other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activity relating to LFI and other similar deferred compensation arrangements during the three month period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Prepaid</w:t>
            </w:r>
          </w:p>
        </w:tc>
        <w:tc>
          <w:tcPr>
            <w:tcW w:w="260" w:type="dxa"/>
            <w:vAlign w:val="bottom"/>
          </w:tcPr>
          <w:p>
            <w:pPr>
              <w:spacing w:after="0"/>
              <w:rPr>
                <w:sz w:val="14"/>
                <w:szCs w:val="14"/>
                <w:color w:val="auto"/>
              </w:rPr>
            </w:pPr>
          </w:p>
        </w:tc>
        <w:tc>
          <w:tcPr>
            <w:tcW w:w="144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55"/>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6"/>
                <w:szCs w:val="16"/>
                <w:color w:val="auto"/>
              </w:rPr>
            </w:pPr>
          </w:p>
        </w:tc>
        <w:tc>
          <w:tcPr>
            <w:tcW w:w="14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
        </w:trPr>
        <w:tc>
          <w:tcPr>
            <w:tcW w:w="7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January 1, 2026</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188,642</w:t>
            </w:r>
          </w:p>
        </w:tc>
        <w:tc>
          <w:tcPr>
            <w:tcW w:w="0" w:type="dxa"/>
            <w:vAlign w:val="bottom"/>
          </w:tcPr>
          <w:p>
            <w:pPr>
              <w:spacing w:after="0"/>
              <w:rPr>
                <w:sz w:val="1"/>
                <w:szCs w:val="1"/>
                <w:color w:val="auto"/>
              </w:rPr>
            </w:pP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48,694</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Settled</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(125,137)</w:t>
            </w:r>
          </w:p>
        </w:tc>
        <w:tc>
          <w:tcPr>
            <w:tcW w:w="0" w:type="dxa"/>
            <w:vAlign w:val="bottom"/>
          </w:tcPr>
          <w:p>
            <w:pPr>
              <w:spacing w:after="0"/>
              <w:rPr>
                <w:sz w:val="1"/>
                <w:szCs w:val="1"/>
                <w:color w:val="auto"/>
              </w:rPr>
            </w:pP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and the impact of forfeitures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underlying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0" w:type="dxa"/>
            <w:vAlign w:val="bottom"/>
          </w:tcPr>
          <w:p>
            <w:pPr>
              <w:spacing w:after="0"/>
              <w:rPr>
                <w:sz w:val="1"/>
                <w:szCs w:val="1"/>
                <w:color w:val="auto"/>
              </w:rPr>
            </w:pPr>
          </w:p>
        </w:tc>
      </w:tr>
      <w:tr>
        <w:trPr>
          <w:trHeight w:val="232"/>
        </w:trPr>
        <w:tc>
          <w:tcPr>
            <w:tcW w:w="7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5"/>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67,373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114,234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amortization of the prepaid compensation asset will generally be recognized over a weighted average period of approximately 1.8 years subsequent to March 31, 2026.</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is a summary of the impact of LFI and other similar deferred compensation arrangements on “compensation and benefits” expense within the accompanying condensed consolidated statements of operations for the three month periods ended March 31, 2026 and 2025:</w:t>
      </w:r>
    </w:p>
    <w:p>
      <w:pPr>
        <w:spacing w:after="0" w:line="195"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and the impact of forfeitures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18,481</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the fair value of underlying investments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r>
      <w:tr>
        <w:trPr>
          <w:trHeight w:val="25"/>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17,175</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Retention Awards</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2024, the Company granted and paid cash retention awards that are subject to repayment in full in connection with a termination of employment for cause or resignation without good reason on or prior to the three-year service period.</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these awards, the Company recorded a prepaid compensation asset on the grant date based upon the amount paid. The prepaid compensation asset is amortized over the requisite service period beginning on the grant date and is charged to “compensation and benefits” expense in the condensed consolidated statements of operations.</w:t>
      </w:r>
    </w:p>
    <w:p>
      <w:pPr>
        <w:spacing w:after="0" w:line="11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for the three month periods ended March 31, 2026 and 2025 was $4,001 and $3,693, respectively. The remaining prepaid compensation asset was $13,976 as of March 31, 2026.</w:t>
      </w:r>
    </w:p>
    <w:p>
      <w:pPr>
        <w:spacing w:after="0" w:line="2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14.</w:t>
        <w:tab/>
        <w:t>EMPLOYEE BENEFIT PLANS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expenses-other” for the other components of benefit costs on the condensed consolidated statements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Employer Contributions to Pension Plans</w:t>
      </w:r>
      <w:r>
        <w:rPr>
          <w:rFonts w:ascii="Times New Roman" w:cs="Times New Roman" w:eastAsia="Times New Roman" w:hAnsi="Times New Roman"/>
          <w:sz w:val="17"/>
          <w:szCs w:val="17"/>
          <w:color w:val="auto"/>
        </w:rPr>
        <w:t>—The Company’s funding policy for its U.S. and non-U.S. pension plans is to fund when required or when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upon an agreement with the plans’ trustees. Management also evaluates from time to time whether to make voluntary contributions to the plans.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of net periodic benefit cost related to the Company’s pension plans for the three month periods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and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6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r>
      <w:tr>
        <w:trPr>
          <w:trHeight w:val="23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cost</w:t>
            </w:r>
          </w:p>
        </w:tc>
        <w:tc>
          <w:tcPr>
            <w:tcW w:w="920" w:type="dxa"/>
            <w:vAlign w:val="bottom"/>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20"/>
                <w:szCs w:val="20"/>
                <w:color w:val="auto"/>
              </w:rPr>
            </w:pP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5,409</w:t>
            </w:r>
          </w:p>
        </w:tc>
      </w:tr>
      <w:tr>
        <w:trPr>
          <w:trHeight w:val="23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(6,077)</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(5,972)</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32"/>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Prior service cost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actuarial loss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w:t>
            </w: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benefit cost</w:t>
            </w:r>
          </w:p>
        </w:tc>
        <w:tc>
          <w:tcPr>
            <w:tcW w:w="92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1,779</w:t>
            </w:r>
          </w:p>
        </w:tc>
        <w:tc>
          <w:tcPr>
            <w:tcW w:w="8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1,719</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15.</w:t>
        <w:tab/>
        <w:t>INCOME TAXES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Lazard, Inc. is subject to U.S. federal income taxes on all its income and, through its subsidiaries, is also subject to state and local taxes on its income apportioned to various state and local jurisdictions. Lazard Group LLC operates principally through subsidiary corporations including those domiciled outside the U.S. that are subject to local income taxes in foreign jurisdictions. In addition, Lazard Group LLC is subject to Unincorporated Business Tax (“UBT”) attributable to its operations apportioned to New York City.</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recorded income tax benefits of $10,989 and $7,354 for the three month periods ended March 31, 2026 and 2025, respectively, representing effective tax rates of (12.3)% and (13.5)%, respectively. The difference between the U.S. federal statutory rate of 21.0% and the effective tax rates reflected above principally relates to (i) the tax impact of differences in the value of share-based incentive compensation that vested in the first quarter and other discrete items, (ii) taxes payable to foreign jurisdictions that are not offset against U.S. income taxes, (iii) change in the U.S. federal valuation allowance affecting the provision for income taxes and (iv) U.S. state and local taxes, which are incremental to the U.S. federal statutory tax rate.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paid for income taxes, net of refunds for the three month period ended March 31, 2026 was $13,944.</w:t>
      </w:r>
    </w:p>
    <w:p>
      <w:pPr>
        <w:spacing w:after="0" w:line="3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16.</w:t>
        <w:tab/>
        <w:t>NET INCOME PER SHARE OF COMMON STOCK</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is required to utilize the “two-class” method of computing basic and diluted net income per share because the Company issued certain PIPRs which are treated as participating securities.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Company’s basic and diluted net income per share calculations using the “two-class” method for the three month periods ended March 31, 2026 and 2025 are presented below:</w:t>
      </w:r>
    </w:p>
    <w:p>
      <w:pPr>
        <w:spacing w:after="0" w:line="9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Lazard</w:t>
            </w: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100,916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60,375</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earnings attributable to participating securities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w:t>
            </w:r>
          </w:p>
        </w:tc>
      </w:tr>
      <w:tr>
        <w:trPr>
          <w:trHeight w:val="25"/>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Lazard - basic</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97,583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58,565</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earnings attributable to participating securities</w:t>
            </w:r>
          </w:p>
        </w:tc>
        <w:tc>
          <w:tcPr>
            <w:tcW w:w="4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6"/>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Lazard - diluted</w:t>
            </w: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97,583</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58,565</w:t>
            </w:r>
          </w:p>
        </w:tc>
      </w:tr>
      <w:tr>
        <w:trPr>
          <w:trHeight w:val="204"/>
        </w:trPr>
        <w:tc>
          <w:tcPr>
            <w:tcW w:w="7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of common stock outstanding</w:t>
            </w: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95,503,099</w:t>
            </w: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91,311,188</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of common stock issuable on a non-contingent basis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3,957,157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3,944,235</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of common stock outstanding - basic</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99,460,256</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95,255,423</w:t>
            </w:r>
          </w:p>
        </w:tc>
      </w:tr>
      <w:tr>
        <w:trPr>
          <w:trHeight w:val="25"/>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incremental shares of common stock issuable from share-based incentive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8"/>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 (a)</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7,327,719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9,573,330</w:t>
            </w:r>
          </w:p>
        </w:tc>
      </w:tr>
      <w:tr>
        <w:trPr>
          <w:trHeight w:val="25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of common stock outstanding - diluted</w:t>
            </w: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106,787,975</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104,828,753</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Lazard per share of common stock:</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58"/>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4"/>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w:t>
      </w:r>
    </w:p>
    <w:p>
      <w:pPr>
        <w:spacing w:after="0" w:line="99" w:lineRule="exact"/>
        <w:rPr>
          <w:sz w:val="20"/>
          <w:szCs w:val="20"/>
          <w:color w:val="auto"/>
        </w:rPr>
      </w:pPr>
    </w:p>
    <w:p>
      <w:pPr>
        <w:jc w:val="both"/>
        <w:ind w:left="320" w:hanging="317"/>
        <w:spacing w:after="0" w:line="270" w:lineRule="auto"/>
        <w:tabs>
          <w:tab w:leader="none" w:pos="31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weighted average number of incremental shares of common stock issuable from PIPRs for the three month periods ended March 31, 2026 and 2025 of 2,500,405 and 2,814,720, respectively, that could be potentially dilutive in future periods, have been excluded from the computation of diluted net income per share as the effect would be antidilutive in the respective periods.</w:t>
      </w:r>
    </w:p>
    <w:p>
      <w:pPr>
        <w:spacing w:after="0" w:line="2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17.</w:t>
        <w:tab/>
        <w:t>RELATED PARTIES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Sponsored Funds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serves as an investment advisor for certain affiliated investment companies and fund entities and receives management fees and, for the alternative investment funds, performance-based incentive fees for providing such services. Asset management fees relating to such services were $188,283 and $138,058 for the three month periods ended March 31, 2026 and 2025, respectively, and are included in “asset management fees” on the condensed consolidated statements of operations. Of such amounts, $39,882 and $86,262 remained as receivables at March 31, 2026 and December 31, 2025, respectively, and are included in “fees receivable” on the condensed consolidated statements of financial condition.</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The Second Amended and Restated Tax Receivable Agreement, dated as of October 26, 2015 (the “TRA”), between Lazard and LTBP Trust, a Delaware statutory trust (the “Trust”), provides for the payment by our subsidiaries to the Trust of (i) approximately 45% of the amount of cash savings, if any, in U.S. federal, state and local income tax or franchise tax that we actually realize as a result of the increases in the tax basis of certain assets and of certain other tax benefits related to the TRA, and (ii) an amount that we currently expect will equal 85% of the cash tax savings that may arise from tax basis increases attributable to payments under the TRA. Our subsidiaries expect to benefit from the balance of cash savings, if any, in income tax that our subsidiaries realize from such tax basis increases. Any amount paid by our subsidiaries to the Trust will generally be distributed pro rata to the owners of the Trust, who include one of our executive officers.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purposes of the TRA, cash savings in income and franchise tax will be computed by comparing our subsidiaries’ actual income and franchise tax liability to the amount of such taxes that our subsidiaries would have been required to pay had there been no increase in the tax basis of certain assets of Lazard Group and had our subsidiaries not entered into the TRA. The term of the TRA will continue until approximately 2033 or, if earlier, until all relevant tax benefits have been utilized or expired.</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amount of the TRA liability is an undiscounted amount based upon current tax laws, the current structure of the Company and various assumptions regarding potential future operating profitability. The assumptions reflected in the estimate involve significant judgment, and as such, the actual amount and timing of payments under the TRA could differ materially from our estimates. Any changes in the amount of the estimated liability would be recorded as a non-compensation expense in the condensed consolidated statements of operations. Adjustments, if necessary, to the related deferred tax assets would be recorded through the “provision (benefit) for income taxes”.</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cumulative liability relating to our obligations under the TRA as of March 31, 2026 and December 31, 2025 was $46,832 and $57,051, respectively, and is recorded in “other liabilities” on the condensed consolidated statements of financial condition.</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12 for information regarding related party transactions pertaining to shares repurchased from certain of our executive officers.</w:t>
      </w:r>
    </w:p>
    <w:p>
      <w:pPr>
        <w:spacing w:after="0" w:line="3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18.</w:t>
        <w:tab/>
        <w:t>REGULATORY AUTHORITIES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LFNY is a U.S. registered broker-dealer and is subject to the net capital requirements of Rule 15c3-1 under the Exchange Act.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$5, whichever is greater. In addition, the ratio of aggregate indebtedness (as defined) to net capital may not exceed 15:1. At March 31, 2026, LFNY’s regulatory net capital was $98,341, which exceeded the minimum requirement by $94,081. LFNY’s aggregate indebtedness to net capital ratio was 0.65:1 as of March 31, 2026.</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U.K. subsidiaries of the Company, including LCL, Lazard Fund Managers Limited and Lazard Asset Management Limited (collectively, the “U.K. Subsidiaries”) are regulated by the Financial Conduct Authority. At March 31, 2026, the aggregate regulatory net capital of the U.K. Subsidiaries was $115,743, which exceeded the minimum requirement by $41,645.</w:t>
      </w:r>
    </w:p>
    <w:p>
      <w:pPr>
        <w:spacing w:after="0" w:line="16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exercised through LFB and other subsidiaries of CFLF, primarily LFG, also are subject to regulation and supervision by the Autorité des Marchés Financiers. At December 31, 2025, the consolidated regulatory net capital of CFLF was $164,221, which exceeded the minimum requirement set for regulatory capital levels by $57,437. In addition, pursuant to the consolidated supervision rules in the European Union, LFB, in particular, as a French credit institution, is required to be supervised by a regulatory body, either in the U.S. or in the European Union. LFB and certain other non-Financial Advisory subsidiaries of the Company in the European Union (referred to herein, on a combined basis, as the “combined European regulated group”) is subject to consolidated supervision based on an agreement with the ACPR and under such rules is required to comply with minimum requirements for regulatory net capital. At December 31, 2025, the regulatory net capital of the combined European regulated group was $187,192, which exceeded the minimum requirement set for regulatory capital levels by $49,245. Additionally, the combined European regulated group, together with our Financial Advisory entities in the European Union, is required to perform an annual risk assessment and provide certain other information on a periodic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other U.S. and non-U.S. subsidiaries are subject to various capital adequacy requirements promulgated by various regulatory and exchange authorities in the countries in which they operate. At March 31, 2026, for those subsidiaries with regulatory capital requirements, their aggregate net capital was $110,569, which exceeded the minimum required capital by $77,645.</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March 31, 2026, each of these subsidiaries individually was in compliance with its regulatory capital requirements.</w:t>
      </w:r>
    </w:p>
    <w:p>
      <w:pPr>
        <w:spacing w:after="0" w:line="3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19.</w:t>
        <w:tab/>
        <w:t>SEGMENT INFORMATION</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reportable segments offer different products and services and are managed separately, as different levels and types of expertise are required to effectively manage the segments’ transactions. Each segment is reviewed by the Chief Operating Decision Maker (the “CODM”) to determine the allocation of resources and to assess its performance. The Company’s reportable segments are Financial Advisory, Asset Management, and Corporate, which are described in Note 1.</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Company’s CODM is the Company’s Chief Executive Officer. The CODM assesses the segments’ performance by each segment’s adjusted operating income (loss). Adjusted operating income (loss) is also used by the CODM to allocate compensation and non-compensation related resources to each segment.</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 below provides selected financial information about the Company’s segments, including adjusted compensation and benefits expense and adjusted non-compensation expense (both of which are significant expense categories on which the CODM is regularly provided information), other segment items, and adjusted operating income (loss).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Adjusted compensation and benefits expense and adjusted non-compensation expense include costs directly incurred by each segment, with certain adjustments. Adjusted non-compensation expense includes expenses for occupancy and equipment, marketing and business development, technology and information services, professional services, fund administration and outsourced services.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segment items include certain adjustments to calculate adjusted operating income (loss), including:</w:t>
      </w:r>
    </w:p>
    <w:p>
      <w:pPr>
        <w:spacing w:after="0" w:line="114" w:lineRule="exact"/>
        <w:rPr>
          <w:sz w:val="20"/>
          <w:szCs w:val="20"/>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Noncontrolling interests;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distribution, introducer and management fees paid to third parties and reimbursable deal costs;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for credit losses;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fair value of investments held in connection with LFI and other similar deferred compensation arrangements;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excluding interest expense incurred by LFB;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sale and deconsolidation of Edgewater.</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Inter-segment revenues are not material for all periods presented.</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CODM does not regularly receive asset information by segment and does not use segment asset information to assess performance or allocate resources.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Segment revenue includes revenue from contracts with customers and other revenue.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
        </w:trPr>
        <w:tc>
          <w:tcPr>
            <w:tcW w:w="4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7"/>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Advisory</w:t>
            </w:r>
          </w:p>
        </w:tc>
        <w:tc>
          <w:tcPr>
            <w:tcW w:w="18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 Management</w:t>
            </w:r>
          </w:p>
        </w:tc>
        <w:tc>
          <w:tcPr>
            <w:tcW w:w="320" w:type="dxa"/>
            <w:vAlign w:val="bottom"/>
          </w:tcPr>
          <w:p>
            <w:pPr>
              <w:spacing w:after="0"/>
              <w:rPr>
                <w:sz w:val="15"/>
                <w:szCs w:val="15"/>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5"/>
                <w:szCs w:val="15"/>
                <w:color w:val="auto"/>
              </w:rPr>
            </w:pPr>
          </w:p>
        </w:tc>
        <w:tc>
          <w:tcPr>
            <w:tcW w:w="128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4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Revenue (Loss) - U.S. GAAP Basis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409,763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756,582</w:t>
            </w:r>
          </w:p>
        </w:tc>
      </w:tr>
      <w:tr>
        <w:trPr>
          <w:trHeight w:val="223"/>
        </w:trPr>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Adjusted Compensation and Benefits Expense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160,392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470,584</w:t>
            </w:r>
          </w:p>
        </w:tc>
      </w:tr>
      <w:tr>
        <w:trPr>
          <w:trHeight w:val="241"/>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Adjusted Non-compensation Expense</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63,803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148,675</w:t>
            </w:r>
          </w:p>
        </w:tc>
      </w:tr>
      <w:tr>
        <w:trPr>
          <w:trHeight w:val="225"/>
        </w:trPr>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Other Segment Items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(83,599)</w:t>
            </w:r>
          </w:p>
        </w:tc>
      </w:tr>
      <w:tr>
        <w:trPr>
          <w:trHeight w:val="257"/>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Adjusted Operating Income (Loss)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84,643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53,724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2"/>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 Segment Disclosures: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Interest income (included in net revenue)</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1,399</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2,316</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4,097</w:t>
            </w:r>
          </w:p>
        </w:tc>
        <w:tc>
          <w:tcPr>
            <w:tcW w:w="100" w:type="dxa"/>
            <w:vAlign w:val="bottom"/>
          </w:tcPr>
          <w:p>
            <w:pPr>
              <w:spacing w:after="0"/>
              <w:rPr>
                <w:sz w:val="19"/>
                <w:szCs w:val="19"/>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7,812</w:t>
            </w:r>
          </w:p>
        </w:tc>
      </w:tr>
      <w:tr>
        <w:trPr>
          <w:trHeight w:val="20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 of property</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3"/>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(included in adjusted non-compensation</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8"/>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expense)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7,803</w:t>
            </w:r>
          </w:p>
        </w:tc>
      </w:tr>
      <w:tr>
        <w:trPr>
          <w:trHeight w:val="867"/>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
        </w:trPr>
        <w:tc>
          <w:tcPr>
            <w:tcW w:w="4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7"/>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Advisory</w:t>
            </w:r>
          </w:p>
        </w:tc>
        <w:tc>
          <w:tcPr>
            <w:tcW w:w="18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 Management</w:t>
            </w:r>
          </w:p>
        </w:tc>
        <w:tc>
          <w:tcPr>
            <w:tcW w:w="320" w:type="dxa"/>
            <w:vAlign w:val="bottom"/>
          </w:tcPr>
          <w:p>
            <w:pPr>
              <w:spacing w:after="0"/>
              <w:rPr>
                <w:sz w:val="15"/>
                <w:szCs w:val="15"/>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5"/>
                <w:szCs w:val="15"/>
                <w:color w:val="auto"/>
              </w:rPr>
            </w:pPr>
          </w:p>
        </w:tc>
        <w:tc>
          <w:tcPr>
            <w:tcW w:w="128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4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Revenue (Loss) - U.S. GAAP Basis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648,051</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Compensation and Benefits Expense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239,968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142,827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421,286</w:t>
            </w:r>
          </w:p>
        </w:tc>
      </w:tr>
      <w:tr>
        <w:trPr>
          <w:trHeight w:val="24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Non-compensation Expense</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59,211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147,882</w:t>
            </w:r>
          </w:p>
        </w:tc>
      </w:tr>
      <w:tr>
        <w:trPr>
          <w:trHeight w:val="225"/>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Segment Items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(4,866)</w:t>
            </w: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Operating Income (Loss)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74,017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Segment Disclosures: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Interest income (included in net revenue)</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2,447</w:t>
            </w:r>
          </w:p>
        </w:tc>
        <w:tc>
          <w:tcPr>
            <w:tcW w:w="80" w:type="dxa"/>
            <w:vAlign w:val="bottom"/>
          </w:tcPr>
          <w:p>
            <w:pPr>
              <w:spacing w:after="0"/>
              <w:rPr>
                <w:sz w:val="19"/>
                <w:szCs w:val="19"/>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8,018</w:t>
            </w:r>
          </w:p>
        </w:tc>
        <w:tc>
          <w:tcPr>
            <w:tcW w:w="100" w:type="dxa"/>
            <w:vAlign w:val="bottom"/>
          </w:tcPr>
          <w:p>
            <w:pPr>
              <w:spacing w:after="0"/>
              <w:rPr>
                <w:sz w:val="19"/>
                <w:szCs w:val="19"/>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11,662</w:t>
            </w:r>
          </w:p>
        </w:tc>
      </w:tr>
      <w:tr>
        <w:trPr>
          <w:trHeight w:val="216"/>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 of property</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80"/>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(included in adjusted non-compensation</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8"/>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expense)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provides a reconciliation of the Company's consolidated adjusted operating income to the Company’s consolidated U.S. GAAP operating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w:t>
      </w:r>
    </w:p>
    <w:p>
      <w:pPr>
        <w:spacing w:after="0" w:line="3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0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Operating Income</w:t>
            </w:r>
          </w:p>
        </w:tc>
        <w:tc>
          <w:tcPr>
            <w:tcW w:w="106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53,724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74,017</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3"/>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income (loss) related to noncontrolling interests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1"/>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and similar arrangements (a)</w:t>
            </w: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w:t>
            </w:r>
          </w:p>
        </w:tc>
      </w:tr>
      <w:tr>
        <w:trPr>
          <w:trHeight w:val="22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 (b)</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(20,969)</w:t>
            </w:r>
          </w:p>
        </w:tc>
      </w:tr>
      <w:tr>
        <w:trPr>
          <w:trHeight w:val="241"/>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and other acquisition-related costs</w:t>
            </w:r>
          </w:p>
        </w:tc>
        <w:tc>
          <w:tcPr>
            <w:tcW w:w="10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2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on sale and deconsolidation of Edgewater (c)</w:t>
            </w:r>
          </w:p>
        </w:tc>
        <w:tc>
          <w:tcPr>
            <w:tcW w:w="1060" w:type="dxa"/>
            <w:vAlign w:val="bottom"/>
          </w:tcPr>
          <w:p>
            <w:pPr>
              <w:spacing w:after="0"/>
              <w:rPr>
                <w:sz w:val="19"/>
                <w:szCs w:val="19"/>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77,990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1"/>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Expenses associated with senior management transition (d)</w:t>
            </w: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Expenses related to the proposed acquisition of Campbell</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Lutyens Holdings Limited ("Campbell Lutyens") (e)</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 U.S. GAAP Basis</w:t>
            </w:r>
          </w:p>
        </w:tc>
        <w:tc>
          <w:tcPr>
            <w:tcW w:w="106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89,574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54,635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w:t>
      </w:r>
    </w:p>
    <w:p>
      <w:pPr>
        <w:spacing w:after="0" w:line="203" w:lineRule="exact"/>
        <w:rPr>
          <w:sz w:val="20"/>
          <w:szCs w:val="20"/>
          <w:color w:val="auto"/>
        </w:rPr>
      </w:pPr>
    </w:p>
    <w:p>
      <w:pPr>
        <w:ind w:left="320" w:hanging="317"/>
        <w:spacing w:after="0" w:line="284" w:lineRule="auto"/>
        <w:tabs>
          <w:tab w:leader="none" w:pos="31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and expenses related to the consolidation of noncontrolling interests and similar arrangements are excluded because the Company has no economic interest in such amounts.</w:t>
      </w:r>
    </w:p>
    <w:p>
      <w:pPr>
        <w:spacing w:after="0" w:line="1" w:lineRule="exact"/>
        <w:rPr>
          <w:rFonts w:ascii="Times New Roman" w:cs="Times New Roman" w:eastAsia="Times New Roman" w:hAnsi="Times New Roman"/>
          <w:sz w:val="17"/>
          <w:szCs w:val="17"/>
          <w:color w:val="auto"/>
        </w:rPr>
      </w:pPr>
    </w:p>
    <w:p>
      <w:pPr>
        <w:ind w:left="320" w:hanging="317"/>
        <w:spacing w:after="0" w:line="284" w:lineRule="auto"/>
        <w:tabs>
          <w:tab w:leader="none" w:pos="31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(excluding interest expense incurred by LFB) is added back in determining adjusted net revenue because such expense relates to corporate financing activities and is not considered to be a cost directly related to the revenue of our business.</w:t>
      </w:r>
    </w:p>
    <w:p>
      <w:pPr>
        <w:spacing w:after="0" w:line="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gain on the sale and deconsolidation of the Edgewater management vehicles.</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expenses associated with the departure of certain executive officers.</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expenses related to the proposed acquisition of Campbell Lutyens (see Note 21).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LAZARD,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20.</w:t>
        <w:tab/>
        <w:t>CONSOLIDATED VIEs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LFI Consolidated Funds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consolidated VIEs as of March 31, 2026 and December 31, 2025 include certain funds (“LFI Consolidated Funds”) that were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assets of LFI Consolidated Funds, except as it relates to $10,319 and $36,527 of LFI owned by Lazard Group as of March 31, 2026 and December 31, 2025, respectively, can only be used to settle the obligations of LFI Consolidated Funds.</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Company’s consolidated VIE assets and liabilities for LFI Consolidated Funds as reflected in the condensed consolidated statements of financial condition consist of the following at March 31, 2026 and December 31,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5"/>
        </w:trPr>
        <w:tc>
          <w:tcPr>
            <w:tcW w:w="7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Customers and other receivables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113,448</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51"/>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92,821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115,652</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4"/>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and other customer payables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51"/>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21. SUBSEQUENT EVENT</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April 30, 2026, the Company entered into a Sale and Purchase Agreement (the “Purchase Agreement”) pursuant to which the Company agreed to acquire all of the issued share capital of Campbell Lutyens, a global private markets advisor focused on fund placement, secondary advisory, and GP capital advisory services. The aggregate consideration for the transaction consists of (i) initial closing consideration of $460,000 based on the Company’s stock price at announcement, and subject to adjustments for cash, debt and working capital as of closing; (ii) deferred consideration of $115,000 payable on the second anniversary of closing; and (iii) earn-out consideration of up to $85,000 based on the achievement of defined performance criteria over a multi-year period and subject to continuing employment by certain selling shareholders. Both initial and deferred consideration include portions that are subject to additional lock-up arrangements. The aggregate consideration is payable in a combination of the Company’s common stock, cash, and loan notes, subject to the terms of the Purchase Agreement, including limitations on share issuance.</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transaction is expected to close in the second half of 2026, subject to regulatory approvals and other customary closing conditions. Under certain circumstances, if the Purchase Agreement is terminated, the Company may be required to pay Campbell Lutyens a termination fee of $50,000.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0" w:name="page41"/>
    <w:bookmarkEnd w:id="40"/>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Lazard’s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2025 (the “Form 10-K”). All references to “2026,” “2025,” “first quarter” or “the period” refer to, as the context requires, the three month periods ended March 31, 2026 and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 and Certain Factors that May Affect Our Business</w:t>
      </w:r>
    </w:p>
    <w:p>
      <w:pPr>
        <w:spacing w:after="0" w:line="11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Management has included in Parts I and II of this Form 10-Q, including in its MD&amp;A, statements that are forward-looking statements. In some cases, forward-looking statements can be identified by the use of forward-looking terminology such as “may,” “might,” “will,” “should,” “could,” “would,” “expect,” “plan,” “anticipate,” “believe,” “estimate,” “predict,” “potential,” “target,” “goal,” “pipeline,”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forward-looking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76" w:lineRule="exact"/>
        <w:rPr>
          <w:sz w:val="20"/>
          <w:szCs w:val="20"/>
          <w:color w:val="auto"/>
        </w:rPr>
      </w:pPr>
    </w:p>
    <w:p>
      <w:pPr>
        <w:ind w:left="840" w:hanging="218"/>
        <w:spacing w:after="0"/>
        <w:tabs>
          <w:tab w:leader="none" w:pos="8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general economic conditions or adverse conditions in global or regional financial markets;</w:t>
      </w:r>
    </w:p>
    <w:p>
      <w:pPr>
        <w:spacing w:after="0" w:line="113" w:lineRule="exact"/>
        <w:rPr>
          <w:rFonts w:ascii="Times New Roman" w:cs="Times New Roman" w:eastAsia="Times New Roman" w:hAnsi="Times New Roman"/>
          <w:sz w:val="17"/>
          <w:szCs w:val="17"/>
          <w:color w:val="auto"/>
        </w:rPr>
      </w:pPr>
    </w:p>
    <w:p>
      <w:pPr>
        <w:ind w:left="860" w:hanging="238"/>
        <w:spacing w:after="0" w:line="287" w:lineRule="auto"/>
        <w:tabs>
          <w:tab w:leader="none" w:pos="8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international trade policies and practices, including the implementation of tariffs, proposed further tariffs, and responses from other jurisdictions, the risk of potential government shutdowns, and the economic impacts, volatility and uncertainty resulting therefrom;</w:t>
      </w:r>
    </w:p>
    <w:p>
      <w:pPr>
        <w:spacing w:after="0" w:line="48" w:lineRule="exact"/>
        <w:rPr>
          <w:rFonts w:ascii="Times New Roman" w:cs="Times New Roman" w:eastAsia="Times New Roman" w:hAnsi="Times New Roman"/>
          <w:sz w:val="17"/>
          <w:szCs w:val="17"/>
          <w:color w:val="auto"/>
        </w:rPr>
      </w:pPr>
    </w:p>
    <w:p>
      <w:pPr>
        <w:ind w:left="860" w:hanging="238"/>
        <w:spacing w:after="0" w:line="287" w:lineRule="auto"/>
        <w:tabs>
          <w:tab w:leader="none" w:pos="8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our revenues, for example due to a decline in overall M&amp;A activity, our share of the M&amp;A market or our assets under management (“AUM”);</w:t>
      </w:r>
    </w:p>
    <w:p>
      <w:pPr>
        <w:spacing w:after="0" w:line="48"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losses caused by financial or other problems experienced by third parties;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losses due to unidentified or unanticipated risks;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lack of liquidity, i.e., ready access to funds, for use in our businesses;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pressure on our businesses and on our ability to retain and attract employees at current compensation levels; and</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relevant tax laws, regulations or treaties or an adverse interpretation of those items.</w:t>
      </w:r>
    </w:p>
    <w:p>
      <w:pPr>
        <w:spacing w:after="0" w:line="21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38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a result, there can be no assurance that the forward-looking statements included in this Form 10-Q will prove to be accurate or correct. Although we believe the statements reflected in the forward-looking statements are reasonable, we cannot guarantee future results, level of activity, performance, achievements or events.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Forward-looking statements include, but are not limited to, statements about:</w:t>
      </w:r>
    </w:p>
    <w:p>
      <w:pPr>
        <w:spacing w:after="0" w:line="114" w:lineRule="exact"/>
        <w:rPr>
          <w:sz w:val="20"/>
          <w:szCs w:val="20"/>
          <w:color w:val="auto"/>
        </w:rPr>
      </w:pPr>
    </w:p>
    <w:p>
      <w:pPr>
        <w:ind w:left="840" w:hanging="218"/>
        <w:spacing w:after="0"/>
        <w:tabs>
          <w:tab w:leader="none" w:pos="8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objectives, including the ratios of adjusted compensation and benefits expense to adjusted net revenue;</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deploy surplus cash through dividends, share repurchases and debt retirements;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offset stockholder dilution through share repurchases;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or assumed future results of operations and operating cash flows;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strategies and investment policies;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plans and the availability of short-term borrowing;</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position;</w:t>
      </w:r>
    </w:p>
    <w:p>
      <w:pPr>
        <w:spacing w:after="0" w:line="113" w:lineRule="exact"/>
        <w:rPr>
          <w:rFonts w:ascii="Times New Roman" w:cs="Times New Roman" w:eastAsia="Times New Roman" w:hAnsi="Times New Roman"/>
          <w:sz w:val="17"/>
          <w:szCs w:val="17"/>
          <w:color w:val="auto"/>
        </w:rPr>
      </w:pPr>
    </w:p>
    <w:p>
      <w:pPr>
        <w:ind w:left="860" w:hanging="238"/>
        <w:spacing w:after="0" w:line="287" w:lineRule="auto"/>
        <w:tabs>
          <w:tab w:leader="none" w:pos="8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or other strategic transactions, the proposed acquisition of Campbell Lutyens Holdings Limited (“Campbell Lutyens”) (including the consideration to be paid, the expected timing of consummation and the anticipated benefits to the transaction);</w:t>
      </w:r>
    </w:p>
    <w:p>
      <w:pPr>
        <w:spacing w:after="0" w:line="48"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growth opportunities available to our businesses;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impact of investments in our technology infrastructure and data science capabilities;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and retention of our managing directors and employees;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levels of expense, including adjusted compensation and benefits expense, and adjusted non-compensation expense;</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operating performance, achievements, productivity improvements, efficiency and cost reduction efforts;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likelihood of success and impact of litigation;</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tax rates, including effective tax rates;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and tax rates;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impact of AI and related third-party technologies on our business, operations, compliance and reputation;</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certain tax benefits, including certain potential deductions;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impact of certain events or circumstances on our financial statements and operations;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w:t>
      </w:r>
    </w:p>
    <w:p>
      <w:pPr>
        <w:spacing w:after="0" w:line="113" w:lineRule="exact"/>
        <w:rPr>
          <w:rFonts w:ascii="Times New Roman" w:cs="Times New Roman" w:eastAsia="Times New Roman" w:hAnsi="Times New Roman"/>
          <w:sz w:val="17"/>
          <w:szCs w:val="17"/>
          <w:color w:val="auto"/>
        </w:rPr>
      </w:pPr>
    </w:p>
    <w:p>
      <w:pPr>
        <w:ind w:left="860" w:hanging="238"/>
        <w:spacing w:after="0" w:line="287" w:lineRule="auto"/>
        <w:tabs>
          <w:tab w:leader="none" w:pos="8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international trade policies and practices, including the implementation of tariffs, proposed further tariffs, and responses from other jurisdictions, the risk of potential government shutdowns, and the economic impacts, volatility and uncertainty resulting therefrom;</w:t>
      </w:r>
    </w:p>
    <w:p>
      <w:pPr>
        <w:spacing w:after="0" w:line="48"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timing and levels of funding of awarded institutional mandates;</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pipeline in M&amp;A, restructuring and other financial advisory transactions;</w:t>
      </w:r>
    </w:p>
    <w:p>
      <w:pPr>
        <w:spacing w:after="0" w:line="113" w:lineRule="exact"/>
        <w:rPr>
          <w:rFonts w:ascii="Times New Roman" w:cs="Times New Roman" w:eastAsia="Times New Roman" w:hAnsi="Times New Roman"/>
          <w:sz w:val="17"/>
          <w:szCs w:val="17"/>
          <w:color w:val="auto"/>
        </w:rPr>
      </w:pPr>
    </w:p>
    <w:p>
      <w:pPr>
        <w:ind w:left="860" w:hanging="238"/>
        <w:spacing w:after="0" w:line="287" w:lineRule="auto"/>
        <w:tabs>
          <w:tab w:leader="none" w:pos="8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with respect to the economy, the securities markets, the market for mergers, acquisitions, restructuring, private credit and other financial advisory activity, the market for asset management activity and other macroeconomic, regional and industry trends;</w:t>
      </w:r>
    </w:p>
    <w:p>
      <w:pPr>
        <w:spacing w:after="0" w:line="48"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competition on our business; and</w:t>
      </w:r>
    </w:p>
    <w:p>
      <w:pPr>
        <w:spacing w:after="0" w:line="113"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new or future legislation and regulation, including tax laws and regulations, on our business.</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is committed to providing timely and accurate information to the investing public, consistent with our legal and regulatory obligations. To that end, Lazard and its operating companies use their websites and other social media sites to convey information about their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Inc., Lazard Group and their operating company websites through http://www.lazard.com. Our websites and social media sites and the information contained therein or connected thereto shall not be deemed to be incorporated into this Form 10-Q.</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April 30, 2026, the Company entered into a Sale and Purchase Agreement (the “Purchase Agreement”) pursuant to which the Company agreed to acquire all of the issued share capital of Campbell Lutyens, a global private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2" w:name="page43"/>
    <w:bookmarkEnd w:id="42"/>
    <w:p>
      <w:pPr>
        <w:jc w:val="both"/>
        <w:spacing w:after="0" w:line="260" w:lineRule="auto"/>
        <w:rPr>
          <w:sz w:val="20"/>
          <w:szCs w:val="20"/>
          <w:color w:val="auto"/>
        </w:rPr>
      </w:pPr>
      <w:r>
        <w:rPr>
          <w:rFonts w:ascii="Times New Roman" w:cs="Times New Roman" w:eastAsia="Times New Roman" w:hAnsi="Times New Roman"/>
          <w:sz w:val="17"/>
          <w:szCs w:val="17"/>
          <w:color w:val="auto"/>
        </w:rPr>
        <w:t>markets advisor focused on fund placement, secondary advisory, and GP capital advisory services. The aggregate consideration for the transaction consists of (i) initial closing consideration of $460 million based on the Company’s stock price at announcement, and subject to adjustments for cash, debt and working capital as of closing; (ii) deferred consideration of $115 million payable on the second anniversary of closing; and (iii) earn-out consideration of up to $85 million based on the achievement of defined performance criteria over a multi-year period and subject to continuing employment by certain selling shareholders. Both initial and deferred consideration include portions that are subject to additional lock-up arrangements. The aggregate consideration is payable in a combination of the Company’s common stock, cash, and loan notes, subject to the terms of the Purchase Agreement, including limitations on share issuance.</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transaction is expected to close in the second half of 2026, subject to regulatory approvals and other customary closing conditions. Under certain circumstances, if the Purchase Agreement is terminated, the Company may be required to pay Campbell Lutyens a termination fee of $50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Summary</w:t>
      </w:r>
    </w:p>
    <w:p>
      <w:pPr>
        <w:spacing w:after="0" w:line="11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Founded in 1848, Lazard is a global financial advisory and asset management firm, with operations in North and South America, Europe, the Middle East, Asia, and Australia. Lazard provides advice on mergers and acquisitions, capital markets and capital solutions, restructuring and liability management, geopolitics, and other strategic matters, as well as asset management and investment solutions to institutions, corporations, governments, partnerships, family offices, and high net worth individuals. We aim to deliver independent, differentiated advice and solutions grounded in contextual alpha—the broad insight and judgment needed to navigate macroeconomic, geopolitical, and other factors that we believe help leaders see beyond what the world sees today.</w:t>
      </w:r>
    </w:p>
    <w:p>
      <w:pPr>
        <w:spacing w:after="0" w:line="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mission is to provide trusted, independent financial advice and investment solutions to our clients, backed by the intellectual capital of our firm. During our more than 175-year history, we have built a global network of relationships with key decision makers in business, government and investing institutions. This network is both a competitive strength and a powerful resource for Lazard and our clients. As a firm that competes on the quality of our advice, we have two fundamental assets: our people and our reputation.</w:t>
      </w:r>
    </w:p>
    <w:p>
      <w:pPr>
        <w:spacing w:after="0" w:line="6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operate in cyclical businesses across multiple geographies, industries and asset classes. In recent years, we have deepened our sector expertise, enhanced our specialized insights in geopolitical advisory, and increased connectivity to private capital in our financial advisory business. In addition, we have invested in our global investment and distribution platform in our asset management business to further drive performance. Business and government leaders and global investors seek trusted advisors, and we believe that our business model as an independent advisor will continue to create opportunities for us to attract new clients and key personnel.</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principal sources of revenue are derived from activities in the following business segments:</w:t>
      </w:r>
    </w:p>
    <w:p>
      <w:pPr>
        <w:spacing w:after="0" w:line="114" w:lineRule="exact"/>
        <w:rPr>
          <w:sz w:val="20"/>
          <w:szCs w:val="20"/>
          <w:color w:val="auto"/>
        </w:rPr>
      </w:pPr>
    </w:p>
    <w:p>
      <w:pPr>
        <w:jc w:val="both"/>
        <w:ind w:left="860" w:hanging="238"/>
        <w:spacing w:after="0" w:line="270" w:lineRule="auto"/>
        <w:tabs>
          <w:tab w:leader="none" w:pos="8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Advisory, which offers corporate, partnership, institutional, government, sovereign and individual clients across the globe a wide array of financial advisory services including M&amp;A advisory, strategic capital solutions, shareholder advisory, sovereign advisory, geopolitical advisory, restructuring and liability management, capital raising and placement, and other strategic matters; and</w:t>
      </w:r>
    </w:p>
    <w:p>
      <w:pPr>
        <w:spacing w:after="0" w:line="62" w:lineRule="exact"/>
        <w:rPr>
          <w:rFonts w:ascii="Times New Roman" w:cs="Times New Roman" w:eastAsia="Times New Roman" w:hAnsi="Times New Roman"/>
          <w:sz w:val="17"/>
          <w:szCs w:val="17"/>
          <w:color w:val="auto"/>
        </w:rPr>
      </w:pPr>
    </w:p>
    <w:p>
      <w:pPr>
        <w:jc w:val="both"/>
        <w:ind w:left="860" w:hanging="238"/>
        <w:spacing w:after="0" w:line="270" w:lineRule="auto"/>
        <w:tabs>
          <w:tab w:leader="none" w:pos="8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Management, which offers a broad range of global investment solutions and investment and wealth management services in equity and fixed income strategies, asset allocation strategies, alternative investments and private equity funds to corporations, public funds, sovereign entities, endowments and foundations, labor funds, financial intermediaries and private wealth clients.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also invest our own capital from time to time to seed our Asset Management strategies. In addition, we record selected other activities in our Corporate segment, including cash management, certain investments, deferred tax assets, outstanding indebtedness and certain contingent obligations.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“Business Segments” below for discussion of the adjusted operating results of our Financial Advisory, Asset Management and Corporate segments.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Environment and Outlook</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Economic and global financial market conditions can materially affect our financial performance. As described above, our principal sources of revenue are derived from activities in our Financial Advisory and Asset Management business segments. Our Financial Advisory revenues are primarily dependent on the successful completion of merger,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3" w:name="page44"/>
    <w:bookmarkEnd w:id="43"/>
    <w:p>
      <w:pPr>
        <w:jc w:val="both"/>
        <w:spacing w:after="0" w:line="264" w:lineRule="auto"/>
        <w:rPr>
          <w:sz w:val="20"/>
          <w:szCs w:val="20"/>
          <w:color w:val="auto"/>
        </w:rPr>
      </w:pPr>
      <w:r>
        <w:rPr>
          <w:rFonts w:ascii="Times New Roman" w:cs="Times New Roman" w:eastAsia="Times New Roman" w:hAnsi="Times New Roman"/>
          <w:sz w:val="17"/>
          <w:szCs w:val="17"/>
          <w:color w:val="auto"/>
        </w:rPr>
        <w:t>acquisition, sale, restructuring, capital raising or similar transactions, and our Asset Management revenues are primarily driven by the levels of AUM. Weak or uncertain global economic and financial market conditions can create a challenging environment for M&amp;A and capital-raising activity and may also pressure our Asset Management business. However, these conditions may generate increased opportunities for our restructuring business. Additionally, heightened equity market volatility can create compelling investment opportunities for Asset Management.</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operate in a competitive, global environment. Ongoing geopolitical uncertainty, developments in international trade policies and practices, along with shifting domestic governmental priorities, have increased uncertainty relative to prior years. We believe our broad set of capabilities, diversified business model, and the competitive advantage provided by Lazard’s contextual alpha—our ability to incorporate geopolitical, regulatory, and macroeconomic insight into our advice—position us well to meet evolving client needs across varying economic environments. Unpredictability and the potential for related impacts, however, could create or exacerbate market volatility, contribute to weakened economic and business conditions, and reduce our clients’ ability to finalize decision-making or execute on investment priorities.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Overall, we continue to focus on the development of our business, including the generation of revenue growth, earnings growth and shareholder returns, the evaluation of potential growth opportunities, the investment in new technology to support the development of existing and new business opportunities, the evaluation of other strategic alternatives, the prudent management of our costs and expenses, the efficient use of our assets and the return of capital to our shareholders.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ind w:left="620"/>
        <w:spacing w:after="0"/>
        <w:rPr>
          <w:sz w:val="20"/>
          <w:szCs w:val="20"/>
          <w:color w:val="auto"/>
        </w:rPr>
      </w:pPr>
      <w:r>
        <w:rPr>
          <w:rFonts w:ascii="Times New Roman" w:cs="Times New Roman" w:eastAsia="Times New Roman" w:hAnsi="Times New Roman"/>
          <w:sz w:val="17"/>
          <w:szCs w:val="17"/>
          <w:color w:val="auto"/>
        </w:rPr>
        <w:t>Certain industry-wide market data with respect to our Financial Advisory and Asset Management businesses is included below.</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Financial Advisory</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global M&amp;A and restructuring industry statistics for completed and announced M&amp;A transactions and completed restructuring transactions.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gridSpan w:val="2"/>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r>
      <w:tr>
        <w:trPr>
          <w:trHeight w:val="182"/>
        </w:trPr>
        <w:tc>
          <w:tcPr>
            <w:tcW w:w="5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40" w:type="dxa"/>
            <w:vAlign w:val="bottom"/>
            <w:gridSpan w:val="2"/>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tcPr>
          <w:p>
            <w:pPr>
              <w:spacing w:after="0"/>
              <w:rPr>
                <w:sz w:val="15"/>
                <w:szCs w:val="15"/>
                <w:color w:val="auto"/>
              </w:rPr>
            </w:pPr>
          </w:p>
        </w:tc>
      </w:tr>
      <w:tr>
        <w:trPr>
          <w:trHeight w:val="35"/>
        </w:trPr>
        <w:tc>
          <w:tcPr>
            <w:tcW w:w="58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62"/>
        </w:trPr>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2"/>
        </w:trPr>
        <w:tc>
          <w:tcPr>
            <w:tcW w:w="588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Incr / (Decr)</w:t>
            </w:r>
          </w:p>
        </w:tc>
      </w:tr>
      <w:tr>
        <w:trPr>
          <w:trHeight w:val="35"/>
        </w:trPr>
        <w:tc>
          <w:tcPr>
            <w:tcW w:w="58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77"/>
        </w:trPr>
        <w:tc>
          <w:tcPr>
            <w:tcW w:w="5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w w:val="97"/>
              </w:rPr>
              <w:t>in billions)</w:t>
            </w:r>
          </w:p>
        </w:tc>
        <w:tc>
          <w:tcPr>
            <w:tcW w:w="1620" w:type="dxa"/>
            <w:vAlign w:val="bottom"/>
          </w:tcPr>
          <w:p>
            <w:pPr>
              <w:spacing w:after="0"/>
              <w:rPr>
                <w:sz w:val="15"/>
                <w:szCs w:val="15"/>
                <w:color w:val="auto"/>
              </w:rPr>
            </w:pPr>
          </w:p>
        </w:tc>
      </w:tr>
      <w:tr>
        <w:trPr>
          <w:trHeight w:val="35"/>
        </w:trPr>
        <w:tc>
          <w:tcPr>
            <w:tcW w:w="5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3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Completed M&amp;A Transactions:</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2"/>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 deals: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Value</w:t>
            </w:r>
          </w:p>
        </w:tc>
        <w:tc>
          <w:tcPr>
            <w:tcW w:w="1100" w:type="dxa"/>
            <w:vAlign w:val="bottom"/>
            <w:tcBorders>
              <w:bottom w:val="single" w:sz="8" w:color="CCEEFF"/>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1,265</w:t>
            </w:r>
          </w:p>
        </w:tc>
        <w:tc>
          <w:tcPr>
            <w:tcW w:w="720" w:type="dxa"/>
            <w:vAlign w:val="bottom"/>
            <w:tcBorders>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833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32"/>
        </w:trPr>
        <w:tc>
          <w:tcPr>
            <w:tcW w:w="5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Number</w:t>
            </w:r>
          </w:p>
        </w:tc>
        <w:tc>
          <w:tcPr>
            <w:tcW w:w="11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8,867</w:t>
            </w:r>
          </w:p>
        </w:tc>
        <w:tc>
          <w:tcPr>
            <w:tcW w:w="720" w:type="dxa"/>
            <w:vAlign w:val="bottom"/>
          </w:tcPr>
          <w:p>
            <w:pPr>
              <w:spacing w:after="0"/>
              <w:rPr>
                <w:sz w:val="20"/>
                <w:szCs w:val="20"/>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10,107</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Deals Greater than $500 million:</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2"/>
        </w:trPr>
        <w:tc>
          <w:tcPr>
            <w:tcW w:w="5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Value</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1,078</w:t>
            </w:r>
          </w:p>
        </w:tc>
        <w:tc>
          <w:tcPr>
            <w:tcW w:w="720" w:type="dxa"/>
            <w:vAlign w:val="bottom"/>
          </w:tcPr>
          <w:p>
            <w:pPr>
              <w:jc w:val="right"/>
              <w:ind w:right="461"/>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635</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Number</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322</w:t>
            </w:r>
          </w:p>
        </w:tc>
        <w:tc>
          <w:tcPr>
            <w:tcW w:w="7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312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32"/>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Announced M&amp;A Transactions: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 deals:</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2"/>
        </w:trPr>
        <w:tc>
          <w:tcPr>
            <w:tcW w:w="5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Value</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1,381</w:t>
            </w:r>
          </w:p>
        </w:tc>
        <w:tc>
          <w:tcPr>
            <w:tcW w:w="720" w:type="dxa"/>
            <w:vAlign w:val="bottom"/>
          </w:tcPr>
          <w:p>
            <w:pPr>
              <w:jc w:val="right"/>
              <w:ind w:right="461"/>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1,146</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Number</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9,981</w:t>
            </w:r>
          </w:p>
        </w:tc>
        <w:tc>
          <w:tcPr>
            <w:tcW w:w="7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10,790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2"/>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Deals Greater than $500 million:</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Value</w:t>
            </w:r>
          </w:p>
        </w:tc>
        <w:tc>
          <w:tcPr>
            <w:tcW w:w="1100" w:type="dxa"/>
            <w:vAlign w:val="bottom"/>
            <w:tcBorders>
              <w:bottom w:val="single" w:sz="8" w:color="CCEEFF"/>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1,156</w:t>
            </w:r>
          </w:p>
        </w:tc>
        <w:tc>
          <w:tcPr>
            <w:tcW w:w="720" w:type="dxa"/>
            <w:vAlign w:val="bottom"/>
            <w:tcBorders>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934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32"/>
        </w:trPr>
        <w:tc>
          <w:tcPr>
            <w:tcW w:w="5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Number</w:t>
            </w:r>
          </w:p>
        </w:tc>
        <w:tc>
          <w:tcPr>
            <w:tcW w:w="11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369</w:t>
            </w:r>
          </w:p>
        </w:tc>
        <w:tc>
          <w:tcPr>
            <w:tcW w:w="720" w:type="dxa"/>
            <w:vAlign w:val="bottom"/>
          </w:tcPr>
          <w:p>
            <w:pPr>
              <w:spacing w:after="0"/>
              <w:rPr>
                <w:sz w:val="20"/>
                <w:szCs w:val="20"/>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350</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Completed Restructuring</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2"/>
        </w:trPr>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Transactions:</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2"/>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 deals: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Value</w:t>
            </w:r>
          </w:p>
        </w:tc>
        <w:tc>
          <w:tcPr>
            <w:tcW w:w="1100" w:type="dxa"/>
            <w:vAlign w:val="bottom"/>
            <w:tcBorders>
              <w:bottom w:val="single" w:sz="8" w:color="CCEEFF"/>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720" w:type="dxa"/>
            <w:vAlign w:val="bottom"/>
            <w:tcBorders>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96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2"/>
        </w:trPr>
        <w:tc>
          <w:tcPr>
            <w:tcW w:w="5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Number</w:t>
            </w:r>
          </w:p>
        </w:tc>
        <w:tc>
          <w:tcPr>
            <w:tcW w:w="11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36</w:t>
            </w:r>
          </w:p>
        </w:tc>
        <w:tc>
          <w:tcPr>
            <w:tcW w:w="720" w:type="dxa"/>
            <w:vAlign w:val="bottom"/>
          </w:tcPr>
          <w:p>
            <w:pPr>
              <w:spacing w:after="0"/>
              <w:rPr>
                <w:sz w:val="20"/>
                <w:szCs w:val="20"/>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106</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Dealogic as of April 2, 2026.</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Another measure of global restructuring activity is the number of corporate defaults, which decreased during the first quarter of 2026 as compared to the first quarter of 2025. The number of defaulting issuers was 27 in the first quarter of 2026, according to Moody’s Investors Service, Inc., as compared to 30 in the first quarter of 2025.</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Net revenue trends in Financial Advisory are generally correlated to the level of completed industry-wide M&amp;A transactions and restructuring transactions occurring subsequent to corporate debt defaults.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greater or lesser relative market share, or regarding the relative number of our advisory engagements with respect to larger-sized transactions, and where we are involved in non-public or sovereign advisory assignments.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Asset Management</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percentage change in major equity market indices at March 31, 2026, as compared to such indices at December 31, 2025 and at March 31, 2025 is shown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spacing w:after="0"/>
              <w:rPr>
                <w:sz w:val="15"/>
                <w:szCs w:val="15"/>
                <w:color w:val="auto"/>
              </w:rPr>
            </w:pPr>
          </w:p>
        </w:tc>
        <w:tc>
          <w:tcPr>
            <w:tcW w:w="3720" w:type="dxa"/>
            <w:vAlign w:val="bottom"/>
            <w:gridSpan w:val="3"/>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Percentage Changes March 31, 2026 vs.</w:t>
            </w:r>
          </w:p>
        </w:tc>
      </w:tr>
      <w:tr>
        <w:trPr>
          <w:trHeight w:val="35"/>
        </w:trPr>
        <w:tc>
          <w:tcPr>
            <w:tcW w:w="7520" w:type="dxa"/>
            <w:vAlign w:val="bottom"/>
          </w:tcPr>
          <w:p>
            <w:pPr>
              <w:spacing w:after="0"/>
              <w:rPr>
                <w:sz w:val="3"/>
                <w:szCs w:val="3"/>
                <w:color w:val="auto"/>
              </w:rPr>
            </w:pPr>
          </w:p>
        </w:tc>
        <w:tc>
          <w:tcPr>
            <w:tcW w:w="1900" w:type="dxa"/>
            <w:vAlign w:val="bottom"/>
            <w:tcBorders>
              <w:bottom w:val="single" w:sz="8" w:color="auto"/>
            </w:tcBorders>
            <w:gridSpan w:val="2"/>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77"/>
        </w:trPr>
        <w:tc>
          <w:tcPr>
            <w:tcW w:w="7520" w:type="dxa"/>
            <w:vAlign w:val="bottom"/>
          </w:tcPr>
          <w:p>
            <w:pPr>
              <w:spacing w:after="0"/>
              <w:rPr>
                <w:sz w:val="15"/>
                <w:szCs w:val="15"/>
                <w:color w:val="auto"/>
              </w:rPr>
            </w:pPr>
          </w:p>
        </w:tc>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5"/>
        </w:trPr>
        <w:tc>
          <w:tcPr>
            <w:tcW w:w="75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3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MSCI World Index</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 Stoxx</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5"/>
        </w:trPr>
        <w:tc>
          <w:tcPr>
            <w:tcW w:w="7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MSCI Emerging Market</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r>
    </w:tbl>
    <w:p>
      <w:pPr>
        <w:spacing w:after="0" w:line="3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 Overview</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majority of Lazard’s Financial Advisory net revenue historically has been earned from advice and other services provided in M&amp;A transactions. The amount of the fee earned can vary depending upon the type, size and complexity of the transaction Lazard is advising on. M&amp;A fees can be earned as a retainer, working fee, announcement fee, milestone fee, opinion fee or transaction completion fee. Most fees are paid upon completion of a transaction, the timing of which can be impacted by delays due to securing financing, board approvals, regulatory approvals, shareholder votes, changing market conditions or other factors.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restructuring and liability management team advises on situations where our clients are financially distressed, providing advice on financial debt restructurings, liability management and M&amp;A. Bankruptcy proceedings may require court approval of our fees. We also advise on both public and private debt and structured equity transactions, while the private capital advisory team provides fundraising and secondary advisory services for private equity, private credit, real estate and real assets-focused investment firms. Additionally, Lazard earns fees from providing strategic advice to clients, which may include shareholder advisory, geopolitical advisory and other strategic advisory matters, with such fees not being dependent on the completion of a transaction.</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Financial Advisory businesses may be impacted by overall M&amp;A activity levels in the market, the level of corporate debt defaults and the environment for capital raising activities, among other factors.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Lazard’s Asset Management segment principally includes LAM, LFG, Lazard Frères Banque SA (“LFB”) and the Edgewater Funds (“Edgewater”). On February 13, 2026, the Company completed the sale of a controlling stake in the Edgewater management vehicles, resulting in the deconsolidation of the related entities.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for any reason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46" w:name="page47"/>
    <w:bookmarkEnd w:id="46"/>
    <w:p>
      <w:pPr>
        <w:jc w:val="both"/>
        <w:spacing w:after="0" w:line="260" w:lineRule="auto"/>
        <w:rPr>
          <w:sz w:val="20"/>
          <w:szCs w:val="20"/>
          <w:color w:val="auto"/>
        </w:rPr>
      </w:pPr>
      <w:r>
        <w:rPr>
          <w:rFonts w:ascii="Times New Roman" w:cs="Times New Roman" w:eastAsia="Times New Roman" w:hAnsi="Times New Roman"/>
          <w:sz w:val="17"/>
          <w:szCs w:val="17"/>
          <w:color w:val="auto"/>
        </w:rPr>
        <w:t>performance, changes in prevailing interest rates and financial market performance. Moreover, it is possible that awarded institutional mandates may not be funded in the amounts and at the times initially anticipated, or at all.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38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earns performance-based incentive fees on various investment products, including traditional products and alternative investment funds, such as hedge funds and private equity funds.</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ultimately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further incentive fees can be earned.</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or investment by investment basis and, therefore, clawback of carried interest toward the end of the life of the fund can occur. As a result, the Company recognizes incentive fees earned on our private equity funds only when it is probable that a clawback will not occur.</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Corporate segment net revenue consists primarily of interest and dividend income and interest expense, as well as gains and losses on investments held in connection with Lazard Fund Interests (“LFI”). In addition, in 2025, Corporate net revenue included investment gains and losses on the Company’s investments to seed strategies in our Asset Management business, net of hedging activities, which beginning in the first quarter of 2026 is reported in the Asset Management segment (comparable prior year information has not been recast because the impact was not material). Corporate net revenue can fluctuate due to changes in the fair value of debt and equity securities, as well as due to changes in interest rates and the levels of cash, investments and indebtedness, among other factors.</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use “adjusted net revenue”, a non-GAAP measure, for comparison of revenues between periods. For the reconciliations and calculations with respect to “adjusted net revenue” and related ratios to “adjusted net revenue,” see the table under “Consolidated Results of Operations” below.</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Lazard’s 2018 Incentive Compensation Plan, as amended (the “2018 Plan”) and (b) LFI and other similar deferred compensation arrangements, (iii) a provision for discretionary or guaranteed cash bonuses and profit pools and (iv) when applicable, severance payments and cash retention awards.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 See Note 13 of Notes to Condensed Consolidated Financial Statements.</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first quarter of 2026, we changed our accounting principle for recognizing compensation expense on certain incentive compensation awards to the straight-line attribution method, which we believe more appropriately reflects the pattern of service provided by the employee. See Note 1 of Notes to Condensed Consolidated Financial Statements. We also changed the vesting period for certain incentive compensation awards granted in the first quarter of 2026, such that they vest to employees ratably over three years. See Note 13 of Notes to Condensed Consolidated Financial Statements. We expect the combined effect of these two changes within compensation and benefits expense to be predominantly offsetting.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use “adjusted compensation and benefits expense” and the ratio of “adjusted compensation and benefits expense” to “adjusted net revenue,” both non-GAAP measures, for comparison of compensation and benefits expense between periods. For the reconciliations and calculations with respect to “adjusted compensation and benefits expense” and related ratios to “adjusted net revenue,” see the table under “Condensed Consolidated Results of Operations” below.</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Compensation and benefits expense is the largest component of our operating expenses. We seek to maintain discipline with respect to compensation, including the rate at which we award deferred compensation. We focus on a ratio of adjusted compensation and benefits expense to adjusted net revenue to manage costs, balancing a view of current conditions in the market for talent alongside our objective to drive long-term shareholder value. Our practice is to pay our employees competitively to foster retention and motivate performance and, in doing so, we look to the market for talent and other factors, which are typically correlated with industry revenues, but may vary year by year. At the same time, the amount of compensation we award in a particular year is, in part, deferred and amortized over the successive years. Increased competition for professionals, changes in the macroeconomic environment or the financial markets generally, lower adjusted net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“adjusted non-compensation expense”, a non-GAAP measure, when presented in conjunction with measures prepared in accordance with accounting principles generally accepted in the United States of America (“U.S. GAAP”), provides a meaningful and useful basis for our investors to assess our operating results. For calculations with respect to “adjusted non-compensation expense”, see the table under “Consolidated Results of Operations” below.</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Lazard, Inc. is subject to U.S. federal income taxes on all of its income and, through its subsidiaries, is also subject to state and local taxes on its income apportioned to various state and local jurisdictions. Lazard Group LLC operates principally through subsidiary corporations including through those domiciled outside the U.S. that are subject to local income taxes in foreign jurisdictions. In addition, Lazard Group LLC is subject to Unincorporated Business Tax attributable to its operations apportioned to New York City.</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Additionally, the Organization for Economic Cooperation and Development (the “OECD”) reached agreement among various countries, including the EU member states, to establish a 15% minimum tax on certain multinational companies, commonly called “Pillar Two”. We are continuing to monitor Pillar Two legislative developments and their impact on future periods.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“Critical Accounting Policies and Estimates—Income Taxes” below and Notes 15 and 17 of Notes to Condensed Consolidated Financial Statements for additional information regarding income taxes, our deferred tax assets and the tax receivable agreement obligation.</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Income Attributable to Noncontrolling Interests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Noncontrolling interests primarily consist of (i) consolidated VIE interests held by employees, and (ii) up to February 13, 2026, amounts related to Edgewater’s management vehicles that the Company was deemed to control but not own. See Notes 12 and 20 of Notes to Condensed Consolidated Financial Statements for information regarding the Company’s noncontrolling interests and consolidated VIEs and Note 1 of Notes to Condensed Consolidated Financial Statements for information regarding the sale and deconsolidation of Edgewater.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11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Lazard’s condensed consolidated financial statements are presented in U.S. Dollars. Many of our non-U.S. subsidiaries have a functional currency (i.e., the currency in which operational activities are primarily conducted) that is other than the U.S. Dollar, generally the currency of the country in which the subsidiaries are domiciled. Such subsidiaries’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spacing w:after="0" w:line="264" w:lineRule="auto"/>
        <w:rPr>
          <w:sz w:val="20"/>
          <w:szCs w:val="20"/>
          <w:color w:val="auto"/>
        </w:rPr>
      </w:pPr>
      <w:r>
        <w:rPr>
          <w:rFonts w:ascii="Times New Roman" w:cs="Times New Roman" w:eastAsia="Times New Roman" w:hAnsi="Times New Roman"/>
          <w:sz w:val="17"/>
          <w:szCs w:val="17"/>
          <w:color w:val="auto"/>
        </w:rPr>
        <w:t>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71"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00" w:lineRule="exact"/>
        <w:rPr>
          <w:sz w:val="20"/>
          <w:szCs w:val="20"/>
          <w:color w:val="auto"/>
        </w:rPr>
      </w:pPr>
    </w:p>
    <w:p>
      <w:pPr>
        <w:spacing w:after="0" w:line="21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7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15"/>
                <w:szCs w:val="15"/>
                <w:color w:val="auto"/>
              </w:rPr>
            </w:pPr>
          </w:p>
        </w:tc>
      </w:tr>
      <w:tr>
        <w:trPr>
          <w:trHeight w:val="35"/>
        </w:trPr>
        <w:tc>
          <w:tcPr>
            <w:tcW w:w="7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7"/>
              </w:rPr>
              <w:t>756,582</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648,051</w:t>
            </w:r>
          </w:p>
        </w:tc>
      </w:tr>
      <w:tr>
        <w:trPr>
          <w:trHeight w:val="21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10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5"/>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0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7"/>
              </w:rPr>
              <w:t>491,894</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430,270</w:t>
            </w:r>
          </w:p>
        </w:tc>
      </w:tr>
      <w:tr>
        <w:trPr>
          <w:trHeight w:val="232"/>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Non-compensation</w:t>
            </w:r>
          </w:p>
        </w:tc>
        <w:tc>
          <w:tcPr>
            <w:tcW w:w="1040" w:type="dxa"/>
            <w:vAlign w:val="bottom"/>
          </w:tcPr>
          <w:p>
            <w:pPr>
              <w:spacing w:after="0"/>
              <w:rPr>
                <w:sz w:val="20"/>
                <w:szCs w:val="20"/>
                <w:color w:val="auto"/>
              </w:rPr>
            </w:pP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97"/>
              </w:rPr>
              <w:t>175,114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163,146</w:t>
            </w:r>
          </w:p>
        </w:tc>
      </w:tr>
      <w:tr>
        <w:trPr>
          <w:trHeight w:val="25"/>
        </w:trPr>
        <w:tc>
          <w:tcPr>
            <w:tcW w:w="7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1"/>
        </w:trPr>
        <w:tc>
          <w:tcPr>
            <w:tcW w:w="7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7"/>
              </w:rPr>
              <w:t>667,008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593,416</w:t>
            </w: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Operating Income</w:t>
            </w:r>
          </w:p>
        </w:tc>
        <w:tc>
          <w:tcPr>
            <w:tcW w:w="10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89,574</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54,635</w:t>
            </w:r>
          </w:p>
        </w:tc>
      </w:tr>
      <w:tr>
        <w:trPr>
          <w:trHeight w:val="25"/>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for income taxes</w:t>
            </w:r>
          </w:p>
        </w:tc>
        <w:tc>
          <w:tcPr>
            <w:tcW w:w="10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9"/>
              </w:rPr>
              <w:t>(10,989)</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(7,354)</w:t>
            </w: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tc>
        <w:tc>
          <w:tcPr>
            <w:tcW w:w="10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97"/>
              </w:rPr>
              <w:t>100,563</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61,989</w:t>
            </w:r>
          </w:p>
        </w:tc>
      </w:tr>
      <w:tr>
        <w:trPr>
          <w:trHeight w:val="25"/>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Less - Net Income (Loss) Attributable to</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4"/>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tc>
        <w:tc>
          <w:tcPr>
            <w:tcW w:w="10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(353)</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1,614</w:t>
            </w: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Net Income Attributable to Lazard</w:t>
            </w:r>
          </w:p>
        </w:tc>
        <w:tc>
          <w:tcPr>
            <w:tcW w:w="1040" w:type="dxa"/>
            <w:vAlign w:val="bottom"/>
            <w:tcBorders>
              <w:top w:val="single" w:sz="8" w:color="auto"/>
            </w:tcBorders>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97"/>
              </w:rPr>
              <w:t>100,916</w:t>
            </w: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60,375</w:t>
            </w:r>
          </w:p>
        </w:tc>
      </w:tr>
      <w:tr>
        <w:trPr>
          <w:trHeight w:val="25"/>
        </w:trPr>
        <w:tc>
          <w:tcPr>
            <w:tcW w:w="7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Operating Income, as a % of net revenue</w:t>
            </w:r>
          </w:p>
        </w:tc>
        <w:tc>
          <w:tcPr>
            <w:tcW w:w="10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tables below describe the components of adjusted net revenue, adjusted compensation and benefits expense, adjusted non-compensation expense, adjusted operating income and related key ratios, which are non-GAAP measures used by the Company to manage its business. We believe such non-GAAP measures in conjunction with U.S. GAAP measures provide a meaningful and useful basis for comparison between present, historical and future periods, as described above.</w:t>
      </w:r>
    </w:p>
    <w:p>
      <w:pPr>
        <w:spacing w:after="0" w:line="112"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7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15"/>
                <w:szCs w:val="15"/>
                <w:color w:val="auto"/>
              </w:rPr>
            </w:pPr>
          </w:p>
        </w:tc>
      </w:tr>
      <w:tr>
        <w:trPr>
          <w:trHeight w:val="35"/>
        </w:trPr>
        <w:tc>
          <w:tcPr>
            <w:tcW w:w="7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Lazard, Inc. Adjusted Net Revenue:</w:t>
            </w:r>
          </w:p>
        </w:tc>
        <w:tc>
          <w:tcPr>
            <w:tcW w:w="1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revenue - U.S. GAAP basis</w:t>
            </w:r>
          </w:p>
        </w:tc>
        <w:tc>
          <w:tcPr>
            <w:tcW w:w="1120" w:type="dxa"/>
            <w:vAlign w:val="bottom"/>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756,582</w:t>
            </w:r>
          </w:p>
        </w:tc>
        <w:tc>
          <w:tcPr>
            <w:tcW w:w="8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648,051</w:t>
            </w:r>
          </w:p>
        </w:tc>
      </w:tr>
      <w:tr>
        <w:trPr>
          <w:trHeight w:val="25"/>
        </w:trPr>
        <w:tc>
          <w:tcPr>
            <w:tcW w:w="7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2"/>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Revenue related to noncontrolling interests and similar arrangements (a)</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(6,011)</w:t>
            </w:r>
          </w:p>
        </w:tc>
      </w:tr>
      <w:tr>
        <w:trPr>
          <w:trHeight w:val="25"/>
        </w:trPr>
        <w:tc>
          <w:tcPr>
            <w:tcW w:w="7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Gains related to LFI and other similar arrangements (b)</w:t>
            </w:r>
          </w:p>
        </w:tc>
        <w:tc>
          <w:tcPr>
            <w:tcW w:w="1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w:t>
            </w:r>
          </w:p>
        </w:tc>
      </w:tr>
      <w:tr>
        <w:trPr>
          <w:trHeight w:val="232"/>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Distribution fees, reimbursable deal costs, provision for credit losses and other (c)</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(14,581)</w:t>
            </w:r>
          </w:p>
        </w:tc>
      </w:tr>
      <w:tr>
        <w:trPr>
          <w:trHeight w:val="25"/>
        </w:trPr>
        <w:tc>
          <w:tcPr>
            <w:tcW w:w="7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 (d)</w:t>
            </w:r>
          </w:p>
        </w:tc>
        <w:tc>
          <w:tcPr>
            <w:tcW w:w="1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22,728</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20,969</w:t>
            </w:r>
          </w:p>
        </w:tc>
      </w:tr>
      <w:tr>
        <w:trPr>
          <w:trHeight w:val="232"/>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Gain on sale and deconsolidation of Edgewater (e)</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(77,990)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1"/>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adjustments (f)</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(83,599)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w:t>
            </w:r>
          </w:p>
        </w:tc>
      </w:tr>
      <w:tr>
        <w:trPr>
          <w:trHeight w:val="251"/>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revenue (g)</w:t>
            </w: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672,983</w:t>
            </w:r>
          </w:p>
        </w:tc>
        <w:tc>
          <w:tcPr>
            <w:tcW w:w="8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643,185</w:t>
            </w:r>
          </w:p>
        </w:tc>
      </w:tr>
      <w:tr>
        <w:trPr>
          <w:trHeight w:val="20"/>
        </w:trPr>
        <w:tc>
          <w:tcPr>
            <w:tcW w:w="7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48" w:lineRule="exact"/>
        <w:rPr>
          <w:sz w:val="20"/>
          <w:szCs w:val="20"/>
          <w:color w:val="auto"/>
        </w:rPr>
      </w:pPr>
    </w:p>
    <w:p>
      <w:pPr>
        <w:ind w:left="320" w:hanging="317"/>
        <w:spacing w:after="0" w:line="271" w:lineRule="auto"/>
        <w:tabs>
          <w:tab w:leader="none" w:pos="31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related to the consolidation of noncontrolling interests and similar arrangements are excluded from adjusted net revenue because the Company has no economic interest in such amounts.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9" w:name="page50"/>
    <w:bookmarkEnd w:id="49"/>
    <w:p>
      <w:pPr>
        <w:ind w:left="320" w:hanging="317"/>
        <w:spacing w:after="0" w:line="269"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changes in the fair value of investments held in connection with LFI and other similar deferred compensation arrangements, for which a corresponding equal amount is excluded from compensation and benefits expense.</w:t>
      </w:r>
    </w:p>
    <w:p>
      <w:pPr>
        <w:jc w:val="both"/>
        <w:ind w:left="320" w:hanging="317"/>
        <w:spacing w:after="0" w:line="254" w:lineRule="auto"/>
        <w:tabs>
          <w:tab w:leader="none" w:pos="31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certain distribution, introducer and management fees paid to third parties, reimbursable deal costs and (provision) benefit for credit losses relating to fees and other receivables that are deemed uncollectible, for which an equal amount is excluded for purposes of determining adjusted non-compensation expense.</w:t>
      </w:r>
    </w:p>
    <w:p>
      <w:pPr>
        <w:spacing w:after="0" w:line="11" w:lineRule="exact"/>
        <w:rPr>
          <w:rFonts w:ascii="Times New Roman" w:cs="Times New Roman" w:eastAsia="Times New Roman" w:hAnsi="Times New Roman"/>
          <w:sz w:val="17"/>
          <w:szCs w:val="17"/>
          <w:color w:val="auto"/>
        </w:rPr>
      </w:pPr>
    </w:p>
    <w:p>
      <w:pPr>
        <w:ind w:left="320" w:hanging="317"/>
        <w:spacing w:after="0" w:line="261"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(excluding interest expense incurred by LFB) is added back in determining adjusted net revenue because such expense relates to corporate financing activities and is not considered to be a cost directly related to the revenue of our business.</w:t>
      </w: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non-cash gain on the sale and deconsolidation of the Edgewater management vehicles.</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adjustments equal the “other segment items” in Note 19 of Notes to Condensed Consolidated Financial Statements.</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revenue is a non-GAAP measure.</w:t>
      </w:r>
    </w:p>
    <w:p>
      <w:pPr>
        <w:spacing w:after="0" w:line="15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Lazard, Inc. Adjusted Compensation and Benefits Expense:</w:t>
            </w:r>
          </w:p>
        </w:tc>
        <w:tc>
          <w:tcPr>
            <w:tcW w:w="10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compensation and benefits expense</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7"/>
              </w:rPr>
              <w:t>491,894</w:t>
            </w:r>
          </w:p>
        </w:tc>
        <w:tc>
          <w:tcPr>
            <w:tcW w:w="10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430,270</w:t>
            </w: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0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Compensation and benefits expense related to noncontrolling interests and similar arrangements (a)</w:t>
            </w:r>
          </w:p>
        </w:tc>
        <w:tc>
          <w:tcPr>
            <w:tcW w:w="106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(2,870)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(3,741)</w:t>
            </w: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Charges pertaining to LFI and other similar arrangements (b)</w:t>
            </w:r>
          </w:p>
        </w:tc>
        <w:tc>
          <w:tcPr>
            <w:tcW w:w="10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(1,782)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(5,243)</w:t>
            </w:r>
          </w:p>
        </w:tc>
        <w:tc>
          <w:tcPr>
            <w:tcW w:w="0" w:type="dxa"/>
            <w:vAlign w:val="bottom"/>
          </w:tcPr>
          <w:p>
            <w:pPr>
              <w:spacing w:after="0"/>
              <w:rPr>
                <w:sz w:val="1"/>
                <w:szCs w:val="1"/>
                <w:color w:val="auto"/>
              </w:rPr>
            </w:pPr>
          </w:p>
        </w:tc>
      </w:tr>
      <w:tr>
        <w:trPr>
          <w:trHeight w:val="232"/>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Expenses associated with senior management transition (c)</w:t>
            </w:r>
          </w:p>
        </w:tc>
        <w:tc>
          <w:tcPr>
            <w:tcW w:w="106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9"/>
              </w:rPr>
              <w:t>(16,658)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5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compensation and benefits expense (d)</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7"/>
              </w:rPr>
              <w:t>470,584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421,286</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Adjusted compensation and benefits expense, as a %</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69.9 %</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65.5 %</w:t>
            </w:r>
          </w:p>
        </w:tc>
        <w:tc>
          <w:tcPr>
            <w:tcW w:w="0" w:type="dxa"/>
            <w:vAlign w:val="bottom"/>
          </w:tcPr>
          <w:p>
            <w:pPr>
              <w:spacing w:after="0"/>
              <w:rPr>
                <w:sz w:val="1"/>
                <w:szCs w:val="1"/>
                <w:color w:val="auto"/>
              </w:rPr>
            </w:pPr>
          </w:p>
        </w:tc>
      </w:tr>
      <w:tr>
        <w:trPr>
          <w:trHeight w:val="223"/>
        </w:trPr>
        <w:tc>
          <w:tcPr>
            <w:tcW w:w="7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adjusted net revenue (d)</w:t>
            </w:r>
          </w:p>
        </w:tc>
        <w:tc>
          <w:tcPr>
            <w:tcW w:w="10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87" w:lineRule="exact"/>
        <w:rPr>
          <w:sz w:val="20"/>
          <w:szCs w:val="20"/>
          <w:color w:val="auto"/>
        </w:rPr>
      </w:pPr>
    </w:p>
    <w:p>
      <w:pPr>
        <w:ind w:left="320" w:hanging="317"/>
        <w:spacing w:after="0" w:line="269" w:lineRule="auto"/>
        <w:tabs>
          <w:tab w:leader="none" w:pos="31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the consolidation of noncontrolling interests and similar arrangements are excluded because the Company has no economic interest in such amounts.</w:t>
      </w:r>
    </w:p>
    <w:p>
      <w:pPr>
        <w:ind w:left="320" w:hanging="317"/>
        <w:spacing w:after="0" w:line="269" w:lineRule="auto"/>
        <w:tabs>
          <w:tab w:leader="none" w:pos="31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changes in the fair value of the compensation liability recorded in connection with LFI and other similar deferred incentive compensation awards, for which a corresponding equal amount is excluded from adjusted net revenue.</w:t>
      </w: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expenses associated with the departure of certain executive officers.</w:t>
      </w:r>
    </w:p>
    <w:p>
      <w:pPr>
        <w:spacing w:after="0" w:line="49" w:lineRule="exact"/>
        <w:rPr>
          <w:rFonts w:ascii="Times New Roman" w:cs="Times New Roman" w:eastAsia="Times New Roman" w:hAnsi="Times New Roman"/>
          <w:sz w:val="17"/>
          <w:szCs w:val="17"/>
          <w:color w:val="auto"/>
        </w:rPr>
      </w:pPr>
    </w:p>
    <w:p>
      <w:pPr>
        <w:ind w:left="320" w:hanging="317"/>
        <w:spacing w:after="0" w:line="271" w:lineRule="auto"/>
        <w:tabs>
          <w:tab w:leader="none" w:pos="31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compensation and benefits expense and adjusted compensation and benefits expense, as a percentage of adjusted net revenue are non-GAAP measures.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50" w:name="page51"/>
    <w:bookmarkEnd w:id="50"/>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2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77"/>
        </w:trPr>
        <w:tc>
          <w:tcPr>
            <w:tcW w:w="7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20" w:type="dxa"/>
            <w:vAlign w:val="bottom"/>
          </w:tcPr>
          <w:p>
            <w:pPr>
              <w:spacing w:after="0"/>
              <w:rPr>
                <w:sz w:val="15"/>
                <w:szCs w:val="15"/>
                <w:color w:val="auto"/>
              </w:rPr>
            </w:pPr>
          </w:p>
        </w:tc>
      </w:tr>
      <w:tr>
        <w:trPr>
          <w:trHeight w:val="35"/>
        </w:trPr>
        <w:tc>
          <w:tcPr>
            <w:tcW w:w="7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Lazard, Inc. Adjusted Non-Compensation Expense:</w:t>
            </w:r>
          </w:p>
        </w:tc>
        <w:tc>
          <w:tcPr>
            <w:tcW w:w="1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non-compensation expense</w:t>
            </w:r>
          </w:p>
        </w:tc>
        <w:tc>
          <w:tcPr>
            <w:tcW w:w="1160" w:type="dxa"/>
            <w:vAlign w:val="bottom"/>
          </w:tcPr>
          <w:p>
            <w:pPr>
              <w:jc w:val="right"/>
              <w:ind w:right="9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175,114</w:t>
            </w:r>
          </w:p>
        </w:tc>
        <w:tc>
          <w:tcPr>
            <w:tcW w:w="100" w:type="dxa"/>
            <w:vAlign w:val="bottom"/>
          </w:tcPr>
          <w:p>
            <w:pPr>
              <w:spacing w:after="0"/>
              <w:rPr>
                <w:sz w:val="20"/>
                <w:szCs w:val="20"/>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163,146</w:t>
            </w:r>
          </w:p>
        </w:tc>
      </w:tr>
      <w:tr>
        <w:trPr>
          <w:trHeight w:val="25"/>
        </w:trPr>
        <w:tc>
          <w:tcPr>
            <w:tcW w:w="7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2"/>
        </w:trPr>
        <w:tc>
          <w:tcPr>
            <w:tcW w:w="72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Non-compensation expense related to noncontrolling interests and similar arrangements (a)</w:t>
            </w:r>
          </w:p>
        </w:tc>
        <w:tc>
          <w:tcPr>
            <w:tcW w:w="1160" w:type="dxa"/>
            <w:vAlign w:val="bottom"/>
          </w:tcPr>
          <w:p>
            <w:pPr>
              <w:spacing w:after="0"/>
              <w:rPr>
                <w:sz w:val="20"/>
                <w:szCs w:val="20"/>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(1,110)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(657)</w:t>
            </w:r>
          </w:p>
        </w:tc>
      </w:tr>
      <w:tr>
        <w:trPr>
          <w:trHeight w:val="25"/>
        </w:trPr>
        <w:tc>
          <w:tcPr>
            <w:tcW w:w="7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7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Distribution fees, reimbursable deal costs, provision for credit losses and other (b)</w:t>
            </w:r>
          </w:p>
        </w:tc>
        <w:tc>
          <w:tcPr>
            <w:tcW w:w="1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(22,929)</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(14,581)</w:t>
            </w:r>
          </w:p>
        </w:tc>
      </w:tr>
      <w:tr>
        <w:trPr>
          <w:trHeight w:val="232"/>
        </w:trPr>
        <w:tc>
          <w:tcPr>
            <w:tcW w:w="72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Expenses related to the proposed acquisition of Campbell Lutyens (c)</w:t>
            </w:r>
          </w:p>
        </w:tc>
        <w:tc>
          <w:tcPr>
            <w:tcW w:w="1160" w:type="dxa"/>
            <w:vAlign w:val="bottom"/>
          </w:tcPr>
          <w:p>
            <w:pPr>
              <w:spacing w:after="0"/>
              <w:rPr>
                <w:sz w:val="20"/>
                <w:szCs w:val="20"/>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8"/>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Amortization and other acquisition-related costs</w:t>
            </w:r>
          </w:p>
        </w:tc>
        <w:tc>
          <w:tcPr>
            <w:tcW w:w="1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(26)</w:t>
            </w:r>
          </w:p>
        </w:tc>
      </w:tr>
      <w:tr>
        <w:trPr>
          <w:trHeight w:val="251"/>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non-compensation expense (d)</w:t>
            </w:r>
          </w:p>
        </w:tc>
        <w:tc>
          <w:tcPr>
            <w:tcW w:w="1160" w:type="dxa"/>
            <w:vAlign w:val="bottom"/>
            <w:tcBorders>
              <w:top w:val="single" w:sz="8" w:color="auto"/>
              <w:bottom w:val="single" w:sz="8" w:color="auto"/>
            </w:tcBorders>
          </w:tcPr>
          <w:p>
            <w:pPr>
              <w:jc w:val="right"/>
              <w:ind w:right="9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148,675</w:t>
            </w:r>
          </w:p>
        </w:tc>
        <w:tc>
          <w:tcPr>
            <w:tcW w:w="1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147,882</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non-compensation expense, as a % of adjusted net revenue (d)</w:t>
            </w:r>
          </w:p>
        </w:tc>
        <w:tc>
          <w:tcPr>
            <w:tcW w:w="1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23.0 %</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87" w:lineRule="exact"/>
        <w:rPr>
          <w:sz w:val="20"/>
          <w:szCs w:val="20"/>
          <w:color w:val="auto"/>
        </w:rPr>
      </w:pPr>
    </w:p>
    <w:p>
      <w:pPr>
        <w:ind w:left="320" w:hanging="317"/>
        <w:spacing w:after="0" w:line="269" w:lineRule="auto"/>
        <w:tabs>
          <w:tab w:leader="none" w:pos="31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the consolidation of noncontrolling interests and similar arrangements are excluded because the Company has no economic interest in such amounts.</w:t>
      </w:r>
    </w:p>
    <w:p>
      <w:pPr>
        <w:ind w:left="320" w:hanging="317"/>
        <w:spacing w:after="0" w:line="269" w:lineRule="auto"/>
        <w:tabs>
          <w:tab w:leader="none" w:pos="31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certain distribution, introducer and management fees paid to third parties, reimbursable deal costs and (provision) benefit for credit losses relating to fees and other receivables that are deemed uncollectible, for which an equal amount is included for purposes of determining adjusted net revenue.</w:t>
      </w:r>
    </w:p>
    <w:p>
      <w:pPr>
        <w:ind w:left="300" w:hanging="297"/>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expenses related to the proposed acquisition of Campbell Lutyens.</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non-compensation expense and adjusted non-compensation expense, as a percentage of adjusted net revenue are non-GAAP measures.</w:t>
      </w:r>
    </w:p>
    <w:p>
      <w:pPr>
        <w:spacing w:after="0" w:line="15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7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15"/>
                <w:szCs w:val="15"/>
                <w:color w:val="auto"/>
              </w:rPr>
            </w:pPr>
          </w:p>
        </w:tc>
      </w:tr>
      <w:tr>
        <w:trPr>
          <w:trHeight w:val="35"/>
        </w:trPr>
        <w:tc>
          <w:tcPr>
            <w:tcW w:w="7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Lazard, Inc. Adjusted Operating Income:</w:t>
            </w:r>
          </w:p>
        </w:tc>
        <w:tc>
          <w:tcPr>
            <w:tcW w:w="10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89,574</w:t>
            </w:r>
          </w:p>
        </w:tc>
        <w:tc>
          <w:tcPr>
            <w:tcW w:w="10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54,635</w:t>
            </w:r>
          </w:p>
        </w:tc>
      </w:tr>
      <w:tr>
        <w:trPr>
          <w:trHeight w:val="25"/>
        </w:trPr>
        <w:tc>
          <w:tcPr>
            <w:tcW w:w="7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0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16"/>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Operating (income) loss related to noncontrolling interests and</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similar arrangements</w:t>
            </w:r>
          </w:p>
        </w:tc>
        <w:tc>
          <w:tcPr>
            <w:tcW w:w="1060" w:type="dxa"/>
            <w:vAlign w:val="bottom"/>
          </w:tcPr>
          <w:p>
            <w:pPr>
              <w:spacing w:after="0"/>
              <w:rPr>
                <w:sz w:val="19"/>
                <w:szCs w:val="19"/>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(1,613)</w:t>
            </w:r>
          </w:p>
        </w:tc>
      </w:tr>
      <w:tr>
        <w:trPr>
          <w:trHeight w:val="25"/>
        </w:trPr>
        <w:tc>
          <w:tcPr>
            <w:tcW w:w="7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10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22,728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20,969</w:t>
            </w:r>
          </w:p>
        </w:tc>
      </w:tr>
      <w:tr>
        <w:trPr>
          <w:trHeight w:val="232"/>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Amortization and other acquisition-related costs</w:t>
            </w:r>
          </w:p>
        </w:tc>
        <w:tc>
          <w:tcPr>
            <w:tcW w:w="106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26</w:t>
            </w:r>
          </w:p>
        </w:tc>
      </w:tr>
      <w:tr>
        <w:trPr>
          <w:trHeight w:val="25"/>
        </w:trPr>
        <w:tc>
          <w:tcPr>
            <w:tcW w:w="7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Gain on sale and deconsolidation of Edgewater</w:t>
            </w:r>
          </w:p>
        </w:tc>
        <w:tc>
          <w:tcPr>
            <w:tcW w:w="10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9"/>
              </w:rPr>
              <w:t>(77,990)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7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Expenses associated with senior management transition</w:t>
            </w:r>
          </w:p>
        </w:tc>
        <w:tc>
          <w:tcPr>
            <w:tcW w:w="1060" w:type="dxa"/>
            <w:vAlign w:val="bottom"/>
          </w:tcPr>
          <w:p>
            <w:pPr>
              <w:spacing w:after="0"/>
              <w:rPr>
                <w:sz w:val="20"/>
                <w:szCs w:val="20"/>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16,658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7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Expenses related to the proposed acquisition of Campbell Lutyens</w:t>
            </w:r>
          </w:p>
        </w:tc>
        <w:tc>
          <w:tcPr>
            <w:tcW w:w="10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operating income (a)</w:t>
            </w:r>
          </w:p>
        </w:tc>
        <w:tc>
          <w:tcPr>
            <w:tcW w:w="1060" w:type="dxa"/>
            <w:vAlign w:val="bottom"/>
            <w:tcBorders>
              <w:top w:val="single" w:sz="8" w:color="auto"/>
              <w:bottom w:val="single" w:sz="8" w:color="auto"/>
            </w:tcBorders>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53,724</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74,017</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income, as a % of adjusted net revenue (a)</w:t>
            </w:r>
          </w:p>
        </w:tc>
        <w:tc>
          <w:tcPr>
            <w:tcW w:w="10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48" w:lineRule="exact"/>
        <w:rPr>
          <w:sz w:val="20"/>
          <w:szCs w:val="20"/>
          <w:color w:val="auto"/>
        </w:rPr>
      </w:pPr>
    </w:p>
    <w:p>
      <w:pPr>
        <w:ind w:left="5540" w:right="2340" w:hanging="5537"/>
        <w:spacing w:after="0" w:line="983" w:lineRule="auto"/>
        <w:tabs>
          <w:tab w:leader="none" w:pos="31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income and adjusted operating income, as a percentage of adjusted net revenue are non-GAAP measures.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51" w:name="page52"/>
    <w:bookmarkEnd w:id="51"/>
    <w:p>
      <w:pPr>
        <w:ind w:left="620"/>
        <w:spacing w:after="0"/>
        <w:rPr>
          <w:sz w:val="20"/>
          <w:szCs w:val="20"/>
          <w:color w:val="auto"/>
        </w:rPr>
      </w:pPr>
      <w:r>
        <w:rPr>
          <w:rFonts w:ascii="Times New Roman" w:cs="Times New Roman" w:eastAsia="Times New Roman" w:hAnsi="Times New Roman"/>
          <w:sz w:val="17"/>
          <w:szCs w:val="17"/>
          <w:color w:val="auto"/>
        </w:rPr>
        <w:t>Headcount information is set forth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700" w:type="dxa"/>
            <w:vAlign w:val="bottom"/>
          </w:tcPr>
          <w:p>
            <w:pPr>
              <w:spacing w:after="0"/>
              <w:rPr>
                <w:sz w:val="15"/>
                <w:szCs w:val="15"/>
                <w:color w:val="auto"/>
              </w:rPr>
            </w:pPr>
          </w:p>
        </w:tc>
      </w:tr>
      <w:tr>
        <w:trPr>
          <w:trHeight w:val="35"/>
        </w:trPr>
        <w:tc>
          <w:tcPr>
            <w:tcW w:w="5960" w:type="dxa"/>
            <w:vAlign w:val="bottom"/>
          </w:tcPr>
          <w:p>
            <w:pPr>
              <w:spacing w:after="0"/>
              <w:rPr>
                <w:sz w:val="3"/>
                <w:szCs w:val="3"/>
                <w:color w:val="auto"/>
              </w:rPr>
            </w:pPr>
          </w:p>
        </w:tc>
        <w:tc>
          <w:tcPr>
            <w:tcW w:w="1800" w:type="dxa"/>
            <w:vAlign w:val="bottom"/>
            <w:tcBorders>
              <w:bottom w:val="single" w:sz="8" w:color="auto"/>
            </w:tcBorders>
            <w:gridSpan w:val="2"/>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177"/>
        </w:trPr>
        <w:tc>
          <w:tcPr>
            <w:tcW w:w="5960" w:type="dxa"/>
            <w:vAlign w:val="bottom"/>
          </w:tcPr>
          <w:p>
            <w:pPr>
              <w:spacing w:after="0"/>
              <w:rPr>
                <w:sz w:val="15"/>
                <w:szCs w:val="15"/>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7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5"/>
        </w:trPr>
        <w:tc>
          <w:tcPr>
            <w:tcW w:w="596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1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Headcount:</w:t>
            </w: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32"/>
        </w:trPr>
        <w:tc>
          <w:tcPr>
            <w:tcW w:w="5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Managing Directors: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8"/>
        </w:trPr>
        <w:tc>
          <w:tcPr>
            <w:tcW w:w="5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Financial Advisory</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32"/>
        </w:trPr>
        <w:tc>
          <w:tcPr>
            <w:tcW w:w="59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Asset Management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5"/>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5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Corporate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5"/>
        </w:trPr>
        <w:tc>
          <w:tcPr>
            <w:tcW w:w="59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Managing Directors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8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5"/>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8"/>
        </w:trPr>
        <w:tc>
          <w:tcPr>
            <w:tcW w:w="5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Business Segment Professionals and Support Staff:</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32"/>
        </w:trPr>
        <w:tc>
          <w:tcPr>
            <w:tcW w:w="59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Financial Advisory</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w:t>
            </w:r>
          </w:p>
        </w:tc>
      </w:tr>
      <w:tr>
        <w:trPr>
          <w:trHeight w:val="25"/>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8"/>
        </w:trPr>
        <w:tc>
          <w:tcPr>
            <w:tcW w:w="5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Asset Management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w:t>
            </w:r>
          </w:p>
        </w:tc>
      </w:tr>
      <w:tr>
        <w:trPr>
          <w:trHeight w:val="232"/>
        </w:trPr>
        <w:tc>
          <w:tcPr>
            <w:tcW w:w="59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Corporate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5"/>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76"/>
        </w:trPr>
        <w:tc>
          <w:tcPr>
            <w:tcW w:w="5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3,293</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3,309</w:t>
            </w:r>
          </w:p>
        </w:tc>
        <w:tc>
          <w:tcPr>
            <w:tcW w:w="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Lazard, Inc. Operating Results</w:t>
      </w:r>
    </w:p>
    <w:p>
      <w:pPr>
        <w:spacing w:after="0" w:line="11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2026 versus March 31, 2025</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reported net income attributable to Lazard of $101 million, as compared to net income attributable to Lazard of $60 million in the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Net revenue increased $109 million, or 17%, with adjusted net revenue increasing $30 million, or 5%, as compared to the 2025 period. Investment banking and other advisory fees decreased $3 million, or 1%, as compared to the 2025 period. Asset management fees, including incentive fees, increased $63 million, or 24%, as compared to the 2025 period. In the aggregate, interest income, other revenue and interest expense increased $49 million as compared to the 2025 period, primarily due to a non-cash gain of $78 million on the sale and deconsolidation of the Edgewater management vehicles in the 2026 period.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Compensation and benefits expense increased $62 million, or 14%, as compared to the 2025 period.</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Adjusted compensation and benefits expense (which excludes certain items and which we believe allows for improved comparability between periods, as described above) was $471 million, an increase of $49 million, or 12%, as compared to $421 million in the 2025 period. The ratio of adjusted compensation and benefits expense to adjusted net revenue was 69.9% for the 2026 period, as compared to 65.5% for the 2025 period.</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Non-compensation expense increased $12 million, or 7%, as compared to the 2025 period. Adjusted non-compensation expense increased $1 million, or 1%, as compared to the 2025 period. Such increases in non-compensation expense and adjusted non-compensation expense were primarily due to increased fund administration and outsourced services expenses. The ratio of adjusted non-compensation expense to adjusted net revenue was 22.1% for the 2026 period, as compared to 23.0% for the 2025 period.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income increased $35 million, or 64%, as compared to the 2025 period.</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Adjusted operating income decreased $20 million, or 27%, as compared to the 2025 period, and, as a percentage of adjusted net revenue, was 8.0% for the 2026 period, as compared to 11.5% in the 2025 period.</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benefit for income taxes reflects an effective tax rate of (12.3)%, as compared to (13.5)% for the 2025 period. The change in the effective tax rate principally relates to the impact of discrete tax benefits for share-based incentive compensation awards and changes in the geographic mix of earnings.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color w:val="auto"/>
        </w:rPr>
        <w:t>Net income attributable to noncontrolling interests was a loss of $0.4 million in the 2026 period as compared to income of $2 million in the 2025 period.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additional discussion of the drivers of our adjusted operating results for the period, see “Business Segments” below.</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is a discussion of net revenue, adjusted net revenue, adjusted compensation and benefits expense, adjusted non-compensation expense, and adjusted operating income (loss) for the Company’s segments: Financial Advisory, Asset Management and Corporate. Adjusted compensation and benefits expense and adjusted non-compensation expense include costs directly incurred by each segment, with certain adjustments.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Adjusted net revenue, adjusted operating income (loss), and adjusted operating income as a percentage of adjusted net revenue, are non-GAAP measures in the tables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Advisory</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adjusted operating results attributable to the Financial Advisory segment:</w:t>
      </w:r>
    </w:p>
    <w:p>
      <w:pPr>
        <w:spacing w:after="0" w:line="15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7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15"/>
                <w:szCs w:val="15"/>
                <w:color w:val="auto"/>
              </w:rPr>
            </w:pPr>
          </w:p>
        </w:tc>
      </w:tr>
      <w:tr>
        <w:trPr>
          <w:trHeight w:val="35"/>
        </w:trPr>
        <w:tc>
          <w:tcPr>
            <w:tcW w:w="7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 - U.S. GAAP basis</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7"/>
              </w:rPr>
              <w:t>359,568</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367,359</w:t>
            </w: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Reimbursable deal costs, (provision) benefit for credit losses and other</w:t>
            </w:r>
          </w:p>
        </w:tc>
        <w:tc>
          <w:tcPr>
            <w:tcW w:w="10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(3,399)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2,181</w:t>
            </w:r>
          </w:p>
        </w:tc>
      </w:tr>
      <w:tr>
        <w:trPr>
          <w:trHeight w:val="232"/>
        </w:trPr>
        <w:tc>
          <w:tcPr>
            <w:tcW w:w="7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10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w:t>
            </w:r>
          </w:p>
        </w:tc>
      </w:tr>
      <w:tr>
        <w:trPr>
          <w:trHeight w:val="25"/>
        </w:trPr>
        <w:tc>
          <w:tcPr>
            <w:tcW w:w="7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adjustments (a)</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(3,399)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2,184</w:t>
            </w: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revenue (b)</w:t>
            </w:r>
          </w:p>
        </w:tc>
        <w:tc>
          <w:tcPr>
            <w:tcW w:w="10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97"/>
              </w:rPr>
              <w:t>356,169</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369,543</w:t>
            </w:r>
          </w:p>
        </w:tc>
      </w:tr>
      <w:tr>
        <w:trPr>
          <w:trHeight w:val="25"/>
        </w:trPr>
        <w:tc>
          <w:tcPr>
            <w:tcW w:w="7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compensation and benefits expense</w:t>
            </w:r>
          </w:p>
        </w:tc>
        <w:tc>
          <w:tcPr>
            <w:tcW w:w="10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7"/>
              </w:rPr>
              <w:t>269,947</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239,968</w:t>
            </w: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non-compensation expense</w:t>
            </w:r>
          </w:p>
        </w:tc>
        <w:tc>
          <w:tcPr>
            <w:tcW w:w="1040" w:type="dxa"/>
            <w:vAlign w:val="bottom"/>
          </w:tcPr>
          <w:p>
            <w:pPr>
              <w:spacing w:after="0"/>
              <w:rPr>
                <w:sz w:val="20"/>
                <w:szCs w:val="20"/>
                <w:color w:val="auto"/>
              </w:rPr>
            </w:pP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51,085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52,561</w:t>
            </w:r>
          </w:p>
        </w:tc>
      </w:tr>
      <w:tr>
        <w:trPr>
          <w:trHeight w:val="25"/>
        </w:trPr>
        <w:tc>
          <w:tcPr>
            <w:tcW w:w="7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income (b)</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35,137</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77,014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operating income, as a % of adjusted net revenue (b)</w:t>
            </w:r>
          </w:p>
        </w:tc>
        <w:tc>
          <w:tcPr>
            <w:tcW w:w="10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20.8 %</w:t>
            </w:r>
          </w:p>
        </w:tc>
      </w:tr>
      <w:tr>
        <w:trPr>
          <w:trHeight w:val="20"/>
        </w:trPr>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99" w:lineRule="exact"/>
        <w:rPr>
          <w:sz w:val="20"/>
          <w:szCs w:val="20"/>
          <w:color w:val="auto"/>
        </w:rPr>
      </w:pPr>
    </w:p>
    <w:p>
      <w:pPr>
        <w:ind w:left="320" w:hanging="317"/>
        <w:spacing w:after="0" w:line="263" w:lineRule="auto"/>
        <w:tabs>
          <w:tab w:leader="none" w:pos="31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adjustments equal the “other segment items” in Note 19 of Notes to Condensed Consolidated Financial Statements. See “Consolidated Results of Operations” above for further information on the adjustments.</w:t>
      </w:r>
    </w:p>
    <w:p>
      <w:pPr>
        <w:ind w:left="300" w:hanging="297"/>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revenue, adjusted operating income, and adjusted operating income as a percentage of adjusted net revenue are non-GAAP measures.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Lazard fee and transaction statistics for the Financial Advisory segment are set forth below:</w:t>
      </w:r>
    </w:p>
    <w:p>
      <w:pPr>
        <w:spacing w:after="0" w:line="157"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1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1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Lazard Statistics:</w:t>
            </w:r>
          </w:p>
        </w:tc>
        <w:tc>
          <w:tcPr>
            <w:tcW w:w="1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32"/>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Number of clients with fees greater than $1 million: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8"/>
        </w:trPr>
        <w:tc>
          <w:tcPr>
            <w:tcW w:w="8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Financial Advisory</w:t>
            </w:r>
          </w:p>
        </w:tc>
        <w:tc>
          <w:tcPr>
            <w:tcW w:w="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rPr>
              <w:t>82</w:t>
            </w:r>
          </w:p>
        </w:tc>
      </w:tr>
      <w:tr>
        <w:trPr>
          <w:trHeight w:val="216"/>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Percentage of total Financial Advisory net revenue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3"/>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from top 10 clients</w:t>
            </w:r>
          </w:p>
        </w:tc>
        <w:tc>
          <w:tcPr>
            <w:tcW w:w="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Pr>
          <w:p>
            <w:pPr>
              <w:spacing w:after="0"/>
              <w:rPr>
                <w:sz w:val="19"/>
                <w:szCs w:val="19"/>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34 %</w:t>
            </w:r>
          </w:p>
        </w:tc>
      </w:tr>
      <w:tr>
        <w:trPr>
          <w:trHeight w:val="25"/>
        </w:trPr>
        <w:tc>
          <w:tcPr>
            <w:tcW w:w="7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6"/>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M&amp;A transactions completed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3"/>
        </w:trPr>
        <w:tc>
          <w:tcPr>
            <w:tcW w:w="8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values greater than $500 million (a)</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rPr>
              <w:t>20</w:t>
            </w:r>
          </w:p>
        </w:tc>
      </w:tr>
      <w:tr>
        <w:trPr>
          <w:trHeight w:val="25"/>
        </w:trPr>
        <w:tc>
          <w:tcPr>
            <w:tcW w:w="7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Source: Dealogic as of April 2, 2026.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geographical distribution of Financial Advisory adjusted net revenue is set forth below in percentage terms and is based on the Lazard offices that generate Financial Advisory adjusted net revenue and therefore may not be reflective of the geography in which the clients are located.</w:t>
      </w:r>
    </w:p>
    <w:p>
      <w:pPr>
        <w:spacing w:after="0" w:line="195"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12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31"/>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r>
      <w:tr>
        <w:trPr>
          <w:trHeight w:val="232"/>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18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33</w:t>
            </w:r>
          </w:p>
        </w:tc>
      </w:tr>
      <w:tr>
        <w:trPr>
          <w:trHeight w:val="25"/>
        </w:trPr>
        <w:tc>
          <w:tcPr>
            <w:tcW w:w="7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w:t>
            </w:r>
          </w:p>
        </w:tc>
      </w:tr>
      <w:tr>
        <w:trPr>
          <w:trHeight w:val="251"/>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managing directors and many of its professionals have significant experience, and many of them are able to use this experience to advise on a combination of M&amp;A, restructuring and other strategic advisory matters, depending on clients’ needs. This adaptability enables Lazard to more effectively deploy its professionals based on the often counter-cyclical nature of restructuring as compared to our M&amp;A business. While Lazard measures revenue by practice area, Lazard does not separately measure the costs or profitability of M&amp;A services as compared to restructuring or other services. Accordingly, Lazard measures performance in its Financial Advisory segment based on overall segment adjusted net revenue and adjusted operating income margins.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Advisory Results of Operations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2026 versus March 31, 2025</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Financial Advisory net revenue decreased $8 million, or 2%, as compared to the 2025 period. Financial Advisory adjusted net revenue decreased $13 million, or 4%, as compared to the 2025 period. The decreases in Financial Advisory net revenue and adjusted net revenue were primarily attributable to the completion of fewer transactions as compared to the 2025 period.</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Adjusted compensation and benefits expense increased $30 million, or 12%, as compared to the 2025 period driven by our ongoing investment in strategic senior hires.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Adjusted non-compensation expense decreased $1 million, or 3%, as compared to the 2025 period.</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Adjusted operating income was $35 million, a decrease of $42 million, or 54%, as compared to adjusted operating income of $77 million in the 2025 period, and, as a percentage of adjusted net revenue, was 9.9%, as compared to 20.8% in the 2025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 Management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Assets Under Management</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AUM primarily consists of debt and equity instruments, which have a value that is readily available based on either prices quoted on a recognized exchange or prices provided by external pricing services.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Prices of equity and debt securities and other instruments that comprise our AUM are provided by independent, third-party vendors. Such third-party vendors rely on prices provided by external pricing services which are obtained from recognized exchanges or markets, or, for certain fixed income securities, from evaluated bids or other similarly sourced prices.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Either directly, or through our third-party vendors, we perform a variety of regular due diligence procedures on our pricing service providers.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shows the composition of AUM for the Asset Management segment (see Item 1, “Business—Principal Business Lines—Asset Management—Investment Strategies” in our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20" w:type="dxa"/>
            <w:vAlign w:val="bottom"/>
          </w:tcPr>
          <w:p>
            <w:pPr>
              <w:spacing w:after="0"/>
              <w:rPr>
                <w:sz w:val="15"/>
                <w:szCs w:val="15"/>
                <w:color w:val="auto"/>
              </w:rPr>
            </w:pPr>
          </w:p>
        </w:tc>
      </w:tr>
      <w:tr>
        <w:trPr>
          <w:trHeight w:val="35"/>
        </w:trPr>
        <w:tc>
          <w:tcPr>
            <w:tcW w:w="7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77"/>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w w:val="99"/>
              </w:rPr>
              <w:t>December 31, 2025 (a)</w:t>
            </w:r>
          </w:p>
        </w:tc>
      </w:tr>
      <w:tr>
        <w:trPr>
          <w:trHeight w:val="35"/>
        </w:trPr>
        <w:tc>
          <w:tcPr>
            <w:tcW w:w="7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gridSpan w:val="5"/>
          </w:tcPr>
          <w:p>
            <w:pPr>
              <w:spacing w:after="0"/>
              <w:rPr>
                <w:sz w:val="3"/>
                <w:szCs w:val="3"/>
                <w:color w:val="auto"/>
              </w:rPr>
            </w:pPr>
          </w:p>
        </w:tc>
      </w:tr>
      <w:tr>
        <w:trPr>
          <w:trHeight w:val="177"/>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5"/>
          </w:tcPr>
          <w:p>
            <w:pPr>
              <w:jc w:val="right"/>
              <w:ind w:right="1336"/>
              <w:spacing w:after="0"/>
              <w:rPr>
                <w:sz w:val="20"/>
                <w:szCs w:val="20"/>
                <w:color w:val="auto"/>
              </w:rPr>
            </w:pPr>
            <w:r>
              <w:rPr>
                <w:rFonts w:ascii="Times New Roman" w:cs="Times New Roman" w:eastAsia="Times New Roman" w:hAnsi="Times New Roman"/>
                <w:sz w:val="14"/>
                <w:szCs w:val="14"/>
                <w:b w:val="1"/>
                <w:bCs w:val="1"/>
                <w:color w:val="auto"/>
              </w:rPr>
              <w:t>($ in millions)</w:t>
            </w:r>
          </w:p>
        </w:tc>
      </w:tr>
      <w:tr>
        <w:trPr>
          <w:trHeight w:val="35"/>
        </w:trPr>
        <w:tc>
          <w:tcPr>
            <w:tcW w:w="7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AUM by Asset Class:</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2"/>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Emerging Markets</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43,786</w:t>
            </w:r>
          </w:p>
        </w:tc>
        <w:tc>
          <w:tcPr>
            <w:tcW w:w="38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41,146</w:t>
            </w:r>
          </w:p>
        </w:tc>
      </w:tr>
      <w:tr>
        <w:trPr>
          <w:trHeight w:val="232"/>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Global / International</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124,432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117,746</w:t>
            </w:r>
          </w:p>
        </w:tc>
      </w:tr>
      <w:tr>
        <w:trPr>
          <w:trHeight w:val="25"/>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8"/>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24,831</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25,580</w:t>
            </w:r>
          </w:p>
        </w:tc>
      </w:tr>
      <w:tr>
        <w:trPr>
          <w:trHeight w:val="225"/>
        </w:trPr>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193,049</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184,472</w:t>
            </w:r>
          </w:p>
        </w:tc>
      </w:tr>
      <w:tr>
        <w:trPr>
          <w:trHeight w:val="25"/>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Fixed Income</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34,423</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35,065</w:t>
            </w:r>
          </w:p>
        </w:tc>
      </w:tr>
      <w:tr>
        <w:trPr>
          <w:trHeight w:val="232"/>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Multi Asset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24,783</w:t>
            </w:r>
          </w:p>
        </w:tc>
      </w:tr>
      <w:tr>
        <w:trPr>
          <w:trHeight w:val="25"/>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Alternative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9,980</w:t>
            </w:r>
          </w:p>
        </w:tc>
      </w:tr>
      <w:tr>
        <w:trPr>
          <w:trHeight w:val="251"/>
        </w:trPr>
        <w:tc>
          <w:tcPr>
            <w:tcW w:w="7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AUM</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259,187</w:t>
            </w:r>
          </w:p>
        </w:tc>
        <w:tc>
          <w:tcPr>
            <w:tcW w:w="6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254,300</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99" w:lineRule="exact"/>
        <w:rPr>
          <w:sz w:val="20"/>
          <w:szCs w:val="20"/>
          <w:color w:val="auto"/>
        </w:rPr>
      </w:pPr>
    </w:p>
    <w:p>
      <w:pPr>
        <w:ind w:left="320" w:hanging="317"/>
        <w:spacing w:after="0" w:line="287" w:lineRule="auto"/>
        <w:tabs>
          <w:tab w:leader="none" w:pos="31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2026, AUM asset classes have been expanded to include a multi asset classification. The comparable prior period information has been recast to reflect the current presentation.</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Total AUM at March 31, 2026 was $259 billion, an increase of $5 billion, or 2%, as compared to total AUM of $254 billion at December 31, 2025 primarily due to net inflows, partially offset by foreign exchange depreciation and the sale and deconsolidation of the Edgewater management vehicles. Average AUM for the first quarter of 2026 increased 15% as compared to the first quarter of 2025, and increased 2% as compared to the fourth quarter of 2025.</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of both March 31, 2026 and December 31, 2025, approximately 46% of our AUM was managed on behalf of institutional clients, including corporations, labor unions, pension funds, insurance companies, Endowments and Foundations (E&amp;F)/Healthcare and also includes certain Family Office clients. As of March 31, 2026, approximately 45% of our AUM was managed on behalf of financial intermediary clients, including banks, mutual fund sponsors, sub-advisory relationships, broker-dealers, wealth platforms, registered investment advisors (RIAs), and other investors in pooled vehicles as compared to approximately 44% as of December 31, 2025. As of March 31, 2026, approximately 9% of our AUM was managed on behalf of individual client relationships, compared to approximately 10% as of December 31, 2025.</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both March 31, 2026 and December 31, 2025, AUM with foreign currency exposure represented approximately 67% of our total AUM. AUM with foreign currency exposure generally declines in value with the strengthening of the U.S. Dollar and increases in value as the U.S. Dollar weakens, with all other factors held constant.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changes in AUM by asset class for the three month periods ended March 31, 2026 and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 2026 (b)</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Acquisitions/Divestitures</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18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5"/>
              </w:rPr>
              <w:t>AUM</w:t>
            </w: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Appreciation/</w:t>
            </w:r>
          </w:p>
        </w:tc>
        <w:tc>
          <w:tcPr>
            <w:tcW w:w="180" w:type="dxa"/>
            <w:vAlign w:val="bottom"/>
          </w:tcPr>
          <w:p>
            <w:pPr>
              <w:spacing w:after="0"/>
              <w:rPr>
                <w:sz w:val="13"/>
                <w:szCs w:val="13"/>
                <w:color w:val="auto"/>
              </w:rPr>
            </w:pPr>
          </w:p>
        </w:tc>
        <w:tc>
          <w:tcPr>
            <w:tcW w:w="820" w:type="dxa"/>
            <w:vAlign w:val="bottom"/>
          </w:tcPr>
          <w:p>
            <w:pPr>
              <w:jc w:val="center"/>
              <w:ind w:right="101"/>
              <w:spacing w:after="0" w:line="155"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320" w:type="dxa"/>
            <w:vAlign w:val="bottom"/>
          </w:tcPr>
          <w:p>
            <w:pPr>
              <w:spacing w:after="0"/>
              <w:rPr>
                <w:sz w:val="16"/>
                <w:szCs w:val="16"/>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(Depreciation)</w:t>
            </w:r>
          </w:p>
        </w:tc>
        <w:tc>
          <w:tcPr>
            <w:tcW w:w="180" w:type="dxa"/>
            <w:vAlign w:val="bottom"/>
          </w:tcPr>
          <w:p>
            <w:pPr>
              <w:spacing w:after="0"/>
              <w:rPr>
                <w:sz w:val="16"/>
                <w:szCs w:val="16"/>
                <w:color w:val="auto"/>
              </w:rPr>
            </w:pPr>
          </w:p>
        </w:tc>
        <w:tc>
          <w:tcPr>
            <w:tcW w:w="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
        </w:trPr>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184,472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8,860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193,049</w:t>
            </w:r>
          </w:p>
        </w:tc>
        <w:tc>
          <w:tcPr>
            <w:tcW w:w="0" w:type="dxa"/>
            <w:vAlign w:val="bottom"/>
          </w:tcPr>
          <w:p>
            <w:pPr>
              <w:spacing w:after="0"/>
              <w:rPr>
                <w:sz w:val="1"/>
                <w:szCs w:val="1"/>
                <w:color w:val="auto"/>
              </w:rPr>
            </w:pPr>
          </w:p>
        </w:tc>
      </w:tr>
      <w:tr>
        <w:trPr>
          <w:trHeight w:val="232"/>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w:t>
            </w:r>
          </w:p>
        </w:tc>
        <w:tc>
          <w:tcPr>
            <w:tcW w:w="1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35,065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34,423</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Multi Asset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24,783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w:t>
            </w:r>
          </w:p>
        </w:tc>
        <w:tc>
          <w:tcPr>
            <w:tcW w:w="0" w:type="dxa"/>
            <w:vAlign w:val="bottom"/>
          </w:tcPr>
          <w:p>
            <w:pPr>
              <w:spacing w:after="0"/>
              <w:rPr>
                <w:sz w:val="1"/>
                <w:szCs w:val="1"/>
                <w:color w:val="auto"/>
              </w:rPr>
            </w:pPr>
          </w:p>
        </w:tc>
      </w:tr>
      <w:tr>
        <w:trPr>
          <w:trHeight w:val="232"/>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Alternative Investments</w:t>
            </w:r>
          </w:p>
        </w:tc>
        <w:tc>
          <w:tcPr>
            <w:tcW w:w="1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9,980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0" w:type="dxa"/>
            <w:vAlign w:val="bottom"/>
          </w:tcPr>
          <w:p>
            <w:pPr>
              <w:spacing w:after="0"/>
              <w:rPr>
                <w:sz w:val="1"/>
                <w:szCs w:val="1"/>
                <w:color w:val="auto"/>
              </w:rPr>
            </w:pPr>
          </w:p>
        </w:tc>
      </w:tr>
      <w:tr>
        <w:trPr>
          <w:trHeight w:val="25"/>
        </w:trPr>
        <w:tc>
          <w:tcPr>
            <w:tcW w:w="2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254,300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9,005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259,187</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Related to the sale and deconsolidation of the Edgewater management vehicles.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5" w:name="page56"/>
    <w:bookmarkEnd w:id="55"/>
    <w:p>
      <w:pPr>
        <w:ind w:left="320" w:hanging="317"/>
        <w:spacing w:after="0" w:line="287" w:lineRule="auto"/>
        <w:tabs>
          <w:tab w:leader="none" w:pos="31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2026, AUM asset classes have been expanded to include a multi asset classification. The comparable prior period information has been recast to reflect the current presentation.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flows were primarily driven by the Global/International and Emerging Markets Equity platforms.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 2025 (a)</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
        </w:trPr>
        <w:tc>
          <w:tcPr>
            <w:tcW w:w="2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49"/>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AUM</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180" w:type="dxa"/>
            <w:vAlign w:val="bottom"/>
          </w:tcPr>
          <w:p>
            <w:pPr>
              <w:spacing w:after="0"/>
              <w:rPr>
                <w:sz w:val="14"/>
                <w:szCs w:val="14"/>
                <w:color w:val="auto"/>
              </w:rPr>
            </w:pPr>
          </w:p>
        </w:tc>
        <w:tc>
          <w:tcPr>
            <w:tcW w:w="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5"/>
              </w:rPr>
              <w:t>AUM</w:t>
            </w:r>
          </w:p>
        </w:tc>
      </w:tr>
      <w:tr>
        <w:trPr>
          <w:trHeight w:val="155"/>
        </w:trPr>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6"/>
              </w:rPr>
              <w:t>Appreciation/</w:t>
            </w:r>
          </w:p>
        </w:tc>
        <w:tc>
          <w:tcPr>
            <w:tcW w:w="180" w:type="dxa"/>
            <w:vAlign w:val="bottom"/>
          </w:tcPr>
          <w:p>
            <w:pPr>
              <w:spacing w:after="0"/>
              <w:rPr>
                <w:sz w:val="13"/>
                <w:szCs w:val="13"/>
                <w:color w:val="auto"/>
              </w:rPr>
            </w:pPr>
          </w:p>
        </w:tc>
        <w:tc>
          <w:tcPr>
            <w:tcW w:w="800" w:type="dxa"/>
            <w:vAlign w:val="bottom"/>
          </w:tcPr>
          <w:p>
            <w:pPr>
              <w:jc w:val="center"/>
              <w:ind w:right="101"/>
              <w:spacing w:after="0" w:line="155" w:lineRule="exact"/>
              <w:rPr>
                <w:sz w:val="20"/>
                <w:szCs w:val="20"/>
                <w:color w:val="auto"/>
              </w:rPr>
            </w:pPr>
            <w:r>
              <w:rPr>
                <w:rFonts w:ascii="Times New Roman" w:cs="Times New Roman" w:eastAsia="Times New Roman" w:hAnsi="Times New Roman"/>
                <w:sz w:val="14"/>
                <w:szCs w:val="14"/>
                <w:b w:val="1"/>
                <w:bCs w:val="1"/>
                <w:color w:val="auto"/>
                <w:w w:val="96"/>
              </w:rPr>
              <w:t>Ending</w:t>
            </w:r>
          </w:p>
        </w:tc>
      </w:tr>
      <w:tr>
        <w:trPr>
          <w:trHeight w:val="195"/>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Acquisitions/Divestitures</w:t>
            </w:r>
          </w:p>
        </w:tc>
        <w:tc>
          <w:tcPr>
            <w:tcW w:w="1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(Depreciation)</w:t>
            </w:r>
          </w:p>
        </w:tc>
        <w:tc>
          <w:tcPr>
            <w:tcW w:w="180" w:type="dxa"/>
            <w:vAlign w:val="bottom"/>
          </w:tcPr>
          <w:p>
            <w:pPr>
              <w:spacing w:after="0"/>
              <w:rPr>
                <w:sz w:val="16"/>
                <w:szCs w:val="16"/>
                <w:color w:val="auto"/>
              </w:rPr>
            </w:pP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6"/>
              </w:rPr>
              <w:t>Balance</w:t>
            </w:r>
          </w:p>
        </w:tc>
      </w:tr>
      <w:tr>
        <w:trPr>
          <w:trHeight w:val="35"/>
        </w:trPr>
        <w:tc>
          <w:tcPr>
            <w:tcW w:w="2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7"/>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
        </w:trPr>
        <w:tc>
          <w:tcPr>
            <w:tcW w:w="2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162,901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2,223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163,330</w:t>
            </w:r>
          </w:p>
        </w:tc>
      </w:tr>
      <w:tr>
        <w:trPr>
          <w:trHeight w:val="232"/>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w:t>
            </w:r>
          </w:p>
        </w:tc>
        <w:tc>
          <w:tcPr>
            <w:tcW w:w="1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32,730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891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32,287</w:t>
            </w:r>
          </w:p>
        </w:tc>
      </w:tr>
      <w:tr>
        <w:trPr>
          <w:trHeight w:val="25"/>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Multi Asset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22,133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725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22,990</w:t>
            </w:r>
          </w:p>
        </w:tc>
      </w:tr>
      <w:tr>
        <w:trPr>
          <w:trHeight w:val="232"/>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Alternative Investments</w:t>
            </w:r>
          </w:p>
        </w:tc>
        <w:tc>
          <w:tcPr>
            <w:tcW w:w="1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8,557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8,820</w:t>
            </w:r>
          </w:p>
        </w:tc>
      </w:tr>
      <w:tr>
        <w:trPr>
          <w:trHeight w:val="25"/>
        </w:trPr>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1"/>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226,321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3,940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227,427</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112" w:lineRule="exact"/>
        <w:rPr>
          <w:sz w:val="20"/>
          <w:szCs w:val="20"/>
          <w:color w:val="auto"/>
        </w:rPr>
      </w:pPr>
    </w:p>
    <w:p>
      <w:pPr>
        <w:ind w:left="320" w:hanging="317"/>
        <w:spacing w:after="0" w:line="287" w:lineRule="auto"/>
        <w:tabs>
          <w:tab w:leader="none" w:pos="31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2026, AUM asset classes have been expanded to include a multi asset classification. The comparable prior period information has been recast to reflect the current presentation.</w:t>
      </w:r>
    </w:p>
    <w:p>
      <w:pPr>
        <w:spacing w:after="0" w:line="4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Average AUM for the three month periods ended March 31, 2026 and 2025 for each significant asset class is set forth below. Average AUM generally represents the average of the monthly ending AUM balances for the period.</w:t>
      </w:r>
    </w:p>
    <w:p>
      <w:pPr>
        <w:spacing w:after="0" w:line="195"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 (a)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7"/>
        </w:trPr>
        <w:tc>
          <w:tcPr>
            <w:tcW w:w="7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160" w:type="dxa"/>
            <w:vAlign w:val="bottom"/>
          </w:tcPr>
          <w:p>
            <w:pPr>
              <w:spacing w:after="0"/>
              <w:rPr>
                <w:sz w:val="15"/>
                <w:szCs w:val="15"/>
                <w:color w:val="auto"/>
              </w:rPr>
            </w:pPr>
          </w:p>
        </w:tc>
      </w:tr>
      <w:tr>
        <w:trPr>
          <w:trHeight w:val="35"/>
        </w:trPr>
        <w:tc>
          <w:tcPr>
            <w:tcW w:w="7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Average AUM by Asset Class:</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2"/>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Equity</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197,043</w:t>
            </w:r>
          </w:p>
        </w:tc>
        <w:tc>
          <w:tcPr>
            <w:tcW w:w="80" w:type="dxa"/>
            <w:vAlign w:val="bottom"/>
          </w:tcPr>
          <w:p>
            <w:pPr>
              <w:spacing w:after="0"/>
              <w:rPr>
                <w:sz w:val="20"/>
                <w:szCs w:val="20"/>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166,182</w:t>
            </w: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Fixed Income</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33,257</w:t>
            </w:r>
          </w:p>
        </w:tc>
      </w:tr>
      <w:tr>
        <w:trPr>
          <w:trHeight w:val="232"/>
        </w:trPr>
        <w:tc>
          <w:tcPr>
            <w:tcW w:w="77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Multi Asset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22,640</w:t>
            </w: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Alternative Investments</w:t>
            </w: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w:t>
            </w:r>
          </w:p>
        </w:tc>
      </w:tr>
      <w:tr>
        <w:trPr>
          <w:trHeight w:val="251"/>
        </w:trPr>
        <w:tc>
          <w:tcPr>
            <w:tcW w:w="7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Average AUM</w:t>
            </w: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265,520</w:t>
            </w:r>
          </w:p>
        </w:tc>
        <w:tc>
          <w:tcPr>
            <w:tcW w:w="8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230,787</w:t>
            </w: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112" w:lineRule="exact"/>
        <w:rPr>
          <w:sz w:val="20"/>
          <w:szCs w:val="20"/>
          <w:color w:val="auto"/>
        </w:rPr>
      </w:pPr>
    </w:p>
    <w:p>
      <w:pPr>
        <w:ind w:left="320" w:hanging="317"/>
        <w:spacing w:after="0" w:line="287" w:lineRule="auto"/>
        <w:tabs>
          <w:tab w:leader="none" w:pos="3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2026, AUM asset classes have been expanded to include a multi asset classification. The comparable prior period information has been recast to reflect the current presentation.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adjusted operating results attributable to the Asset Management segment:</w:t>
      </w:r>
    </w:p>
    <w:p>
      <w:pPr>
        <w:spacing w:after="0" w:line="15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7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15"/>
                <w:szCs w:val="15"/>
                <w:color w:val="auto"/>
              </w:rPr>
            </w:pPr>
          </w:p>
        </w:tc>
      </w:tr>
      <w:tr>
        <w:trPr>
          <w:trHeight w:val="35"/>
        </w:trPr>
        <w:tc>
          <w:tcPr>
            <w:tcW w:w="7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 - U.S. GAAP basis</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409,763</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288,100</w:t>
            </w: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 related to noncontrolling interests and similar arrangements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(3,446)</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(6,850)</w:t>
            </w:r>
          </w:p>
        </w:tc>
      </w:tr>
      <w:tr>
        <w:trPr>
          <w:trHeight w:val="232"/>
        </w:trPr>
        <w:tc>
          <w:tcPr>
            <w:tcW w:w="7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Distribution fees and other</w:t>
            </w:r>
          </w:p>
        </w:tc>
        <w:tc>
          <w:tcPr>
            <w:tcW w:w="440" w:type="dxa"/>
            <w:vAlign w:val="bottom"/>
          </w:tcPr>
          <w:p>
            <w:pPr>
              <w:spacing w:after="0"/>
              <w:rPr>
                <w:sz w:val="20"/>
                <w:szCs w:val="20"/>
                <w:color w:val="auto"/>
              </w:rPr>
            </w:pPr>
          </w:p>
        </w:tc>
        <w:tc>
          <w:tcPr>
            <w:tcW w:w="13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(19,530)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(16,762)</w:t>
            </w:r>
          </w:p>
        </w:tc>
      </w:tr>
      <w:tr>
        <w:trPr>
          <w:trHeight w:val="25"/>
        </w:trPr>
        <w:tc>
          <w:tcPr>
            <w:tcW w:w="7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w:t>
            </w:r>
          </w:p>
        </w:tc>
      </w:tr>
      <w:tr>
        <w:trPr>
          <w:trHeight w:val="232"/>
        </w:trPr>
        <w:tc>
          <w:tcPr>
            <w:tcW w:w="7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Gain on sale and deconsolidation of Edgewater (a)</w:t>
            </w:r>
          </w:p>
        </w:tc>
        <w:tc>
          <w:tcPr>
            <w:tcW w:w="440" w:type="dxa"/>
            <w:vAlign w:val="bottom"/>
          </w:tcPr>
          <w:p>
            <w:pPr>
              <w:spacing w:after="0"/>
              <w:rPr>
                <w:sz w:val="20"/>
                <w:szCs w:val="20"/>
                <w:color w:val="auto"/>
              </w:rPr>
            </w:pPr>
          </w:p>
        </w:tc>
        <w:tc>
          <w:tcPr>
            <w:tcW w:w="13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(77,990)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adjustments (b)</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(100,925)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(23,606)</w:t>
            </w: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revenue (c)</w:t>
            </w: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308,838</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264,494</w:t>
            </w:r>
          </w:p>
        </w:tc>
      </w:tr>
      <w:tr>
        <w:trPr>
          <w:trHeight w:val="25"/>
        </w:trPr>
        <w:tc>
          <w:tcPr>
            <w:tcW w:w="7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compensation and benefits expense</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160,392</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142,827</w:t>
            </w: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non-compensation expense</w:t>
            </w:r>
          </w:p>
        </w:tc>
        <w:tc>
          <w:tcPr>
            <w:tcW w:w="440" w:type="dxa"/>
            <w:vAlign w:val="bottom"/>
          </w:tcPr>
          <w:p>
            <w:pPr>
              <w:spacing w:after="0"/>
              <w:rPr>
                <w:sz w:val="20"/>
                <w:szCs w:val="20"/>
                <w:color w:val="auto"/>
              </w:rPr>
            </w:pPr>
          </w:p>
        </w:tc>
        <w:tc>
          <w:tcPr>
            <w:tcW w:w="138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63,803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59,211</w:t>
            </w:r>
          </w:p>
        </w:tc>
      </w:tr>
      <w:tr>
        <w:trPr>
          <w:trHeight w:val="25"/>
        </w:trPr>
        <w:tc>
          <w:tcPr>
            <w:tcW w:w="7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income (c)</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84,643</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62,456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7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operating income, as a % of adjusted net revenue (c)</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27.4 %</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23.6 %</w:t>
            </w:r>
          </w:p>
        </w:tc>
      </w:tr>
      <w:tr>
        <w:trPr>
          <w:trHeight w:val="20"/>
        </w:trPr>
        <w:tc>
          <w:tcPr>
            <w:tcW w:w="7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99" w:lineRule="exact"/>
        <w:rPr>
          <w:sz w:val="20"/>
          <w:szCs w:val="20"/>
          <w:color w:val="auto"/>
        </w:rPr>
      </w:pPr>
    </w:p>
    <w:p>
      <w:pPr>
        <w:ind w:left="300" w:hanging="297"/>
        <w:spacing w:after="0"/>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non-cash gain on the sale and deconsolidation of the Edgewater management vehicles.</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1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adjustments equal the “other segment items” in Note 19 of Notes to Condensed Consolidated Financial Statements. See “Consolidated Results of Operations” above for further information on the adjustments.</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revenue, adjusted operating income, and adjusted operating income as a percentage of adjusted net revenue are non-GAAP measures.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geographical distribution of Asset Management adjusted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5"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12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5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31"/>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32"/>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0"/>
                <w:szCs w:val="20"/>
                <w:color w:val="auto"/>
              </w:rPr>
            </w:pPr>
          </w:p>
        </w:tc>
        <w:tc>
          <w:tcPr>
            <w:tcW w:w="18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45</w:t>
            </w:r>
          </w:p>
        </w:tc>
      </w:tr>
      <w:tr>
        <w:trPr>
          <w:trHeight w:val="25"/>
        </w:trPr>
        <w:tc>
          <w:tcPr>
            <w:tcW w:w="7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14</w:t>
            </w:r>
          </w:p>
        </w:tc>
      </w:tr>
      <w:tr>
        <w:trPr>
          <w:trHeight w:val="251"/>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Management Results of Operations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2026 versus March 31, 2025</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Asset Management net revenue, which included a non-cash gain of $78 million on the sale and deconsolidation of the Edgewater management vehicles in the first quarter of 2026, increased $122 million, or 42%, as compared to the 2025 period. Asset Management adjusted net revenue increased $44 million, or 17%, as compared to the 2025 period. Management fees, on an adjusted basis, were $296 million, an increase of $58 million, or 25%, as compared to $238 million in the 2025 period. Incentive fees, on an adjusted basis, were $11 million, an increase of $2 million as compared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$9 million in the 2025 period. Other revenue, on an adjusted basis, was $1 million, a decrease of $17 million as compared to $18 million in the 2025 period.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Adjusted compensation and benefits expense increased $18 million, or 12%, as compared to the 2025 period primarily driven by increased adjusted net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w:t>
      </w:r>
    </w:p>
    <w:p>
      <w:pPr>
        <w:spacing w:after="0" w:line="20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Adjusted non-compensation expense increased $5 million, or 8%, as compared to the 2025 period primarily due to higher mutual fund servicing fees, which were largely driven by an increase in AUM.</w:t>
      </w:r>
    </w:p>
    <w:p>
      <w:pPr>
        <w:spacing w:after="0" w:line="15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Asset Management adjusted operating income was $85 million, an increase of $22 million, or 36%, as compared to adjusted operating income of $62 million in 2025, and, as a percentage of adjusted net revenue, was 27.4%, as compared to 23.6% in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reported adjusted operating results attributable to the Corporate segment:</w:t>
      </w:r>
    </w:p>
    <w:p>
      <w:pPr>
        <w:spacing w:after="0" w:line="157"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7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7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20" w:type="dxa"/>
            <w:vAlign w:val="bottom"/>
          </w:tcPr>
          <w:p>
            <w:pPr>
              <w:spacing w:after="0"/>
              <w:rPr>
                <w:sz w:val="15"/>
                <w:szCs w:val="15"/>
                <w:color w:val="auto"/>
              </w:rPr>
            </w:pPr>
          </w:p>
        </w:tc>
      </w:tr>
      <w:tr>
        <w:trPr>
          <w:trHeight w:val="35"/>
        </w:trPr>
        <w:tc>
          <w:tcPr>
            <w:tcW w:w="7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 (loss) - U.S. GAAP basis</w:t>
            </w: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(7,408)</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(Revenue) loss related to noncontrolling interests and similar</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77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arrangements</w:t>
            </w:r>
          </w:p>
        </w:tc>
        <w:tc>
          <w:tcPr>
            <w:tcW w:w="10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r>
      <w:tr>
        <w:trPr>
          <w:trHeight w:val="232"/>
        </w:trPr>
        <w:tc>
          <w:tcPr>
            <w:tcW w:w="7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Gains related to LFI and other similar arrangements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20,960</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adjustments (a)</w:t>
            </w:r>
          </w:p>
        </w:tc>
        <w:tc>
          <w:tcPr>
            <w:tcW w:w="10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20,725</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16,556</w:t>
            </w:r>
          </w:p>
        </w:tc>
      </w:tr>
      <w:tr>
        <w:trPr>
          <w:trHeight w:val="25"/>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revenue (b)</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9,148</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compensation and benefits expense</w:t>
            </w:r>
          </w:p>
        </w:tc>
        <w:tc>
          <w:tcPr>
            <w:tcW w:w="10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40,245</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38,491</w:t>
            </w:r>
          </w:p>
        </w:tc>
      </w:tr>
      <w:tr>
        <w:trPr>
          <w:trHeight w:val="25"/>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non-compensation expense</w:t>
            </w: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36,110</w:t>
            </w:r>
          </w:p>
        </w:tc>
      </w:tr>
      <w:tr>
        <w:trPr>
          <w:trHeight w:val="25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operating loss (b)</w:t>
            </w: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(66,056)</w:t>
            </w:r>
          </w:p>
        </w:tc>
        <w:tc>
          <w:tcPr>
            <w:tcW w:w="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(65,453)</w:t>
            </w: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w:t>
      </w:r>
    </w:p>
    <w:p>
      <w:pPr>
        <w:spacing w:after="0" w:line="99" w:lineRule="exact"/>
        <w:rPr>
          <w:sz w:val="20"/>
          <w:szCs w:val="20"/>
          <w:color w:val="auto"/>
        </w:rPr>
      </w:pPr>
    </w:p>
    <w:p>
      <w:pPr>
        <w:ind w:left="320" w:hanging="317"/>
        <w:spacing w:after="0" w:line="287" w:lineRule="auto"/>
        <w:tabs>
          <w:tab w:leader="none" w:pos="31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adjustments equal the “other segment items” in Note 19 of Notes to Condensed Consolidated Financial Statements. See “Consolidated Results of Operations” above for further information on the adjustments.</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revenue and adjusted operating loss are non-GAAP measures.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Results of Operations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Corporate’s quarterly results in any particular quarter or period may not be indicative of future results and may fluctuate based on a variety of factors.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Lazard management believes that annual results are the most meaningful basis for comparison among present, historical and future periods.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2026 versus March 31, 2025</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Corporate net revenue decreased $5 million, or 72%, as compared to the 2025 period, primarily due to lower gains in the 2026 period as compared to the 2025 period attributable to investments held in connection with LFI. Corporate adjusted net revenue decreased $1 million, or 13%, as compared to the 2025 period.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Adjusted compensation and benefits expense, including centrally managed costs, increased $2 million, or 5%, as compared to the 2025 period.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Adjusted non-compensation expense, including centrally managed costs, decreased $2 million, or 6%, as compared to the 2025 period.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common stock. 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makes cash payments for a significant portion of its compensation with respect to the prior year’s results during the first three months of each calendar year. See the Condensed Consolidated Financial Statements—Consolidated Statements of Cash Flows for further detail.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Cash Flows:</w:t>
      </w:r>
    </w:p>
    <w:p>
      <w:pPr>
        <w:spacing w:after="0" w:line="16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0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7"/>
        </w:trPr>
        <w:tc>
          <w:tcPr>
            <w:tcW w:w="8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60" w:type="dxa"/>
            <w:vAlign w:val="bottom"/>
          </w:tcPr>
          <w:p>
            <w:pPr>
              <w:spacing w:after="0"/>
              <w:rPr>
                <w:sz w:val="15"/>
                <w:szCs w:val="15"/>
                <w:color w:val="auto"/>
              </w:rPr>
            </w:pPr>
          </w:p>
        </w:tc>
      </w:tr>
      <w:tr>
        <w:trPr>
          <w:trHeight w:val="35"/>
        </w:trPr>
        <w:tc>
          <w:tcPr>
            <w:tcW w:w="8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Provided By (Used In):</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2"/>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
        </w:trPr>
        <w:tc>
          <w:tcPr>
            <w:tcW w:w="8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32"/>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 (a)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5"/>
        </w:trPr>
        <w:tc>
          <w:tcPr>
            <w:tcW w:w="8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operating activities (b)</w:t>
            </w: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25"/>
        </w:trPr>
        <w:tc>
          <w:tcPr>
            <w:tcW w:w="80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5"/>
        </w:trPr>
        <w:tc>
          <w:tcPr>
            <w:tcW w:w="8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2"/>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 (c)</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5"/>
        </w:trPr>
        <w:tc>
          <w:tcPr>
            <w:tcW w:w="8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5"/>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 and Restricted Cash</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5"/>
        </w:trPr>
        <w:tc>
          <w:tcPr>
            <w:tcW w:w="8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and Restricted Cash (d):</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2"/>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w:t>
            </w:r>
          </w:p>
        </w:tc>
      </w:tr>
      <w:tr>
        <w:trPr>
          <w:trHeight w:val="25"/>
        </w:trPr>
        <w:tc>
          <w:tcPr>
            <w:tcW w:w="8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6"/>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99" w:lineRule="exact"/>
        <w:rPr>
          <w:sz w:val="20"/>
          <w:szCs w:val="20"/>
          <w:color w:val="auto"/>
        </w:rPr>
      </w:pPr>
    </w:p>
    <w:p>
      <w:pPr>
        <w:ind w:left="320" w:hanging="317"/>
        <w:spacing w:after="0" w:line="287" w:lineRule="auto"/>
        <w:tabs>
          <w:tab w:leader="none" w:pos="31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primarily of amortization of deferred expenses and share-based incentive compensation, noncash lease expenses, depreciation and amortization of property, deferred tax benefit, and in 2026, a gain on the sale and deconsolidation of business.</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net changes in operating assets and liabilities.</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1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primarily of purchases of shares of common stock, tax withholdings related to the settlement of vested RSUs, common stock dividends, changes in customer deposits, and activity related to borrowings.</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cash and cash equivalents, deposits with banks and short-term investments and restricted cash.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revenue, operating income and cash receipts fluctuate significantly between periods and could be affected by various risks and uncertainties. While cash flow from Asset Management activities is relatively stable, in the case of Financial Advisory, fee receipts are generally dependent upon the successful completion of client transactions, the occurrence and timing of which is not subject to Lazard’s control.</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Liquidity is significantly impacted by cash payments for compensation, a significant portion of which are made during the first three months of the year. As a consequence, cash on hand generally declines in the beginning of the year and gradually builds over the remainder of the year. We also make payments during the year on behalf of certain managing directors for their estimated taxes, which serve to reduce their respective incentive compensation payments.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59" w:name="page60"/>
    <w:bookmarkEnd w:id="59"/>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Liquidity is also affected by the level of LFB customer-related demand deposits, primarily from clients and funds managed by LFG. To the extent that such deposits rise or fall, and assuming unchanged asset allocation, this has a corresponding impact on liquidity held at LFB, with the majority of such amounts generally being recorded in “deposits with banks and short-term investments”. LFB is subject to, and in compliance with, regulatory liquidity coverage ratios and liquidity levels are monitored on a daily basis.</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regularly monitor our liquidity position, including cash levels, lease obligations, investments and related hedges, credit lines, principal investment commitments, interest and principal payments on debt, capital expenditures, dividend payments, purchases of shares of common stock, compensation and other matters relating to liquidity and compliance with regulatory net capital requirements. At March 31, 2026, Lazard had approximately $1,021 million of cash and cash equivalents, including approximately $569 million held at Lazard’s operations outside the U.S. Lazard provides for income taxes on substantially all of its foreign earnings and we expect that no material amount of additional taxes would be recognized upon receipt of dividends or distributions of such earnings from our foreign operations.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2026, the Company’s remaining lease obligations were $62 million for 2026 (April 1 through December 31), $160 million from 2027 through 2028, $143 million from 2029 through 2030 and $203 million from 2031 through 2039.</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March 31, 2026, Lazard had approximately $204 million in unused lines of credit available to it, including a $200 million, five-year, senior revolving credit facility under the Second Amended and Restated Credit Agreement, among Lazard Group LLC, the banks from time to time party thereto and Citibank, N.A., as Administrative Agent (as amended from time to time, the “Second Amended and Restated Credit Agreement”).</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Second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Second Amended and Restated Credit Agreement may be accelerated upon customary events of default, including non-payment of principal or interest, breaches of covenants, cross-defaults to other material debt, a change in control and specified bankruptcy events. Borrowings under the Second Amended and Restated Credit Agreement generally will bear interest at adjusted term SOFR plus an applicable margin for specific interest periods determined based on Lazard Group’s highest credit rating from an internationally recognized credit agency.</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Second Amended and Restated Credit Agreement includes financial covenants that require that Lazard Group LLC not permit (i) its Consolidated Leverage Ratio (as defined in the Second Amended and Restated Credit Agreement) for the 12-month period ending on the last day of any fiscal quarter to be greater than 3.25 to 1.00, provided that the Consolidated Leverage Ratio may be greater than 3.25 to 1.00 for four (consecutive or nonconsecutive) quarters so long as it is not greater than 3.50 to 1.00 on the last day of any such quarter, or (ii) its Consolidated Interest Coverage Ratio (as defined in the Second Amended and Restated Credit Agreement) for the 12-month period ending on the last day of any fiscal quarter to be less than 3.00 to 1.00. No amounts were outstanding under the Second Amended and Restated Credit Agreement as of March 31, 2026.</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the Second Amended and Restated Credit Agreement contains certain other covenants (none of which relate to financial condition), events of default and other customary provisions. At March 31, 2026, the Company was in compliance with all financial and nonfinancial provisions.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Lazard’s annual cash flow generated from operations historically has been sufficient to enable it to meet its annual obligations. We believe that the sources of liquidity described above should be sufficient for us to fund our current obligations for the next 12 months.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also Notes 11, 13, 14, 15, 17 and 18 of Notes to Condensed Consolidated Financial Statements regarding information in connection with commitments, incentive plans, employee benefit plans, income taxes, tax receivable agreement obligations and regulatory requirements,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Senior Debt</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table below sets forth our corporate indebtedness as of March 31, 2026 and December 31, 2025. The agreements with respect to this indebtedness are discussed in more detail in our condensed consolidated financial statements and related notes included elsewhere in this Form 10-Q and in our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Outstanding as of</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
        </w:trPr>
        <w:tc>
          <w:tcPr>
            <w:tcW w:w="1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March 31, 2026</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
        </w:trPr>
        <w:tc>
          <w:tcPr>
            <w:tcW w:w="1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62"/>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Annual Interest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Unamortized</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Unamortized</w:t>
            </w:r>
          </w:p>
        </w:tc>
        <w:tc>
          <w:tcPr>
            <w:tcW w:w="220" w:type="dxa"/>
            <w:vAlign w:val="bottom"/>
          </w:tcPr>
          <w:p>
            <w:pPr>
              <w:spacing w:after="0"/>
              <w:rPr>
                <w:sz w:val="14"/>
                <w:szCs w:val="14"/>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82"/>
        </w:trPr>
        <w:tc>
          <w:tcPr>
            <w:tcW w:w="20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Senior Debt</w:t>
            </w: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Debt Costs</w:t>
            </w: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2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 Costs</w:t>
            </w:r>
          </w:p>
        </w:tc>
        <w:tc>
          <w:tcPr>
            <w:tcW w:w="220" w:type="dxa"/>
            <w:vAlign w:val="bottom"/>
          </w:tcPr>
          <w:p>
            <w:pPr>
              <w:spacing w:after="0"/>
              <w:rPr>
                <w:sz w:val="15"/>
                <w:szCs w:val="15"/>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5"/>
        </w:trPr>
        <w:tc>
          <w:tcPr>
            <w:tcW w:w="1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 in millions)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
        </w:trPr>
        <w:tc>
          <w:tcPr>
            <w:tcW w:w="1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Lazard Group 2028</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20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Senior Notes</w:t>
            </w: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4.50 %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497.2</w:t>
            </w:r>
          </w:p>
        </w:tc>
      </w:tr>
      <w:tr>
        <w:trPr>
          <w:trHeight w:val="216"/>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Lazard Group 2029</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Senior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w:t>
            </w:r>
          </w:p>
        </w:tc>
      </w:tr>
      <w:tr>
        <w:trPr>
          <w:trHeight w:val="25"/>
        </w:trPr>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Lazard Group 2031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20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Senior Notes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w:t>
            </w:r>
          </w:p>
        </w:tc>
      </w:tr>
      <w:tr>
        <w:trPr>
          <w:trHeight w:val="216"/>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Lazard Group 2035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Senior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w:t>
            </w:r>
          </w:p>
        </w:tc>
      </w:tr>
      <w:tr>
        <w:trPr>
          <w:trHeight w:val="25"/>
        </w:trPr>
        <w:tc>
          <w:tcPr>
            <w:tcW w:w="1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6"/>
        </w:trPr>
        <w:tc>
          <w:tcPr>
            <w:tcW w:w="1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indenture and supplemental indentures relating to Lazard Group LLC’s senior notes contain certain covenants (none of which relate to financial condition), events of default and other customary provisions. At March 31, 2026,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Guarantor Information</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Lazard, Inc. has provided an unconditional and irrevocable guarantee for the repayment of all the senior notes listed in the table above, and has amended the Second Amended and Restated Credit Agreement, to provide an unconditional and irrevocable guarantee for Lazard Group's obligations under the Second Amended and Restated Credit Agreement. See Note 10 of Notes to Condensed Consolidated Financial Statements for additional information regarding senior debt.</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permitted under Rule 13-01 of Regulation S-X, Lazard, Inc. has excluded summarized financial information for Lazard Group because the combined assets, liabilities and results of operations of Lazard, Inc. and Lazard Group for the period were not materially different than the corresponding amounts in Lazard, Inc.’s condensed consolidated financial statements presented herein and management believes such summarized financial information would be repetitive and would not provide incremental value to investors.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March 31, 2026, total stockholders’ equity was $872 million, as compared to $906 million at December 31, 2025, including $881 million and $869 million attributable to Lazard, Inc. on the respective dates. The net activity in stockholders’ equity during the three month period ended March 31, 2026 is reflected in the table below (in millions of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 - January 1, 2026</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r>
      <w:tr>
        <w:trPr>
          <w:trHeight w:val="232"/>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due to:</w:t>
            </w: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
        </w:trPr>
        <w:tc>
          <w:tcPr>
            <w:tcW w:w="9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9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(a)</w:t>
            </w:r>
          </w:p>
        </w:tc>
        <w:tc>
          <w:tcPr>
            <w:tcW w:w="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32"/>
        </w:trPr>
        <w:tc>
          <w:tcPr>
            <w:tcW w:w="9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9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9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share-based incentive compensation</w:t>
            </w:r>
          </w:p>
        </w:tc>
        <w:tc>
          <w:tcPr>
            <w:tcW w:w="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32"/>
        </w:trPr>
        <w:tc>
          <w:tcPr>
            <w:tcW w:w="9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common stock</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9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9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Settlement of share-based incentive compensation (b)</w:t>
            </w:r>
          </w:p>
        </w:tc>
        <w:tc>
          <w:tcPr>
            <w:tcW w:w="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32"/>
        </w:trPr>
        <w:tc>
          <w:tcPr>
            <w:tcW w:w="9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dividends</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5"/>
        </w:trPr>
        <w:tc>
          <w:tcPr>
            <w:tcW w:w="9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9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 and deconsolidation of business</w:t>
            </w:r>
          </w:p>
        </w:tc>
        <w:tc>
          <w:tcPr>
            <w:tcW w:w="7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2"/>
        </w:trPr>
        <w:tc>
          <w:tcPr>
            <w:tcW w:w="9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 net</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9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6"/>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 - March 31, 2026</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99" w:lineRule="exact"/>
        <w:rPr>
          <w:sz w:val="20"/>
          <w:szCs w:val="20"/>
          <w:color w:val="auto"/>
        </w:rPr>
      </w:pPr>
    </w:p>
    <w:p>
      <w:pPr>
        <w:ind w:left="300" w:hanging="297"/>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net loss associated with redeemable noncontrolling interests of $0.1 million.</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withholding portion of share-based compensation is settled in cash, not shares.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the Consolidated Financial Statements—Condensed Consolidated Statements of Changes in Stockholders’ Equity and Redeemable Noncontrolling Interests for further detail.</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Board of Directors of Lazard has issued a series of authorizations to repurchase common stock, which help offset the dilutive effect of our share-based incentive compensation plans. The Company aims to repurchase shares to offset dilution from the shares it expects to issue pursuant to such compensation plans in respect of year-end incentive compensation over time. The rate at which the Company purchases shares in connection with this annual objective may vary from period to period due to a variety of factors. Purchases with respect to such program are set forth in the table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40" w:type="dxa"/>
            <w:vAlign w:val="bottom"/>
          </w:tcPr>
          <w:p>
            <w:pPr>
              <w:spacing w:after="0"/>
              <w:rPr>
                <w:sz w:val="14"/>
                <w:szCs w:val="14"/>
                <w:color w:val="auto"/>
              </w:rPr>
            </w:pPr>
          </w:p>
        </w:tc>
        <w:tc>
          <w:tcPr>
            <w:tcW w:w="13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264"/>
              <w:spacing w:after="0" w:line="155"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0" w:type="dxa"/>
            <w:vAlign w:val="bottom"/>
          </w:tcPr>
          <w:p>
            <w:pPr>
              <w:spacing w:after="0"/>
              <w:rPr>
                <w:sz w:val="1"/>
                <w:szCs w:val="1"/>
                <w:color w:val="auto"/>
              </w:rPr>
            </w:pPr>
          </w:p>
        </w:tc>
      </w:tr>
      <w:tr>
        <w:trPr>
          <w:trHeight w:val="153"/>
        </w:trPr>
        <w:tc>
          <w:tcPr>
            <w:tcW w:w="776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7"/>
              </w:rPr>
              <w:t>Shares Purchased</w:t>
            </w:r>
          </w:p>
        </w:tc>
        <w:tc>
          <w:tcPr>
            <w:tcW w:w="340" w:type="dxa"/>
            <w:vAlign w:val="bottom"/>
          </w:tcPr>
          <w:p>
            <w:pPr>
              <w:spacing w:after="0"/>
              <w:rPr>
                <w:sz w:val="13"/>
                <w:szCs w:val="13"/>
                <w:color w:val="auto"/>
              </w:rPr>
            </w:pPr>
          </w:p>
        </w:tc>
        <w:tc>
          <w:tcPr>
            <w:tcW w:w="1360" w:type="dxa"/>
            <w:vAlign w:val="bottom"/>
          </w:tcPr>
          <w:p>
            <w:pPr>
              <w:jc w:val="center"/>
              <w:ind w:right="264"/>
              <w:spacing w:after="0" w:line="133"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44"/>
        </w:trPr>
        <w:tc>
          <w:tcPr>
            <w:tcW w:w="20" w:type="dxa"/>
            <w:vAlign w:val="bottom"/>
            <w:tcBorders>
              <w:bottom w:val="single" w:sz="8" w:color="CCEEFF"/>
            </w:tcBorders>
          </w:tcPr>
          <w:p>
            <w:pPr>
              <w:spacing w:after="0"/>
              <w:rPr>
                <w:sz w:val="3"/>
                <w:szCs w:val="3"/>
                <w:color w:val="auto"/>
              </w:rPr>
            </w:pPr>
          </w:p>
        </w:tc>
        <w:tc>
          <w:tcPr>
            <w:tcW w:w="1900" w:type="dxa"/>
            <w:vAlign w:val="bottom"/>
            <w:tcBorders>
              <w:top w:val="single" w:sz="8" w:color="auto"/>
              <w:bottom w:val="single" w:sz="8" w:color="CCEEFF"/>
            </w:tcBorders>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8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773,955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w:t>
            </w:r>
          </w:p>
        </w:tc>
        <w:tc>
          <w:tcPr>
            <w:tcW w:w="0" w:type="dxa"/>
            <w:vAlign w:val="bottom"/>
          </w:tcPr>
          <w:p>
            <w:pPr>
              <w:spacing w:after="0"/>
              <w:rPr>
                <w:sz w:val="1"/>
                <w:szCs w:val="1"/>
                <w:color w:val="auto"/>
              </w:rPr>
            </w:pPr>
          </w:p>
        </w:tc>
      </w:tr>
      <w:tr>
        <w:trPr>
          <w:trHeight w:val="232"/>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8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41,502</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2026, a total of $107 million of share repurchase authorization remained available under Lazard, Inc.’s share repurchase program which will expire on December 31, 2026.</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April 30, 2026, the Board of Directors of Lazard declared a quarterly dividend of $0.50 per share on our common stock. The dividend is payable on May 22, 2026 to stockholders of record on May 11, 2026.</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Notes 12 and 13 of Notes to Condensed Consolidated Financial Statements for additional information regarding Lazard’s stockholders’ equity and incentive plans,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Capital</w:t>
      </w:r>
    </w:p>
    <w:p>
      <w:pPr>
        <w:spacing w:after="0" w:line="11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These regulatory requirements may restrict the flow of funds to and from affiliates. See Note 18 of Notes to Condensed Consolidated Financial Statements for further information. These regulations differ in the U.S., the U.K., France and other countries in which we operate. Our capital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62" w:name="page63"/>
    <w:bookmarkEnd w:id="62"/>
    <w:p>
      <w:pPr>
        <w:jc w:val="both"/>
        <w:spacing w:after="0" w:line="287" w:lineRule="auto"/>
        <w:rPr>
          <w:sz w:val="20"/>
          <w:szCs w:val="20"/>
          <w:color w:val="auto"/>
        </w:rPr>
      </w:pPr>
      <w:r>
        <w:rPr>
          <w:rFonts w:ascii="Times New Roman" w:cs="Times New Roman" w:eastAsia="Times New Roman" w:hAnsi="Times New Roman"/>
          <w:sz w:val="17"/>
          <w:szCs w:val="17"/>
          <w:color w:val="auto"/>
        </w:rPr>
        <w:t>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preparation of Lazard’s condensed consolidated financial statements, in conformity with U.S. GAAP,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the allowance for credit losses, compensation liabilities, income taxes (including the impact on the tax receivable agreement obligation),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is a description of Lazard’s critical accounting estimates and judgments used in the preparation of its condensed consolidated financial statements.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Lazard generates substantially all of its revenue from providing Financial Advisory and Asset Management services to clients. Lazard recognizes revenue in accordance with the criteria in Note 2 of Notes to Consolidated Financial Statements in our Form 10-K.</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Assessment of these criteria requires the application of judgment in determining the timing and amount of revenue recognized, including the probability of collection of fees.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maintain an allowance for credit losses to provide coverage for estimated losses from our receivables. We determine the adequacy of the allowance under the current expected credit losses (“CECL”) guidance by (i) applying a charge-off rate based on historical credit loss experience; (ii) estimating the probability of loss based on our analysis of the client’s creditworthiness resulting in specific reserves against exposures where we determine the receivables are uncollectible, which may include situations where a fee is in dispute or litigation has commenced; and (iii) performing qualitative assessments to monitor economic risks that may require additional adjustments.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allowance for credit losses involves judgment including the incorporation of historical loss experience and assessment of risk characteristics of our clients. The charge-off rate based on historical credit loss experience is an average annual rate estimated using the most recent two years of charge-off data. When assessing risk characteristics of individual clients, we considered the macroeconomic environment in the local market, our collection experience and recent communication with the client, as well as any potential future engagement with the client.</w:t>
      </w: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Compensation Liabilities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Annual discretionary compensation represents a significant portion of our annual compensation and benefits expense. We allocate the estimated amount of such annual discretionary compensation to interim periods by segment in proportion to the amount of adjusted net revenue earned in such periods based on an estimated annual ratio of adjusted compensation and benefits expense to adjusted net revenue. See “Financial Statement Overview—Operating Expenses” for more information on our periodic compensation and benefits expense and Note 1 of Notes to Condensed Consolidated Financial Statements for additional information regarding the change in accounting principle in the first quarter of 2026 for recognizing compensation expense on certain incentive compensation awards.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63" w:name="page64"/>
    <w:bookmarkEnd w:id="63"/>
    <w:p>
      <w:pPr>
        <w:jc w:val="both"/>
        <w:spacing w:after="0" w:line="287" w:lineRule="auto"/>
        <w:rPr>
          <w:sz w:val="20"/>
          <w:szCs w:val="20"/>
          <w:color w:val="auto"/>
        </w:rPr>
      </w:pPr>
      <w:r>
        <w:rPr>
          <w:rFonts w:ascii="Times New Roman" w:cs="Times New Roman" w:eastAsia="Times New Roman" w:hAnsi="Times New Roman"/>
          <w:sz w:val="17"/>
          <w:szCs w:val="17"/>
          <w:color w:val="auto"/>
        </w:rPr>
        <w:t>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recognize a deferred tax asset if it is more likely than not (defined as a likelihood of greater than 50%) that a tax benefit will be accepted by the relevant taxing authority. The measurement of deferred tax assets and liabilities is based upon currently enacted tax rates in the applicable jurisdictions.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consider multiple possible sources of taxable income when assessing a valuation allowance against a deferred tax asset. See Note 2 of Notes to Consolidated Financial Statements in our Form 10-K for additional information on sources of taxable income, and the information considered when assessing whether a valuation allowance is required.</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Certain of our tax-paying entities have individually experienced losses on a cumulative three year basis or have tax attributes that may expire unused. In addition, some of our tax-paying entities have recorded a valuation allowance on substantially all of their deferred tax assets due to the combined effect of operating losses in certain subsidiaries of these entities as well as foreign taxes that together limit their ability to eliminate residual U.S. tax liability. Taking into account all available information, we cannot determine that it is more likely than not that deferred tax assets held by these entities will be realized. Consequently, we have recorded valuation allowances on deferred tax assets held by these entities as of December 31, 2025.</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Item 1A, “Risk Factors” in our Form 10-K and Note 15 of Notes to Condensed Consolidated Financial Statements for additional information related to income taxes.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Second Amended and Restated Tax Receivable Agreement, dated as of October 26, 2015 (the “TRA”), between Lazard and LTBP Trust (the “Trust”) provides for payments by our subsidiaries to the owners of the Trust, who include one of our executive officers.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amount of the TRA liability is an undiscounted amount based upon current tax laws and the structure of the Company and various assumptions regarding potential future operating profitability. The assumptions reflected in the estimate involve significant judgment, and as such, the actual amount and timing of payments under the TRA could differ materially from our estimates. See Note 17 of Notes to Condensed Consolidated Financial Statements for additional information regarding the TRA.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64" w:name="page65"/>
    <w:bookmarkEnd w:id="64"/>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Goodwill has an indefinite life and is tested for impairment annually, as of October 1, or more frequently if circumstances indicate impairment may have occurred. The Company performs a qualitative assessment about whether it is more likely than not that the fair value of a reporting unit is less than its carrying amount in lieu of actually calculating the fair value of the reporting unit. The qualitative assessment includes significant judgment on the business outlook assumptions of each reporting unit based on historical data, current economic conditions, stock performance and industry trends. If events indicate that it is more likely than not that the reporting unit’s fair value is less than its carrying value, the Company performs a quantitative assessment to determine the fair value of the reporting unit and compares it to its carrying values. If the carrying value of a reporting unit exceeds its fair value, the Company would recognize an impairment loss equal to the excess. The goodwill impairment tests indicated no reporting units were at risk of impairment. See Note 9 of Notes to Condensed Consolidated Financial Statements for additional information regarding goodwill.</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Consolidation</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condensed consolidated financial statements include entities in which Lazard has a controlling financial interest. Lazard determines whether it has a controlling financial interest in an entity by first evaluating whether the entity is a voting interest entity (“VOE”) or a variable interest entity (“VIE”) under U.S. GAAP.</w:t>
      </w:r>
    </w:p>
    <w:p>
      <w:pPr>
        <w:spacing w:after="0" w:line="165" w:lineRule="exact"/>
        <w:rPr>
          <w:sz w:val="20"/>
          <w:szCs w:val="20"/>
          <w:color w:val="auto"/>
        </w:rPr>
      </w:pPr>
    </w:p>
    <w:p>
      <w:pPr>
        <w:jc w:val="both"/>
        <w:ind w:left="860" w:hanging="238"/>
        <w:spacing w:after="0" w:line="270" w:lineRule="auto"/>
        <w:tabs>
          <w:tab w:leader="none" w:pos="85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62" w:lineRule="exact"/>
        <w:rPr>
          <w:rFonts w:ascii="Times New Roman" w:cs="Times New Roman" w:eastAsia="Times New Roman" w:hAnsi="Times New Roman"/>
          <w:sz w:val="17"/>
          <w:szCs w:val="17"/>
          <w:color w:val="auto"/>
        </w:rPr>
      </w:pPr>
    </w:p>
    <w:p>
      <w:pPr>
        <w:jc w:val="both"/>
        <w:ind w:left="860" w:hanging="238"/>
        <w:spacing w:after="0" w:line="264" w:lineRule="auto"/>
        <w:tabs>
          <w:tab w:leader="none" w:pos="85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6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Lazard’s involvement with various entities that are VOEs or VIEs primarily arises from LFI investments, seed and other investments in our Asset Management business. Lazard consolidates these entities when it has a controlling financial interest.</w:t>
      </w:r>
    </w:p>
    <w:p>
      <w:pPr>
        <w:spacing w:after="0" w:line="4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w:t>
      </w:r>
    </w:p>
    <w:p>
      <w:pPr>
        <w:spacing w:after="0" w:line="6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Generally, when the Company initially invests to seed an investment entity, the Company is the majority owner of the entity. Our majority ownership in seed investment entities represents a controlling financial interest, except when we are the general partner in such entities and the third-party investors have the right to replace the general partner. To the extent material, we consolidate seed and LFI investment entities in which we own a controlling financial interest, and we would deconsolidate any such entity when we no longer have a controlling financial interest in such entity.</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Seed investments held in entities in which the Company maintained a controlling financial interest were $170 million in fifteen entities as of March 31, 2026, as compared to $183 million in thirteen entities as of December 31, 2025. LFI investments held in entities in which the Company maintained a controlling financial interest were $27 million in eight entities as of March 31, 2026, as compared to $63 million in nine entities as of December 31, 2025.</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2026 and December 31, 2025, the Company did not consolidate any seed investment entities or LFI investment entities, with the exception of the consolidation of certain LFI funds (see Note 20 of Notes to Condensed Consolidated Financial Statements). As such, seed investments and substantially all of LFI investments included in “investments” on the condensed consolidated statements of financial condition represented the Company’s economic interest in the seed and LFI investments.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120"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Investments consist primarily of debt and equity securities, and interests in alternative investment, debt, equity and private equity funds. These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w:t>
      </w:r>
    </w:p>
    <w:p>
      <w:pPr>
        <w:spacing w:after="0" w:line="27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Investments also include those investments accounted for under the equity method of accounting. Any increases or decreases in the Company’s share of net income or losses pertaining to its equity method investments are reflected in earnings.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of Notes to Condensed Consolidated Financial Statements for additional information on the measurement of the fair value of investments.</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Lazard is subject to market and other risks on investments held. As such, gains and losses on investment positions held, which arise from sales or changes in the fair value of the investments, are not predictable and can cause periodic fluctuations in net income.</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Data relating to investments is set forth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5"/>
        </w:trPr>
        <w:tc>
          <w:tcPr>
            <w:tcW w:w="7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77"/>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4"/>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35"/>
        </w:trPr>
        <w:tc>
          <w:tcPr>
            <w:tcW w:w="7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Seed investments by asset class: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2"/>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 (a)</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205,551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215,237</w:t>
            </w:r>
          </w:p>
        </w:tc>
      </w:tr>
      <w:tr>
        <w:trPr>
          <w:trHeight w:val="232"/>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Fixed income</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24,493</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Alternative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29,856</w:t>
            </w:r>
          </w:p>
        </w:tc>
      </w:tr>
      <w:tr>
        <w:trPr>
          <w:trHeight w:val="232"/>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Private equity</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20,144</w:t>
            </w:r>
          </w:p>
        </w:tc>
      </w:tr>
      <w:tr>
        <w:trPr>
          <w:trHeight w:val="25"/>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seed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291,459</w:t>
            </w: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investments owned:</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Private equity</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7,468</w:t>
            </w:r>
          </w:p>
        </w:tc>
      </w:tr>
      <w:tr>
        <w:trPr>
          <w:trHeight w:val="232"/>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w:t>
            </w:r>
          </w:p>
        </w:tc>
      </w:tr>
      <w:tr>
        <w:trPr>
          <w:trHeight w:val="25"/>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investments owned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9,121</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278,576</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300,580</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Private equity consolidated, not owned</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21,493</w:t>
            </w:r>
          </w:p>
        </w:tc>
      </w:tr>
      <w:tr>
        <w:trPr>
          <w:trHeight w:val="232"/>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method</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18,752</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LFI</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211,504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285,021</w:t>
            </w:r>
          </w:p>
        </w:tc>
      </w:tr>
      <w:tr>
        <w:trPr>
          <w:trHeight w:val="25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516,555</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625,846</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At March 31, 2026 and December 31, 2025, seed investments in directly owned equity securities were invested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5"/>
        </w:trPr>
        <w:tc>
          <w:tcPr>
            <w:tcW w:w="3580" w:type="dxa"/>
            <w:vAlign w:val="bottom"/>
            <w:tcBorders>
              <w:bottom w:val="single" w:sz="8" w:color="CCEEFF"/>
            </w:tcBorders>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invested in:</w:t>
            </w:r>
          </w:p>
        </w:tc>
        <w:tc>
          <w:tcPr>
            <w:tcW w:w="39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Financials</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w:t>
            </w:r>
          </w:p>
        </w:tc>
        <w:tc>
          <w:tcPr>
            <w:tcW w:w="576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2"/>
        </w:trPr>
        <w:tc>
          <w:tcPr>
            <w:tcW w:w="3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Industrial</w:t>
            </w:r>
          </w:p>
        </w:tc>
        <w:tc>
          <w:tcPr>
            <w:tcW w:w="5760" w:type="dxa"/>
            <w:vAlign w:val="bottom"/>
            <w:gridSpan w:val="2"/>
          </w:tcPr>
          <w:p>
            <w:pPr>
              <w:jc w:val="right"/>
              <w:ind w:right="151"/>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18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Technology</w:t>
            </w:r>
          </w:p>
        </w:tc>
        <w:tc>
          <w:tcPr>
            <w:tcW w:w="576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2"/>
        </w:trPr>
        <w:tc>
          <w:tcPr>
            <w:tcW w:w="3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5760" w:type="dxa"/>
            <w:vAlign w:val="bottom"/>
            <w:gridSpan w:val="2"/>
          </w:tcPr>
          <w:p>
            <w:pPr>
              <w:jc w:val="right"/>
              <w:ind w:right="151"/>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20"/>
                <w:szCs w:val="20"/>
                <w:color w:val="auto"/>
              </w:rPr>
            </w:pPr>
          </w:p>
        </w:tc>
        <w:tc>
          <w:tcPr>
            <w:tcW w:w="18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5"/>
        </w:trPr>
        <w:tc>
          <w:tcPr>
            <w:tcW w:w="358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5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1754"/>
              <w:spacing w:after="0"/>
              <w:rPr>
                <w:sz w:val="20"/>
                <w:szCs w:val="20"/>
                <w:color w:val="auto"/>
              </w:rPr>
            </w:pPr>
            <w:r>
              <w:rPr>
                <w:rFonts w:ascii="Times New Roman" w:cs="Times New Roman" w:eastAsia="Times New Roman" w:hAnsi="Times New Roman"/>
                <w:sz w:val="17"/>
                <w:szCs w:val="17"/>
                <w:color w:val="auto"/>
              </w:rPr>
              <w:t>64</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5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8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makes investments primarily to seed strategies in our Asset Management business or to reduce exposure arising from LFI and other similar deferred compensation arrangements. The Company manages its net economic exposure to market and other risks arising from seed investments and other investments owned. The Company does not hedge investments associated with LFI and other similar deferred compensation arrangements, or investments in funds owned entirely by the noncontrolling interest holders as there is no net economic exposure.</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market risk associated with investments held in connection with LFI and other similar deferred compensation arrangements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Risk sensitivities include the effects of economic hedging. For equity market price risk, investment portfolios and their corresponding hedges are beta-adjusted to the All-Country World equity index. Interest rate and credit spread risk and foreign exchange rate risk are hedged using relevant benchmark indices. Private equity risk is not hedged due to lack of proxy hedging instruments.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Equity Market Price Risk—At March 31, 2026 and December 31, 2025, the Company’s exposure to equity market price risk in its investment portfolio, which primarily relates to investments in equity securities, equity funds and hedge funds, was approximately $241 million and $259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$1.3 million and $1.0 million as of March 31, 2026 and December 31, 2025, respectively, in the carrying value of such investments, including the effect of the hedging transactions.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Interest Rate and Credit Spread Risk—At March 31, 2026 and December 31, 2025, the Company’s exposure to interest rate and credit spread risk in its investment portfolio related to investments in debt securities or funds which invest primarily in debt securities was $17 million and $22 million, respectively. The Company hedges market exposure arising from a portion of our debt investment portfolios by entering into total return swaps. The Company estimates that a hypothetical 100 basis point adverse change in interest rates or credit spreads would result in a net decrease of approximately $0.6 million and $0.7 million as of March 31, 2026 and December 31, 2025, respectively, including the effect of the hedging transactions.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Foreign Exchange Rate Risk—At March 31, 2026 and December 31, 2025, the Company’s exposure to foreign exchange rate risk in its investment portfolio, which primarily relates to investments in foreign currency denominated equity and debt securities and private equity investments was $97 million and $114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net decrease of approximately $2.4 million and $2.0 million in the carrying value of such investments as of March 31, 2026 and December 31, 2025, respectively, including the effect of the hedging transactions.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Private Equity—The Company invests in private equity primarily as a part of its co-investment activities and in connection with certain legacy businesses. At March 31, 2026 and December 31, 2025, the Company’s exposure to changes in fair value of such investments was approximately $20 million and $28 million, respectively. The Company estimates that a hypothetical 10% adverse change in fair value would result in a decrease of approximately $2.0 million and $2.8 million, respectively, in the carrying value of such investments as of March 31, 2026 and December 31, 2025.</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additional information regarding risks associated with our investments, see Item 1A, “Risk Factors—Other Business Risks—Our results of operations may be affected by fluctuations in the fair value of positions held in our investment portfolios” in our Form 10-K.</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Receivables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maintain an allowance for credit losses to provide coverage for expected losses from our receivables. At March 31, 2026, total receivables amounted to $774 million, net of an allowance for credit losses of $22 million. As of that date, Financial Advisory and Asset Management fees, and customers and other receivables comprised 74% and 26% of total receivables, respectively. At December 31, 2025, total receivables amounted to $898 million, net of an allowance for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jc w:val="both"/>
        <w:spacing w:after="0" w:line="270" w:lineRule="auto"/>
        <w:rPr>
          <w:sz w:val="20"/>
          <w:szCs w:val="20"/>
          <w:color w:val="auto"/>
        </w:rPr>
      </w:pPr>
      <w:r>
        <w:rPr>
          <w:rFonts w:ascii="Times New Roman" w:cs="Times New Roman" w:eastAsia="Times New Roman" w:hAnsi="Times New Roman"/>
          <w:sz w:val="17"/>
          <w:szCs w:val="17"/>
          <w:color w:val="auto"/>
        </w:rPr>
        <w:t>credit losses of $23 million. As of that date, Financial Advisory and Asset Management fees, and customers and other receivables comprised 79% and 21% of total receivables, respectively. See also “Critical Accounting Policies and Estimates—Revenue Recognition” above and Note 4 of Notes to Condensed Consolidated Financial Statements for additional information regarding receivables.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LFG and LFB offer wealth management and banking services to high net worth individuals and families. At March 31, 2026 and December 31, 2025, customers and other receivables included $139 million and $142 million, respectively. Such LFB loans are fully collateralized and monitored for counterparty creditworthiness, with such collateral having a fair value in excess of the carrying amount of the loans. Therefore, there was no allowance for credit losses required at those dates related to such receivables.</w:t>
      </w: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Credit Concentrations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monitors its exposures to individual counterparties and diversifies where appropriate to reduce the exposure to concentrations of credit.</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Derivatives</w:t>
      </w:r>
    </w:p>
    <w:p>
      <w:pPr>
        <w:spacing w:after="0" w:line="12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investments that seed strategies in our Asset Management business. Derivative contracts are recorded at fair value. In entering into derivative agreements, the Company is subject to counterparty risk. Net derivative assets amounted to $5 million and $0.5 million at March 31, 2026 and December 31, 2025, respectively, and net derivative liabilities, excluding the derivative liability arising from the Company’s obligation pertaining to LFI and other similar deferred compensation arrangements, amounted to $22 million and $30 million at March 31, 2026 and December 31, 2025, respectively.</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$114 million and $189 million at March 31, 2026 and December 31, 2025,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Cash and Cash Equivalents and Corporate Indebtedness</w:t>
      </w:r>
    </w:p>
    <w:p>
      <w:pPr>
        <w:spacing w:after="0" w:line="11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 significant portion of the Company’s indebtedness has fixed interest rates, while its cash and cash equivalents typically bear interest at market interest rates. Based on account balances as of March 31, 2026, Lazard estimates that its annual operating income relating to cash and cash equivalents would increase by approximately $10 million in the event interest rates were to increase by 1% and decrease by approximately $10 million if rates were to decrease by 1%.</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of March 31, 2026, the Company’s cash and cash equivalents totaled approximately $1,021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overnight reverse repurchase agreements and (iv) in short-term certificates of deposit from such banks. Cash and cash equivalents are continuously monitored. On a regular basis, management reviews its investment profile as well as the credit profile of its list of depositor banks in order to adjust any deposit or investment thresholds as necessary.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Risk</w:t>
      </w:r>
    </w:p>
    <w:p>
      <w:pPr>
        <w:spacing w:after="0" w:line="11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Operational risk is inherent in all of our businesses and may, for example, manifest itself in the form of errors, breaches in the system of internal controls, employee misconduct, business interruptions, fraud, including fraud perpetrated by third parties, legal actions due to operating deficiencies, noncompliance or cyber attacks. The Company maintains a framework including policies and a system of internal controls designed to monitor and manage operational risk and provide management with timely and accurate information. Management within each of our operating subsidiaries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other losses that may significantly affect our financial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68" w:name="page69"/>
    <w:bookmarkEnd w:id="68"/>
    <w:p>
      <w:pPr>
        <w:jc w:val="both"/>
        <w:spacing w:after="0" w:line="270" w:lineRule="auto"/>
        <w:rPr>
          <w:sz w:val="20"/>
          <w:szCs w:val="20"/>
          <w:color w:val="auto"/>
        </w:rPr>
      </w:pPr>
      <w:r>
        <w:rPr>
          <w:rFonts w:ascii="Times New Roman" w:cs="Times New Roman" w:eastAsia="Times New Roman" w:hAnsi="Times New Roman"/>
          <w:sz w:val="17"/>
          <w:szCs w:val="17"/>
          <w:color w:val="auto"/>
        </w:rPr>
        <w:t>objectives, personnel, property or our ability to continue to meet our responsibilities to our various stakeholder groups. See Item 1A, “Risk Factors” in our Form 10-K for more information regarding operational risk in our business and Item 1C, “Cybersecurity” in our Form 10-K for more information on the Company’s processes to identify, assess and manage cybersecurity risks.</w:t>
      </w:r>
    </w:p>
    <w:p>
      <w:pPr>
        <w:spacing w:after="0" w:line="2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11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Quantitative and qualitative disclosures about market risk are included under the caption “Management’s Discussion and Analysis of Financial Condition and Results of Operations—Risk Management”.</w:t>
      </w:r>
    </w:p>
    <w:p>
      <w:pPr>
        <w:spacing w:after="0" w:line="25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32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is involved from time to time in judicial, governmental, regulatory and arbitration proceedings and inquiries concerning matters arising in connection with the conduct of our businesses, including contractual and employment matters. The Company reviews such matters on a case-by-case basis and establishes any required accrual if a loss is probable and the amount of such loss can be reasonably estimated. The Company may experience significant variation in its revenue and earnings on a quarterly basis. Accordingly, the results of any pending matter or matters could be significant when compared to the Company’s earnings in any particular quarter. The Company believes, however, based on currently available information, that the results of any pending matters, in the aggregate, will not have a material effect on its business or financial condition.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were no material changes from the risk factors previously disclosed in the Company’s Annual Report on Form 10-K for the year ended December 31, 2025.</w:t>
      </w:r>
    </w:p>
    <w:p>
      <w:pPr>
        <w:spacing w:after="0" w:line="25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Repurchases of Equity Securities</w:t>
      </w:r>
    </w:p>
    <w:p>
      <w:pPr>
        <w:spacing w:after="0" w:line="11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information regarding Lazard’s purchases of its common stock on a monthly basis during the first quarter of 2026. Share repurchases are recorded on a trade date basis.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411"/>
              <w:spacing w:after="0" w:line="155"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7"/>
              </w:rPr>
              <w:t>as Part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411"/>
              <w:spacing w:after="0" w:line="155" w:lineRule="exact"/>
              <w:rPr>
                <w:sz w:val="20"/>
                <w:szCs w:val="20"/>
                <w:color w:val="auto"/>
              </w:rPr>
            </w:pPr>
            <w:r>
              <w:rPr>
                <w:rFonts w:ascii="Times New Roman" w:cs="Times New Roman" w:eastAsia="Times New Roman" w:hAnsi="Times New Roman"/>
                <w:sz w:val="14"/>
                <w:szCs w:val="14"/>
                <w:b w:val="1"/>
                <w:bCs w:val="1"/>
                <w:color w:val="auto"/>
                <w:w w:val="97"/>
              </w:rPr>
              <w:t>Publicly</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center"/>
              <w:ind w:right="164"/>
              <w:spacing w:after="0" w:line="155" w:lineRule="exact"/>
              <w:rPr>
                <w:sz w:val="20"/>
                <w:szCs w:val="20"/>
                <w:color w:val="auto"/>
              </w:rPr>
            </w:pPr>
            <w:r>
              <w:rPr>
                <w:rFonts w:ascii="Times New Roman" w:cs="Times New Roman" w:eastAsia="Times New Roman" w:hAnsi="Times New Roman"/>
                <w:sz w:val="14"/>
                <w:szCs w:val="14"/>
                <w:b w:val="1"/>
                <w:bCs w:val="1"/>
                <w:color w:val="auto"/>
                <w:w w:val="97"/>
              </w:rPr>
              <w:t>Shares that May</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32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9"/>
              </w:rPr>
              <w:t>Announced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7"/>
              </w:rPr>
              <w:t>Yet Be Purchased</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Price Paid</w:t>
            </w:r>
          </w:p>
        </w:tc>
        <w:tc>
          <w:tcPr>
            <w:tcW w:w="132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7"/>
              </w:rPr>
              <w:t>Plans or</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8"/>
              </w:rPr>
              <w:t>Under the Plans or</w:t>
            </w:r>
          </w:p>
        </w:tc>
        <w:tc>
          <w:tcPr>
            <w:tcW w:w="0" w:type="dxa"/>
            <w:vAlign w:val="bottom"/>
          </w:tcPr>
          <w:p>
            <w:pPr>
              <w:spacing w:after="0"/>
              <w:rPr>
                <w:sz w:val="1"/>
                <w:szCs w:val="1"/>
                <w:color w:val="auto"/>
              </w:rPr>
            </w:pPr>
          </w:p>
        </w:tc>
      </w:tr>
      <w:tr>
        <w:trPr>
          <w:trHeight w:val="19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320" w:type="dxa"/>
            <w:vAlign w:val="bottom"/>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22"/>
        </w:trPr>
        <w:tc>
          <w:tcPr>
            <w:tcW w:w="4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January 1 – January 31, 2026</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 Repurchase Program (1)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109.0 million</w:t>
            </w: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Tax Withholding</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Transactions (2)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February 1 – February 28, 2026</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Repurchase Program (1)</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109.0 million</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Employee Tax Withholding</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Transactions (2)</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1,329,794</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1 – March 31, 2026</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 Repurchase Program (1)</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41,502</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41,502</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107.3 million</w:t>
            </w: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Tax Withholding</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Transactions (2)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1,108,874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Repurchase Program (1)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41,502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107.3 million</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Employee Tax Withholding</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Transactions (2)</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2,440,728</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0" w:name="page71"/>
    <w:bookmarkEnd w:id="70"/>
    <w:p>
      <w:pPr>
        <w:ind w:left="620" w:hanging="61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Lazard authorized the repurchase of common stock as set forth in the table below as of March 31, 2026.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Repurchase</w:t>
            </w:r>
          </w:p>
        </w:tc>
        <w:tc>
          <w:tcPr>
            <w:tcW w:w="2900" w:type="dxa"/>
            <w:vAlign w:val="bottom"/>
          </w:tcPr>
          <w:p>
            <w:pPr>
              <w:spacing w:after="0"/>
              <w:rPr>
                <w:sz w:val="14"/>
                <w:szCs w:val="14"/>
                <w:color w:val="auto"/>
              </w:rPr>
            </w:pPr>
          </w:p>
        </w:tc>
      </w:tr>
      <w:tr>
        <w:trPr>
          <w:trHeight w:val="182"/>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320" w:type="dxa"/>
            <w:vAlign w:val="bottom"/>
          </w:tcPr>
          <w:p>
            <w:pPr>
              <w:spacing w:after="0"/>
              <w:rPr>
                <w:sz w:val="15"/>
                <w:szCs w:val="15"/>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Authorization</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Expiration</w:t>
            </w:r>
          </w:p>
        </w:tc>
      </w:tr>
      <w:tr>
        <w:trPr>
          <w:trHeight w:val="35"/>
        </w:trPr>
        <w:tc>
          <w:tcPr>
            <w:tcW w:w="6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177"/>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 in thousands)</w:t>
            </w:r>
          </w:p>
        </w:tc>
        <w:tc>
          <w:tcPr>
            <w:tcW w:w="2900" w:type="dxa"/>
            <w:vAlign w:val="bottom"/>
          </w:tcPr>
          <w:p>
            <w:pPr>
              <w:spacing w:after="0"/>
              <w:rPr>
                <w:sz w:val="15"/>
                <w:szCs w:val="15"/>
                <w:color w:val="auto"/>
              </w:rPr>
            </w:pPr>
          </w:p>
        </w:tc>
      </w:tr>
      <w:tr>
        <w:trPr>
          <w:trHeight w:val="35"/>
        </w:trPr>
        <w:tc>
          <w:tcPr>
            <w:tcW w:w="6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tcPr>
          <w:p>
            <w:pPr>
              <w:spacing w:after="0"/>
              <w:rPr>
                <w:sz w:val="3"/>
                <w:szCs w:val="3"/>
                <w:color w:val="auto"/>
              </w:rPr>
            </w:pPr>
          </w:p>
        </w:tc>
      </w:tr>
      <w:tr>
        <w:trPr>
          <w:trHeight w:val="232"/>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2024</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shd w:val="clear" w:color="auto" w:fill="CCEEFF"/>
          </w:tcPr>
          <w:p>
            <w:pPr>
              <w:spacing w:after="0"/>
              <w:rPr>
                <w:sz w:val="20"/>
                <w:szCs w:val="20"/>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December 31, 2026</w:t>
            </w:r>
          </w:p>
        </w:tc>
      </w:tr>
      <w:tr>
        <w:trPr>
          <w:trHeight w:val="25"/>
        </w:trPr>
        <w:tc>
          <w:tcPr>
            <w:tcW w:w="6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The Company’s purchases under the share repurchase program over time are used to offset dilution from the shares that have been or will be issued under the 2018 Plan, as amended. Purchases under the share repurchase program may be made in the open market or through privately negotiated transactions, including those with employees. The rate at which the Company purchases shares in connection with the share repurchase program may vary from period to period due to a variety of factors. Amounts shown in this line item include repurchases of common stock and exclude the shares of common stock withheld by the Company to meet the minimum statutory tax withholding requirements as described below. As of March 31, 2026, a total of $107 million of share repurchase authorization remained available under Lazard, Inc.’s share repurchase program, which will expire on December 31, 2026.</w:t>
      </w:r>
    </w:p>
    <w:p>
      <w:pPr>
        <w:spacing w:after="0" w:line="70" w:lineRule="exact"/>
        <w:rPr>
          <w:sz w:val="20"/>
          <w:szCs w:val="20"/>
          <w:color w:val="auto"/>
        </w:rPr>
      </w:pPr>
    </w:p>
    <w:p>
      <w:pPr>
        <w:jc w:val="both"/>
        <w:ind w:left="620" w:hanging="617"/>
        <w:spacing w:after="0" w:line="270" w:lineRule="auto"/>
        <w:tabs>
          <w:tab w:leader="none" w:pos="61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terms of the 2018 Plan, upon the settlement of RSUs, shares of common stock may be withheld by the Company to meet the minimum statutory tax withholding requirements. During the three month period ended March 31, 2026, the Company satisfied such obligations in lieu of issuing 2,440,728 shares of common stock upon the settlement of 5,800,265 of RSUs.</w:t>
      </w:r>
    </w:p>
    <w:p>
      <w:pPr>
        <w:spacing w:after="0" w:line="26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1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no directors or officers of the Company entered into, modified or terminated, contracts, instructions or written plans for the sale or purchase of Lazard securities that were intended to satisfy the affirmative defense conditions of Rule 10b5-1 or that constituted non-Rule 10b5-1 trading arrangements (as defined in Item 408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71" w:name="page72"/>
    <w:bookmarkEnd w:id="71"/>
    <w:p>
      <w:pPr>
        <w:spacing w:after="0" w:line="200" w:lineRule="exact"/>
        <w:rPr>
          <w:sz w:val="20"/>
          <w:szCs w:val="20"/>
          <w:color w:val="auto"/>
        </w:rPr>
      </w:pPr>
    </w:p>
    <w:p>
      <w:pPr>
        <w:spacing w:after="0" w:line="362"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b w:val="1"/>
                <w:bCs w:val="1"/>
                <w:color w:val="auto"/>
                <w:w w:val="97"/>
              </w:rPr>
              <w:t>Item 6.</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61"/>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2.1</w:t>
            </w:r>
          </w:p>
        </w:tc>
        <w:tc>
          <w:tcPr>
            <w:tcW w:w="9660" w:type="dxa"/>
            <w:vAlign w:val="bottom"/>
            <w:tcBorders>
              <w:bottom w:val="single" w:sz="8" w:color="auto"/>
            </w:tcBorders>
            <w:gridSpan w:val="12"/>
          </w:tcPr>
          <w:p>
            <w:pPr>
              <w:spacing w:after="0"/>
              <w:rPr>
                <w:rFonts w:ascii="Times New Roman" w:cs="Times New Roman" w:eastAsia="Times New Roman" w:hAnsi="Times New Roman"/>
                <w:sz w:val="17"/>
                <w:szCs w:val="17"/>
                <w:color w:val="auto"/>
              </w:rPr>
            </w:pPr>
            <w:hyperlink r:id="rId93">
              <w:r>
                <w:rPr>
                  <w:rFonts w:ascii="Times New Roman" w:cs="Times New Roman" w:eastAsia="Times New Roman" w:hAnsi="Times New Roman"/>
                  <w:sz w:val="17"/>
                  <w:szCs w:val="17"/>
                  <w:color w:val="auto"/>
                </w:rPr>
                <w:t>Sale and Purchase Agreement, dated April 30, 2026, by and among Lazard, Inc. and the sellers party thereto (incorporated by reference to</w:t>
              </w:r>
            </w:hyperlink>
          </w:p>
        </w:tc>
      </w:tr>
      <w:tr>
        <w:trPr>
          <w:trHeight w:val="186"/>
        </w:trPr>
        <w:tc>
          <w:tcPr>
            <w:tcW w:w="1160" w:type="dxa"/>
            <w:vAlign w:val="bottom"/>
          </w:tcPr>
          <w:p>
            <w:pPr>
              <w:spacing w:after="0"/>
              <w:rPr>
                <w:sz w:val="16"/>
                <w:szCs w:val="16"/>
                <w:color w:val="auto"/>
              </w:rPr>
            </w:pPr>
          </w:p>
        </w:tc>
        <w:tc>
          <w:tcPr>
            <w:tcW w:w="9660" w:type="dxa"/>
            <w:vAlign w:val="bottom"/>
            <w:gridSpan w:val="12"/>
          </w:tcPr>
          <w:p>
            <w:pPr>
              <w:spacing w:after="0" w:line="186" w:lineRule="exact"/>
              <w:rPr>
                <w:rFonts w:ascii="Times New Roman" w:cs="Times New Roman" w:eastAsia="Times New Roman" w:hAnsi="Times New Roman"/>
                <w:sz w:val="17"/>
                <w:szCs w:val="17"/>
                <w:color w:val="auto"/>
              </w:rPr>
            </w:pPr>
            <w:hyperlink r:id="rId93">
              <w:r>
                <w:rPr>
                  <w:rFonts w:ascii="Times New Roman" w:cs="Times New Roman" w:eastAsia="Times New Roman" w:hAnsi="Times New Roman"/>
                  <w:sz w:val="17"/>
                  <w:szCs w:val="17"/>
                  <w:color w:val="auto"/>
                </w:rPr>
                <w:t>Exhibit 2.1 to the Registrant’s Current Report on Form 8-K (File No. 001-32492) filed on May 1, 2026).</w:t>
              </w:r>
            </w:hyperlink>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3.1</w:t>
            </w:r>
          </w:p>
        </w:tc>
        <w:tc>
          <w:tcPr>
            <w:tcW w:w="9660" w:type="dxa"/>
            <w:vAlign w:val="bottom"/>
            <w:tcBorders>
              <w:bottom w:val="single" w:sz="8" w:color="auto"/>
            </w:tcBorders>
            <w:gridSpan w:val="12"/>
          </w:tcPr>
          <w:p>
            <w:pPr>
              <w:spacing w:after="0"/>
              <w:rPr>
                <w:rFonts w:ascii="Times New Roman" w:cs="Times New Roman" w:eastAsia="Times New Roman" w:hAnsi="Times New Roman"/>
                <w:sz w:val="17"/>
                <w:szCs w:val="17"/>
                <w:color w:val="auto"/>
              </w:rPr>
            </w:pPr>
            <w:hyperlink r:id="rId94">
              <w:r>
                <w:rPr>
                  <w:rFonts w:ascii="Times New Roman" w:cs="Times New Roman" w:eastAsia="Times New Roman" w:hAnsi="Times New Roman"/>
                  <w:sz w:val="17"/>
                  <w:szCs w:val="17"/>
                  <w:color w:val="auto"/>
                </w:rPr>
                <w:t>Certificate of Incorporation of the Registrant (incorporated by reference to Exhibit 3.1 to the Registrant’s Current Report (File No. 001-</w:t>
              </w:r>
            </w:hyperlink>
          </w:p>
        </w:tc>
      </w:tr>
      <w:tr>
        <w:trPr>
          <w:trHeight w:val="186"/>
        </w:trPr>
        <w:tc>
          <w:tcPr>
            <w:tcW w:w="1160" w:type="dxa"/>
            <w:vAlign w:val="bottom"/>
          </w:tcPr>
          <w:p>
            <w:pPr>
              <w:spacing w:after="0"/>
              <w:rPr>
                <w:sz w:val="16"/>
                <w:szCs w:val="16"/>
                <w:color w:val="auto"/>
              </w:rPr>
            </w:pPr>
          </w:p>
        </w:tc>
        <w:tc>
          <w:tcPr>
            <w:tcW w:w="3240" w:type="dxa"/>
            <w:vAlign w:val="bottom"/>
            <w:tcBorders>
              <w:bottom w:val="single" w:sz="8" w:color="auto"/>
            </w:tcBorders>
            <w:gridSpan w:val="5"/>
          </w:tcPr>
          <w:p>
            <w:pPr>
              <w:spacing w:after="0" w:line="186" w:lineRule="exact"/>
              <w:rPr>
                <w:rFonts w:ascii="Times New Roman" w:cs="Times New Roman" w:eastAsia="Times New Roman" w:hAnsi="Times New Roman"/>
                <w:sz w:val="17"/>
                <w:szCs w:val="17"/>
                <w:color w:val="auto"/>
              </w:rPr>
            </w:pPr>
            <w:hyperlink r:id="rId94">
              <w:r>
                <w:rPr>
                  <w:rFonts w:ascii="Times New Roman" w:cs="Times New Roman" w:eastAsia="Times New Roman" w:hAnsi="Times New Roman"/>
                  <w:sz w:val="17"/>
                  <w:szCs w:val="17"/>
                  <w:color w:val="auto"/>
                </w:rPr>
                <w:t>32492) on Form 8-K filed on January 2, 2024).</w:t>
              </w:r>
            </w:hyperlink>
          </w:p>
        </w:tc>
        <w:tc>
          <w:tcPr>
            <w:tcW w:w="6420" w:type="dxa"/>
            <w:vAlign w:val="bottom"/>
            <w:gridSpan w:val="7"/>
          </w:tcPr>
          <w:p>
            <w:pPr>
              <w:spacing w:after="0"/>
              <w:rPr>
                <w:sz w:val="16"/>
                <w:szCs w:val="16"/>
                <w:color w:val="auto"/>
              </w:rPr>
            </w:pPr>
          </w:p>
        </w:tc>
      </w:tr>
      <w:tr>
        <w:trPr>
          <w:trHeight w:val="28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3.2</w:t>
            </w:r>
          </w:p>
        </w:tc>
        <w:tc>
          <w:tcPr>
            <w:tcW w:w="9660" w:type="dxa"/>
            <w:vAlign w:val="bottom"/>
            <w:gridSpan w:val="12"/>
          </w:tcPr>
          <w:p>
            <w:pPr>
              <w:spacing w:after="0"/>
              <w:rPr>
                <w:rFonts w:ascii="Times New Roman" w:cs="Times New Roman" w:eastAsia="Times New Roman" w:hAnsi="Times New Roman"/>
                <w:sz w:val="17"/>
                <w:szCs w:val="17"/>
                <w:color w:val="auto"/>
              </w:rPr>
            </w:pPr>
            <w:hyperlink r:id="rId95">
              <w:r>
                <w:rPr>
                  <w:rFonts w:ascii="Times New Roman" w:cs="Times New Roman" w:eastAsia="Times New Roman" w:hAnsi="Times New Roman"/>
                  <w:sz w:val="17"/>
                  <w:szCs w:val="17"/>
                  <w:color w:val="auto"/>
                </w:rPr>
                <w:t>By-laws of the Registrant (incorporated by reference to Exhibit 3.2 to the Registrant’s Current Report (File No. 001-32492) on Form 8-K</w:t>
              </w:r>
            </w:hyperlink>
          </w:p>
        </w:tc>
      </w:tr>
      <w:tr>
        <w:trPr>
          <w:trHeight w:val="186"/>
        </w:trPr>
        <w:tc>
          <w:tcPr>
            <w:tcW w:w="1160" w:type="dxa"/>
            <w:vAlign w:val="bottom"/>
          </w:tcPr>
          <w:p>
            <w:pPr>
              <w:spacing w:after="0"/>
              <w:rPr>
                <w:sz w:val="16"/>
                <w:szCs w:val="16"/>
                <w:color w:val="auto"/>
              </w:rPr>
            </w:pPr>
          </w:p>
        </w:tc>
        <w:tc>
          <w:tcPr>
            <w:tcW w:w="1760" w:type="dxa"/>
            <w:vAlign w:val="bottom"/>
            <w:tcBorders>
              <w:top w:val="single" w:sz="8" w:color="auto"/>
              <w:bottom w:val="single" w:sz="8" w:color="auto"/>
            </w:tcBorders>
          </w:tcPr>
          <w:p>
            <w:pPr>
              <w:spacing w:after="0" w:line="186" w:lineRule="exact"/>
              <w:rPr>
                <w:rFonts w:ascii="Times New Roman" w:cs="Times New Roman" w:eastAsia="Times New Roman" w:hAnsi="Times New Roman"/>
                <w:sz w:val="17"/>
                <w:szCs w:val="17"/>
                <w:color w:val="auto"/>
                <w:w w:val="99"/>
              </w:rPr>
            </w:pPr>
            <w:hyperlink r:id="rId95">
              <w:r>
                <w:rPr>
                  <w:rFonts w:ascii="Times New Roman" w:cs="Times New Roman" w:eastAsia="Times New Roman" w:hAnsi="Times New Roman"/>
                  <w:sz w:val="17"/>
                  <w:szCs w:val="17"/>
                  <w:color w:val="auto"/>
                  <w:w w:val="99"/>
                </w:rPr>
                <w:t>filed on January 2, 2024).</w:t>
              </w:r>
            </w:hyperlink>
          </w:p>
        </w:tc>
        <w:tc>
          <w:tcPr>
            <w:tcW w:w="7880" w:type="dxa"/>
            <w:vAlign w:val="bottom"/>
            <w:tcBorders>
              <w:top w:val="single" w:sz="8" w:color="auto"/>
            </w:tcBorders>
            <w:gridSpan w:val="10"/>
          </w:tcPr>
          <w:p>
            <w:pPr>
              <w:spacing w:after="0"/>
              <w:rPr>
                <w:sz w:val="16"/>
                <w:szCs w:val="16"/>
                <w:color w:val="auto"/>
              </w:rPr>
            </w:pPr>
          </w:p>
        </w:tc>
        <w:tc>
          <w:tcPr>
            <w:tcW w:w="20" w:type="dxa"/>
            <w:vAlign w:val="bottom"/>
          </w:tcPr>
          <w:p>
            <w:pPr>
              <w:spacing w:after="0"/>
              <w:rPr>
                <w:sz w:val="16"/>
                <w:szCs w:val="16"/>
                <w:color w:val="auto"/>
              </w:rPr>
            </w:pPr>
          </w:p>
        </w:tc>
      </w:tr>
      <w:tr>
        <w:trPr>
          <w:trHeight w:val="496"/>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w w:val="99"/>
              </w:rPr>
              <w:t>10.1*</w:t>
            </w:r>
          </w:p>
        </w:tc>
        <w:tc>
          <w:tcPr>
            <w:tcW w:w="9660" w:type="dxa"/>
            <w:vAlign w:val="bottom"/>
            <w:gridSpan w:val="12"/>
          </w:tcPr>
          <w:p>
            <w:pPr>
              <w:spacing w:after="0"/>
              <w:rPr>
                <w:rFonts w:ascii="Times New Roman" w:cs="Times New Roman" w:eastAsia="Times New Roman" w:hAnsi="Times New Roman"/>
                <w:sz w:val="17"/>
                <w:szCs w:val="17"/>
                <w:color w:val="auto"/>
              </w:rPr>
            </w:pPr>
            <w:hyperlink r:id="rId96">
              <w:r>
                <w:rPr>
                  <w:rFonts w:ascii="Times New Roman" w:cs="Times New Roman" w:eastAsia="Times New Roman" w:hAnsi="Times New Roman"/>
                  <w:sz w:val="17"/>
                  <w:szCs w:val="17"/>
                  <w:color w:val="auto"/>
                </w:rPr>
                <w:t>Offer Letter, dated January 28, 2026, between Lazard, Inc. and Tracy Farr (incorporated by reference to Exhibit 10.1 to the Registrant's</w:t>
              </w:r>
            </w:hyperlink>
          </w:p>
        </w:tc>
      </w:tr>
      <w:tr>
        <w:trPr>
          <w:trHeight w:val="186"/>
        </w:trPr>
        <w:tc>
          <w:tcPr>
            <w:tcW w:w="1160" w:type="dxa"/>
            <w:vAlign w:val="bottom"/>
          </w:tcPr>
          <w:p>
            <w:pPr>
              <w:spacing w:after="0"/>
              <w:rPr>
                <w:sz w:val="16"/>
                <w:szCs w:val="16"/>
                <w:color w:val="auto"/>
              </w:rPr>
            </w:pPr>
          </w:p>
        </w:tc>
        <w:tc>
          <w:tcPr>
            <w:tcW w:w="5380" w:type="dxa"/>
            <w:vAlign w:val="bottom"/>
            <w:tcBorders>
              <w:top w:val="single" w:sz="8" w:color="auto"/>
              <w:bottom w:val="single" w:sz="8" w:color="auto"/>
            </w:tcBorders>
            <w:gridSpan w:val="8"/>
          </w:tcPr>
          <w:p>
            <w:pPr>
              <w:spacing w:after="0" w:line="186" w:lineRule="exact"/>
              <w:rPr>
                <w:rFonts w:ascii="Times New Roman" w:cs="Times New Roman" w:eastAsia="Times New Roman" w:hAnsi="Times New Roman"/>
                <w:sz w:val="17"/>
                <w:szCs w:val="17"/>
                <w:color w:val="auto"/>
              </w:rPr>
            </w:pPr>
            <w:hyperlink r:id="rId96">
              <w:r>
                <w:rPr>
                  <w:rFonts w:ascii="Times New Roman" w:cs="Times New Roman" w:eastAsia="Times New Roman" w:hAnsi="Times New Roman"/>
                  <w:sz w:val="17"/>
                  <w:szCs w:val="17"/>
                  <w:color w:val="auto"/>
                </w:rPr>
                <w:t>Current Report on Form 8-K (File No. 001-32492) filed on February 2, 2026).</w:t>
              </w:r>
            </w:hyperlink>
          </w:p>
        </w:tc>
        <w:tc>
          <w:tcPr>
            <w:tcW w:w="4260" w:type="dxa"/>
            <w:vAlign w:val="bottom"/>
            <w:tcBorders>
              <w:top w:val="single" w:sz="8" w:color="auto"/>
            </w:tcBorders>
            <w:gridSpan w:val="3"/>
          </w:tcPr>
          <w:p>
            <w:pPr>
              <w:spacing w:after="0"/>
              <w:rPr>
                <w:sz w:val="16"/>
                <w:szCs w:val="16"/>
                <w:color w:val="auto"/>
              </w:rPr>
            </w:pPr>
          </w:p>
        </w:tc>
        <w:tc>
          <w:tcPr>
            <w:tcW w:w="20" w:type="dxa"/>
            <w:vAlign w:val="bottom"/>
          </w:tcPr>
          <w:p>
            <w:pPr>
              <w:spacing w:after="0"/>
              <w:rPr>
                <w:sz w:val="16"/>
                <w:szCs w:val="16"/>
                <w:color w:val="auto"/>
              </w:rPr>
            </w:pPr>
          </w:p>
        </w:tc>
      </w:tr>
      <w:tr>
        <w:trPr>
          <w:trHeight w:val="28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w w:val="99"/>
              </w:rPr>
              <w:t>10.2*</w:t>
            </w:r>
          </w:p>
        </w:tc>
        <w:tc>
          <w:tcPr>
            <w:tcW w:w="9660" w:type="dxa"/>
            <w:vAlign w:val="bottom"/>
            <w:tcBorders>
              <w:bottom w:val="single" w:sz="8" w:color="auto"/>
            </w:tcBorders>
            <w:gridSpan w:val="12"/>
          </w:tcPr>
          <w:p>
            <w:pPr>
              <w:spacing w:after="0"/>
              <w:rPr>
                <w:rFonts w:ascii="Times New Roman" w:cs="Times New Roman" w:eastAsia="Times New Roman" w:hAnsi="Times New Roman"/>
                <w:sz w:val="17"/>
                <w:szCs w:val="17"/>
                <w:color w:val="auto"/>
              </w:rPr>
            </w:pPr>
            <w:hyperlink r:id="rId97">
              <w:r>
                <w:rPr>
                  <w:rFonts w:ascii="Times New Roman" w:cs="Times New Roman" w:eastAsia="Times New Roman" w:hAnsi="Times New Roman"/>
                  <w:sz w:val="17"/>
                  <w:szCs w:val="17"/>
                  <w:color w:val="auto"/>
                </w:rPr>
                <w:t>Transition Agreement, dated January 28, 2026, between Lazard, Inc. and Mary Ann Betsch (incorporated by reference to Exhibit 10.2 to the</w:t>
              </w:r>
            </w:hyperlink>
          </w:p>
        </w:tc>
      </w:tr>
      <w:tr>
        <w:trPr>
          <w:trHeight w:val="186"/>
        </w:trPr>
        <w:tc>
          <w:tcPr>
            <w:tcW w:w="1160" w:type="dxa"/>
            <w:vAlign w:val="bottom"/>
          </w:tcPr>
          <w:p>
            <w:pPr>
              <w:spacing w:after="0"/>
              <w:rPr>
                <w:sz w:val="16"/>
                <w:szCs w:val="16"/>
                <w:color w:val="auto"/>
              </w:rPr>
            </w:pPr>
          </w:p>
        </w:tc>
        <w:tc>
          <w:tcPr>
            <w:tcW w:w="6220" w:type="dxa"/>
            <w:vAlign w:val="bottom"/>
            <w:tcBorders>
              <w:bottom w:val="single" w:sz="8" w:color="auto"/>
            </w:tcBorders>
            <w:gridSpan w:val="9"/>
          </w:tcPr>
          <w:p>
            <w:pPr>
              <w:spacing w:after="0" w:line="186" w:lineRule="exact"/>
              <w:rPr>
                <w:rFonts w:ascii="Times New Roman" w:cs="Times New Roman" w:eastAsia="Times New Roman" w:hAnsi="Times New Roman"/>
                <w:sz w:val="17"/>
                <w:szCs w:val="17"/>
                <w:color w:val="auto"/>
              </w:rPr>
            </w:pPr>
            <w:hyperlink r:id="rId97">
              <w:r>
                <w:rPr>
                  <w:rFonts w:ascii="Times New Roman" w:cs="Times New Roman" w:eastAsia="Times New Roman" w:hAnsi="Times New Roman"/>
                  <w:sz w:val="17"/>
                  <w:szCs w:val="17"/>
                  <w:color w:val="auto"/>
                </w:rPr>
                <w:t>Registrant's Current Report on Form 8-K (File No. 001-32492) filed on February 2, 2026).</w:t>
              </w:r>
            </w:hyperlink>
          </w:p>
        </w:tc>
        <w:tc>
          <w:tcPr>
            <w:tcW w:w="3440" w:type="dxa"/>
            <w:vAlign w:val="bottom"/>
            <w:gridSpan w:val="3"/>
          </w:tcPr>
          <w:p>
            <w:pPr>
              <w:spacing w:after="0"/>
              <w:rPr>
                <w:sz w:val="16"/>
                <w:szCs w:val="16"/>
                <w:color w:val="auto"/>
              </w:rPr>
            </w:pPr>
          </w:p>
        </w:tc>
      </w:tr>
      <w:tr>
        <w:trPr>
          <w:trHeight w:val="28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18.1</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Preferability Letter on Change in Accounting Principle.</w:t>
            </w:r>
          </w:p>
        </w:tc>
      </w:tr>
      <w:tr>
        <w:trPr>
          <w:trHeight w:val="20"/>
        </w:trPr>
        <w:tc>
          <w:tcPr>
            <w:tcW w:w="1160" w:type="dxa"/>
            <w:vAlign w:val="bottom"/>
          </w:tcPr>
          <w:p>
            <w:pPr>
              <w:spacing w:after="0" w:line="20" w:lineRule="exact"/>
              <w:rPr>
                <w:sz w:val="1"/>
                <w:szCs w:val="1"/>
                <w:color w:val="auto"/>
              </w:rPr>
            </w:pPr>
          </w:p>
        </w:tc>
        <w:tc>
          <w:tcPr>
            <w:tcW w:w="29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22.1</w:t>
            </w:r>
          </w:p>
        </w:tc>
        <w:tc>
          <w:tcPr>
            <w:tcW w:w="9660" w:type="dxa"/>
            <w:vAlign w:val="bottom"/>
            <w:gridSpan w:val="12"/>
          </w:tcPr>
          <w:p>
            <w:pPr>
              <w:spacing w:after="0"/>
              <w:rPr>
                <w:rFonts w:ascii="Times New Roman" w:cs="Times New Roman" w:eastAsia="Times New Roman" w:hAnsi="Times New Roman"/>
                <w:sz w:val="17"/>
                <w:szCs w:val="17"/>
                <w:color w:val="auto"/>
              </w:rPr>
            </w:pPr>
            <w:hyperlink r:id="rId98">
              <w:r>
                <w:rPr>
                  <w:rFonts w:ascii="Times New Roman" w:cs="Times New Roman" w:eastAsia="Times New Roman" w:hAnsi="Times New Roman"/>
                  <w:sz w:val="17"/>
                  <w:szCs w:val="17"/>
                  <w:color w:val="auto"/>
                </w:rPr>
                <w:t>List of Issuers of Guaranteed Securities (incorporated by reference to Exhibit 22.1 to the Registrant’s Annual Report on Form 10-K (File</w:t>
              </w:r>
            </w:hyperlink>
          </w:p>
        </w:tc>
      </w:tr>
      <w:tr>
        <w:trPr>
          <w:trHeight w:val="173"/>
        </w:trPr>
        <w:tc>
          <w:tcPr>
            <w:tcW w:w="1160" w:type="dxa"/>
            <w:vAlign w:val="bottom"/>
          </w:tcPr>
          <w:p>
            <w:pPr>
              <w:spacing w:after="0"/>
              <w:rPr>
                <w:sz w:val="15"/>
                <w:szCs w:val="15"/>
                <w:color w:val="auto"/>
              </w:rPr>
            </w:pPr>
          </w:p>
        </w:tc>
        <w:tc>
          <w:tcPr>
            <w:tcW w:w="3080" w:type="dxa"/>
            <w:vAlign w:val="bottom"/>
            <w:tcBorders>
              <w:top w:val="single" w:sz="8" w:color="auto"/>
              <w:bottom w:val="single" w:sz="8" w:color="auto"/>
            </w:tcBorders>
            <w:gridSpan w:val="3"/>
          </w:tcPr>
          <w:p>
            <w:pPr>
              <w:spacing w:after="0" w:line="173" w:lineRule="exact"/>
              <w:rPr>
                <w:rFonts w:ascii="Times New Roman" w:cs="Times New Roman" w:eastAsia="Times New Roman" w:hAnsi="Times New Roman"/>
                <w:sz w:val="17"/>
                <w:szCs w:val="17"/>
                <w:color w:val="auto"/>
              </w:rPr>
            </w:pPr>
            <w:hyperlink r:id="rId98">
              <w:r>
                <w:rPr>
                  <w:rFonts w:ascii="Times New Roman" w:cs="Times New Roman" w:eastAsia="Times New Roman" w:hAnsi="Times New Roman"/>
                  <w:sz w:val="17"/>
                  <w:szCs w:val="17"/>
                  <w:color w:val="auto"/>
                </w:rPr>
                <w:t>No. 001-32492) filed on February 23, 2026).</w:t>
              </w:r>
            </w:hyperlink>
          </w:p>
        </w:tc>
        <w:tc>
          <w:tcPr>
            <w:tcW w:w="6560" w:type="dxa"/>
            <w:vAlign w:val="bottom"/>
            <w:tcBorders>
              <w:top w:val="single" w:sz="8" w:color="auto"/>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31.1</w:t>
            </w:r>
          </w:p>
        </w:tc>
        <w:tc>
          <w:tcPr>
            <w:tcW w:w="3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Rule 13a-14(a) Certification of Peter R. Orszag.</w:t>
            </w:r>
          </w:p>
        </w:tc>
        <w:tc>
          <w:tcPr>
            <w:tcW w:w="6360" w:type="dxa"/>
            <w:vAlign w:val="bottom"/>
            <w:gridSpan w:val="6"/>
          </w:tcPr>
          <w:p>
            <w:pPr>
              <w:spacing w:after="0"/>
              <w:rPr>
                <w:sz w:val="24"/>
                <w:szCs w:val="24"/>
                <w:color w:val="auto"/>
              </w:rPr>
            </w:pPr>
          </w:p>
        </w:tc>
      </w:tr>
      <w:tr>
        <w:trPr>
          <w:trHeight w:val="28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31.2</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Rule 13a-14(a) Certification of Tracy Farr.</w:t>
            </w:r>
          </w:p>
        </w:tc>
      </w:tr>
      <w:tr>
        <w:trPr>
          <w:trHeight w:val="20"/>
        </w:trPr>
        <w:tc>
          <w:tcPr>
            <w:tcW w:w="1160" w:type="dxa"/>
            <w:vAlign w:val="bottom"/>
          </w:tcPr>
          <w:p>
            <w:pPr>
              <w:spacing w:after="0" w:line="20" w:lineRule="exact"/>
              <w:rPr>
                <w:sz w:val="1"/>
                <w:szCs w:val="1"/>
                <w:color w:val="auto"/>
              </w:rPr>
            </w:pPr>
          </w:p>
        </w:tc>
        <w:tc>
          <w:tcPr>
            <w:tcW w:w="29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40" w:type="dxa"/>
            <w:vAlign w:val="bottom"/>
            <w:gridSpan w:val="8"/>
          </w:tcPr>
          <w:p>
            <w:pPr>
              <w:spacing w:after="0" w:line="20" w:lineRule="exact"/>
              <w:rPr>
                <w:sz w:val="1"/>
                <w:szCs w:val="1"/>
                <w:color w:val="auto"/>
              </w:rPr>
            </w:pPr>
          </w:p>
        </w:tc>
      </w:tr>
      <w:tr>
        <w:trPr>
          <w:trHeight w:val="289"/>
        </w:trPr>
        <w:tc>
          <w:tcPr>
            <w:tcW w:w="11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32.1**</w:t>
            </w:r>
          </w:p>
        </w:tc>
        <w:tc>
          <w:tcPr>
            <w:tcW w:w="3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Section 1350 Certification for Peter R. Orszag.</w:t>
            </w:r>
          </w:p>
        </w:tc>
        <w:tc>
          <w:tcPr>
            <w:tcW w:w="6440" w:type="dxa"/>
            <w:vAlign w:val="bottom"/>
            <w:gridSpan w:val="8"/>
          </w:tcPr>
          <w:p>
            <w:pPr>
              <w:spacing w:after="0"/>
              <w:rPr>
                <w:sz w:val="24"/>
                <w:szCs w:val="24"/>
                <w:color w:val="auto"/>
              </w:rPr>
            </w:pPr>
          </w:p>
        </w:tc>
      </w:tr>
      <w:tr>
        <w:trPr>
          <w:trHeight w:val="289"/>
        </w:trPr>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32.2**</w:t>
            </w: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Section 1350 Certification for Tracy Farr.</w:t>
            </w:r>
          </w:p>
        </w:tc>
        <w:tc>
          <w:tcPr>
            <w:tcW w:w="6740" w:type="dxa"/>
            <w:vAlign w:val="bottom"/>
            <w:gridSpan w:val="10"/>
          </w:tcPr>
          <w:p>
            <w:pPr>
              <w:spacing w:after="0"/>
              <w:rPr>
                <w:sz w:val="24"/>
                <w:szCs w:val="24"/>
                <w:color w:val="auto"/>
              </w:rPr>
            </w:pPr>
          </w:p>
        </w:tc>
      </w:tr>
      <w:tr>
        <w:trPr>
          <w:trHeight w:val="312"/>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101.INS</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iXBRL tags are embedded</w:t>
            </w:r>
          </w:p>
        </w:tc>
      </w:tr>
      <w:tr>
        <w:trPr>
          <w:trHeight w:val="223"/>
        </w:trPr>
        <w:tc>
          <w:tcPr>
            <w:tcW w:w="1160" w:type="dxa"/>
            <w:vAlign w:val="bottom"/>
          </w:tcPr>
          <w:p>
            <w:pPr>
              <w:spacing w:after="0"/>
              <w:rPr>
                <w:sz w:val="19"/>
                <w:szCs w:val="19"/>
                <w:color w:val="auto"/>
              </w:rPr>
            </w:pP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30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w w:val="98"/>
              </w:rPr>
              <w:t>101.SCH</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30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101.CAL</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30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101.DEF</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30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101.LAB</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309"/>
        </w:trPr>
        <w:tc>
          <w:tcPr>
            <w:tcW w:w="116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101.PRE</w:t>
            </w:r>
          </w:p>
        </w:tc>
        <w:tc>
          <w:tcPr>
            <w:tcW w:w="96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r>
    </w:tbl>
    <w:p>
      <w:pPr>
        <w:spacing w:after="0" w:line="86" w:lineRule="exact"/>
        <w:rPr>
          <w:sz w:val="20"/>
          <w:szCs w:val="20"/>
          <w:color w:val="auto"/>
        </w:rPr>
      </w:pPr>
    </w:p>
    <w:p>
      <w:pPr>
        <w:ind w:left="1560" w:hanging="957"/>
        <w:spacing w:after="0"/>
        <w:tabs>
          <w:tab w:leader="none" w:pos="15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7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_____________________</w:t>
      </w:r>
    </w:p>
    <w:p>
      <w:pPr>
        <w:spacing w:after="0" w:line="21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Management contract or compensatory plan or arrangement.</w:t>
      </w:r>
    </w:p>
    <w:p>
      <w:pPr>
        <w:spacing w:after="0" w:line="217"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 These exhibits shall not be deemed “filed” for purpose of Section 18 of the Securities Exchange Act of 1934, or otherwise subject to the liability of that Section. Such exhibits shall not be deemed incorporated into any filings under the Securities Act of 1933 or the Securities Exchange Act of 1934.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60" w:firstLine="477"/>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4, 2026</w:t>
      </w:r>
    </w:p>
    <w:p>
      <w:pPr>
        <w:spacing w:after="0" w:line="26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LAZARD, INC.</w:t>
      </w:r>
    </w:p>
    <w:p>
      <w:pPr>
        <w:spacing w:after="0" w:line="320" w:lineRule="exact"/>
        <w:rPr>
          <w:sz w:val="20"/>
          <w:szCs w:val="20"/>
          <w:color w:val="auto"/>
        </w:rPr>
      </w:pPr>
    </w:p>
    <w:tbl>
      <w:tblPr>
        <w:tblLayout w:type="fixed"/>
        <w:tblInd w:w="5760" w:type="dxa"/>
        <w:tblCellMar>
          <w:top w:w="0" w:type="dxa"/>
          <w:left w:w="0" w:type="dxa"/>
          <w:bottom w:w="0" w:type="dxa"/>
          <w:right w:w="0" w:type="dxa"/>
        </w:tblCellMar>
      </w:tblP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Tracy Farr</w:t>
            </w:r>
          </w:p>
        </w:tc>
      </w:tr>
      <w:tr>
        <w:trPr>
          <w:trHeight w:val="25"/>
        </w:trPr>
        <w:tc>
          <w:tcPr>
            <w:tcW w:w="10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2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Tracy Farr</w:t>
            </w: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580"/>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Michael Gathy</w:t>
            </w:r>
          </w:p>
        </w:tc>
      </w:tr>
      <w:tr>
        <w:trPr>
          <w:trHeight w:val="25"/>
        </w:trPr>
        <w:tc>
          <w:tcPr>
            <w:tcW w:w="10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2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Gathy</w:t>
            </w: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40"/>
          </w:cols>
          <w:pgMar w:left="320" w:top="130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7"/>
          <w:szCs w:val="17"/>
          <w:b w:val="1"/>
          <w:bCs w:val="1"/>
          <w:color w:val="auto"/>
        </w:rPr>
        <w:t>EXHIBIT 18.1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May 4, 2026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Lazard, Inc.</w:t>
      </w:r>
    </w:p>
    <w:p>
      <w:pPr>
        <w:spacing w:after="0" w:line="237" w:lineRule="auto"/>
        <w:rPr>
          <w:sz w:val="20"/>
          <w:szCs w:val="20"/>
          <w:color w:val="auto"/>
        </w:rPr>
      </w:pPr>
      <w:r>
        <w:rPr>
          <w:rFonts w:ascii="Times New Roman" w:cs="Times New Roman" w:eastAsia="Times New Roman" w:hAnsi="Times New Roman"/>
          <w:sz w:val="17"/>
          <w:szCs w:val="17"/>
          <w:color w:val="333333"/>
        </w:rPr>
        <w:t>30 Rockefeller Plaza</w:t>
      </w:r>
    </w:p>
    <w:p>
      <w:pPr>
        <w:spacing w:after="0"/>
        <w:rPr>
          <w:sz w:val="20"/>
          <w:szCs w:val="20"/>
          <w:color w:val="auto"/>
        </w:rPr>
      </w:pPr>
      <w:r>
        <w:rPr>
          <w:rFonts w:ascii="Times New Roman" w:cs="Times New Roman" w:eastAsia="Times New Roman" w:hAnsi="Times New Roman"/>
          <w:sz w:val="17"/>
          <w:szCs w:val="17"/>
          <w:color w:val="333333"/>
        </w:rPr>
        <w:t>New York, NY 10112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Dear Sirs/Madams:</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333333"/>
        </w:rPr>
        <w:t>At your request, we have read the description included in your Quarterly Report on Form 10-Q to the Securities and Exchange Commission for the quarter ended March 31, 2026, of the facts relating to the change in accounting principle for recognizing compensation expense from the graded attribution method to the straight-line attribution method of accounting for share-based incentive compensation awards and certain deferred compensation arrangements with only a service condition. We believe, on the basis of the facts so set forth and other information furnished to us by appropriate officials of Lazard, Inc., that the accounting change described in your Form 10-Q is to an alternative accounting principle that is preferable under the circumstances.</w:t>
      </w:r>
    </w:p>
    <w:p>
      <w:pPr>
        <w:spacing w:after="0" w:line="17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333333"/>
        </w:rPr>
        <w:t>We have not audited any consolidated financial statements of Lazard, Inc. and its subsidiaries as of any date or for any period subsequent to December 31, 2025. Therefore, we are unable to express, and we do not express, an opinion on the facts set forth in the above-mentioned Form 10-Q, on the related information furnished to us by officials of Lazard, Inc., or on the financial position, results of operations, or cash flows of Lazard, Inc. and its subsidiaries as of any date or for any period subsequent to December 31, 2025.</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Yours truly,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/s/ Deloitte &amp; Touche LLP</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New York, New York</w:t>
      </w:r>
    </w:p>
    <w:p>
      <w:pPr>
        <w:sectPr>
          <w:pgSz w:w="11900" w:h="16838" w:orient="portrait"/>
          <w:cols w:equalWidth="0" w:num="1">
            <w:col w:w="11240"/>
          </w:cols>
          <w:pgMar w:left="320" w:top="1099"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Peter R. Orszag, certify that:</w:t>
      </w:r>
    </w:p>
    <w:p>
      <w:pPr>
        <w:spacing w:after="0" w:line="217" w:lineRule="exact"/>
        <w:rPr>
          <w:sz w:val="20"/>
          <w:szCs w:val="20"/>
          <w:color w:val="auto"/>
        </w:rPr>
      </w:pPr>
    </w:p>
    <w:p>
      <w:pPr>
        <w:ind w:left="800" w:hanging="178"/>
        <w:spacing w:after="0"/>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2026 of Lazard, Inc. (the “Registrant”);</w:t>
      </w:r>
    </w:p>
    <w:p>
      <w:pPr>
        <w:spacing w:after="0" w:line="217" w:lineRule="exact"/>
        <w:rPr>
          <w:rFonts w:ascii="Times New Roman" w:cs="Times New Roman" w:eastAsia="Times New Roman" w:hAnsi="Times New Roman"/>
          <w:sz w:val="17"/>
          <w:szCs w:val="17"/>
          <w:color w:val="auto"/>
        </w:rPr>
      </w:pPr>
    </w:p>
    <w:p>
      <w:pPr>
        <w:ind w:firstLine="622"/>
        <w:spacing w:after="0" w:line="287" w:lineRule="auto"/>
        <w:tabs>
          <w:tab w:leader="none" w:pos="80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firstLine="622"/>
        <w:spacing w:after="0" w:line="287" w:lineRule="auto"/>
        <w:tabs>
          <w:tab w:leader="none" w:pos="8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firstLine="622"/>
        <w:spacing w:after="0" w:line="270" w:lineRule="auto"/>
        <w:tabs>
          <w:tab w:leader="none" w:pos="8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473"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50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firstLine="621"/>
        <w:spacing w:after="0" w:line="287" w:lineRule="auto"/>
        <w:tabs>
          <w:tab w:leader="none" w:pos="149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49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firstLine="622"/>
        <w:spacing w:after="0" w:line="287" w:lineRule="auto"/>
        <w:tabs>
          <w:tab w:leader="none" w:pos="80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firstLine="621"/>
        <w:spacing w:after="0" w:line="287" w:lineRule="auto"/>
        <w:tabs>
          <w:tab w:leader="none" w:pos="151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firstLine="621"/>
        <w:spacing w:after="0" w:line="287" w:lineRule="auto"/>
        <w:tabs>
          <w:tab w:leader="none" w:pos="149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4, 2026</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Peter R. Orszag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693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Peter R. Orszag</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 and Chairman</w:t>
      </w:r>
    </w:p>
    <w:p>
      <w:pPr>
        <w:sectPr>
          <w:pgSz w:w="11900" w:h="16838" w:orient="portrait"/>
          <w:cols w:equalWidth="0" w:num="1">
            <w:col w:w="11240"/>
          </w:cols>
          <w:pgMar w:left="320" w:top="109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Tracy Farr, certify that:</w:t>
      </w:r>
    </w:p>
    <w:p>
      <w:pPr>
        <w:spacing w:after="0" w:line="217" w:lineRule="exact"/>
        <w:rPr>
          <w:sz w:val="20"/>
          <w:szCs w:val="20"/>
          <w:color w:val="auto"/>
        </w:rPr>
      </w:pPr>
    </w:p>
    <w:p>
      <w:pPr>
        <w:ind w:left="800" w:hanging="178"/>
        <w:spacing w:after="0"/>
        <w:tabs>
          <w:tab w:leader="none" w:pos="8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2026 of Lazard, Inc. (the “Registrant”);</w:t>
      </w:r>
    </w:p>
    <w:p>
      <w:pPr>
        <w:spacing w:after="0" w:line="217" w:lineRule="exact"/>
        <w:rPr>
          <w:rFonts w:ascii="Times New Roman" w:cs="Times New Roman" w:eastAsia="Times New Roman" w:hAnsi="Times New Roman"/>
          <w:sz w:val="17"/>
          <w:szCs w:val="17"/>
          <w:color w:val="auto"/>
        </w:rPr>
      </w:pPr>
    </w:p>
    <w:p>
      <w:pPr>
        <w:ind w:firstLine="622"/>
        <w:spacing w:after="0" w:line="287" w:lineRule="auto"/>
        <w:tabs>
          <w:tab w:leader="none" w:pos="80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firstLine="622"/>
        <w:spacing w:after="0" w:line="287" w:lineRule="auto"/>
        <w:tabs>
          <w:tab w:leader="none" w:pos="80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firstLine="622"/>
        <w:spacing w:after="0" w:line="270" w:lineRule="auto"/>
        <w:tabs>
          <w:tab w:leader="none" w:pos="8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47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50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firstLine="621"/>
        <w:spacing w:after="0" w:line="287" w:lineRule="auto"/>
        <w:tabs>
          <w:tab w:leader="none" w:pos="149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620" w:firstLine="621"/>
        <w:spacing w:after="0" w:line="270" w:lineRule="auto"/>
        <w:tabs>
          <w:tab w:leader="none" w:pos="149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firstLine="622"/>
        <w:spacing w:after="0" w:line="287" w:lineRule="auto"/>
        <w:tabs>
          <w:tab w:leader="none" w:pos="80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firstLine="621"/>
        <w:spacing w:after="0" w:line="287" w:lineRule="auto"/>
        <w:tabs>
          <w:tab w:leader="none" w:pos="151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firstLine="621"/>
        <w:spacing w:after="0" w:line="287" w:lineRule="auto"/>
        <w:tabs>
          <w:tab w:leader="none" w:pos="149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4, 2026</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Tracy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693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Tracy Farr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09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4,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F Street, 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0"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Pursuant to 18 U.S.C. § 1350, the undersigned officer of Lazard, Inc. (the “Registrant”) hereby certifies that the Registrant’s Quarterly Report on Form 10-Q for the quarter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Peter R. Orszag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693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Peter R. Orszag</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 and Chairman</w:t>
      </w:r>
    </w:p>
    <w:p>
      <w:pPr>
        <w:spacing w:after="0" w:line="303"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240"/>
          </w:cols>
          <w:pgMar w:left="320" w:top="109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4,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F Street, 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0"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Pursuant to 18 U.S.C. § 1350, the undersigned officer of Lazard, Inc. (the “Registrant”) hereby certifies that the Registrant’s Quarterly Report on Form 10-Q for the quarter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Tracy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693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Tracy Farr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0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2"/>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2"/>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2"/>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2"/>
    </w:lvl>
  </w:abstractNum>
  <w:abstractNum w:abstractNumId="43">
    <w:nsid w:val="7A6D8D3C"/>
    <w:multiLevelType w:val="hybridMultilevel"/>
    <w:lvl w:ilvl="0">
      <w:lvlJc w:val="left"/>
      <w:lvlText w:val="*"/>
      <w:numFmt w:val="bullet"/>
      <w:start w:val="1"/>
    </w:lvl>
    <w:lvl w:ilvl="1">
      <w:lvlJc w:val="left"/>
      <w:lvlText w:val="%2"/>
      <w:numFmt w:val="decimal"/>
      <w:start w:val="104"/>
    </w:lvl>
  </w:abstractNum>
  <w:abstractNum w:abstractNumId="44">
    <w:nsid w:val="4B588F54"/>
    <w:multiLevelType w:val="hybridMultilevel"/>
    <w:lvl w:ilvl="0">
      <w:lvlJc w:val="left"/>
      <w:lvlText w:val="**"/>
      <w:numFmt w:val="bullet"/>
      <w:start w:val="1"/>
    </w:lvl>
    <w:lvl w:ilvl="1">
      <w:lvlJc w:val="left"/>
      <w:lvlText w:val="%2"/>
      <w:numFmt w:val="decimal"/>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93" Type="http://schemas.openxmlformats.org/officeDocument/2006/relationships/hyperlink" Target="https://www.sec.gov/Archives/edgar/data/1311370/000162828026029365/projectconcorde-spa.htm" TargetMode="External"/><Relationship Id="rId94" Type="http://schemas.openxmlformats.org/officeDocument/2006/relationships/hyperlink" Target="https://www.sec.gov/Archives/edgar/data/1311370/000119312524000712/d519085dex31.htm" TargetMode="External"/><Relationship Id="rId95" Type="http://schemas.openxmlformats.org/officeDocument/2006/relationships/hyperlink" Target="https://www.sec.gov/Archives/edgar/data/1311370/000119312524000712/d519085dex32.htm" TargetMode="External"/><Relationship Id="rId96" Type="http://schemas.openxmlformats.org/officeDocument/2006/relationships/hyperlink" Target="https://www.sec.gov/Archives/edgar/data/1311370/000162828026004678/a20260123-tfarrletterxxex1.htm" TargetMode="External"/><Relationship Id="rId97" Type="http://schemas.openxmlformats.org/officeDocument/2006/relationships/hyperlink" Target="https://www.sec.gov/Archives/edgar/data/1311370/000162828026004678/mabtransitionagreement-xex.htm" TargetMode="External"/><Relationship Id="rId98" Type="http://schemas.openxmlformats.org/officeDocument/2006/relationships/hyperlink" Target="https://www.sec.gov/Archives/edgar/data/1311370/000162828025007441/laz-20241231x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2026-05-04T15:46:26Z</dcterms:created>
  <dcterms:modified xsi:type="dcterms:W3CDTF">2026-05-04T15:46:26Z</dcterms:modified>
</cp:coreProperties>
</file>