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40"/>
          </w:cols>
          <w:pgMar w:left="240" w:top="585" w:right="319" w:bottom="1440" w:gutter="0" w:footer="0" w:header="0"/>
        </w:sectPr>
      </w:pPr>
    </w:p>
    <w:p>
      <w:pPr>
        <w:spacing w:after="0" w:line="246"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51-0278097</w:t>
      </w:r>
    </w:p>
    <w:p>
      <w:pPr>
        <w:spacing w:after="0" w:line="50" w:lineRule="exact"/>
        <w:rPr>
          <w:sz w:val="24"/>
          <w:szCs w:val="24"/>
          <w:color w:val="auto"/>
        </w:rPr>
      </w:pPr>
    </w:p>
    <w:p>
      <w:pPr>
        <w:sectPr>
          <w:pgSz w:w="11900" w:h="16838" w:orient="portrait"/>
          <w:cols w:equalWidth="0" w:num="2">
            <w:col w:w="7480" w:space="720"/>
            <w:col w:w="3140"/>
          </w:cols>
          <w:pgMar w:left="240" w:top="585" w:right="319" w:bottom="1440" w:gutter="0" w:footer="0" w:header="0"/>
          <w:type w:val="continuous"/>
        </w:sectPr>
      </w:pPr>
    </w:p>
    <w:p>
      <w:pPr>
        <w:jc w:val="center"/>
        <w:ind w:right="110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49" w:lineRule="exact"/>
        <w:rPr>
          <w:sz w:val="24"/>
          <w:szCs w:val="24"/>
          <w:color w:val="auto"/>
        </w:rPr>
      </w:pPr>
    </w:p>
    <w:p>
      <w:pPr>
        <w:sectPr>
          <w:pgSz w:w="11900" w:h="16838" w:orient="portrait"/>
          <w:cols w:equalWidth="0" w:num="2">
            <w:col w:w="6820" w:space="720"/>
            <w:col w:w="3800"/>
          </w:cols>
          <w:pgMar w:left="240" w:top="585" w:right="319" w:bottom="1440" w:gutter="0" w:footer="0" w:header="0"/>
          <w:type w:val="continuous"/>
        </w:sectPr>
      </w:pPr>
    </w:p>
    <w:p>
      <w:pPr>
        <w:ind w:left="4920"/>
        <w:spacing w:after="0"/>
        <w:rPr>
          <w:sz w:val="20"/>
          <w:szCs w:val="20"/>
          <w:color w:val="auto"/>
        </w:rPr>
      </w:pPr>
      <w:r>
        <w:rPr>
          <w:rFonts w:ascii="Arial" w:cs="Arial" w:eastAsia="Arial" w:hAnsi="Arial"/>
          <w:sz w:val="18"/>
          <w:szCs w:val="18"/>
          <w:b w:val="1"/>
          <w:bCs w:val="1"/>
          <w:color w:val="auto"/>
        </w:rPr>
        <w:t>30 Rockefeller Plaza</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New York, NY 10112</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340"/>
          </w:cols>
          <w:pgMar w:left="240" w:top="585" w:right="319" w:bottom="1440" w:gutter="0" w:footer="0" w:header="0"/>
          <w:type w:val="continuous"/>
        </w:sectPr>
      </w:pPr>
    </w:p>
    <w:p>
      <w:pPr>
        <w:spacing w:after="0" w:line="1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58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17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4220" w:type="dxa"/>
            <w:vAlign w:val="bottom"/>
          </w:tcPr>
          <w:p>
            <w:pPr>
              <w:ind w:left="178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20, 2018,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85"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When we use the terms “Lazard Group”, “Lazard”,“we”,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June 30, 2018 of all of the common membership interests in Lazard Group and its controlling interest in Lazard Group. Lazard Ltd controls Lazard Group through two of its indirect wholly-owned subsidiaries that are co-managing members of Lazard Group.</w:t>
      </w:r>
    </w:p>
    <w:p>
      <w:pPr>
        <w:spacing w:after="0" w:line="193"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the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tcPr>
          <w:p>
            <w:pPr>
              <w:spacing w:after="0"/>
              <w:rPr>
                <w:sz w:val="24"/>
                <w:szCs w:val="24"/>
                <w:color w:val="auto"/>
              </w:rPr>
            </w:pPr>
          </w:p>
        </w:tc>
      </w:tr>
      <w:tr>
        <w:trPr>
          <w:trHeight w:val="365"/>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291"/>
        </w:trPr>
        <w:tc>
          <w:tcPr>
            <w:tcW w:w="60" w:type="dxa"/>
            <w:vAlign w:val="bottom"/>
          </w:tcPr>
          <w:p>
            <w:pPr>
              <w:spacing w:after="0"/>
              <w:rPr>
                <w:sz w:val="24"/>
                <w:szCs w:val="24"/>
                <w:color w:val="auto"/>
              </w:rPr>
            </w:pPr>
          </w:p>
        </w:tc>
        <w:tc>
          <w:tcPr>
            <w:tcW w:w="7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June 30, 2018 and December 31, 2017</w:t>
              </w:r>
            </w:hyperlink>
          </w:p>
        </w:tc>
        <w:tc>
          <w:tcPr>
            <w:tcW w:w="322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r>
      <w:tr>
        <w:trPr>
          <w:trHeight w:val="318"/>
        </w:trPr>
        <w:tc>
          <w:tcPr>
            <w:tcW w:w="60" w:type="dxa"/>
            <w:vAlign w:val="bottom"/>
          </w:tcPr>
          <w:p>
            <w:pPr>
              <w:spacing w:after="0"/>
              <w:rPr>
                <w:sz w:val="24"/>
                <w:szCs w:val="24"/>
                <w:color w:val="auto"/>
              </w:rPr>
            </w:pPr>
          </w:p>
        </w:tc>
        <w:tc>
          <w:tcPr>
            <w:tcW w:w="89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six month periods ended June 30, 2018 and 2017</w:t>
              </w:r>
            </w:hyperlink>
          </w:p>
        </w:tc>
        <w:tc>
          <w:tcPr>
            <w:tcW w:w="176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r>
      <w:tr>
        <w:trPr>
          <w:trHeight w:val="318"/>
        </w:trPr>
        <w:tc>
          <w:tcPr>
            <w:tcW w:w="6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six month periods ended June 30, 2018 and 2017</w:t>
              </w:r>
            </w:hyperlink>
          </w:p>
        </w:tc>
        <w:tc>
          <w:tcPr>
            <w:tcW w:w="84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r>
      <w:tr>
        <w:trPr>
          <w:trHeight w:val="318"/>
        </w:trPr>
        <w:tc>
          <w:tcPr>
            <w:tcW w:w="60" w:type="dxa"/>
            <w:vAlign w:val="bottom"/>
          </w:tcPr>
          <w:p>
            <w:pPr>
              <w:spacing w:after="0"/>
              <w:rPr>
                <w:sz w:val="24"/>
                <w:szCs w:val="24"/>
                <w:color w:val="auto"/>
              </w:rPr>
            </w:pPr>
          </w:p>
        </w:tc>
        <w:tc>
          <w:tcPr>
            <w:tcW w:w="78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six month periods ended June 30, 2018 and 2017</w:t>
              </w:r>
            </w:hyperlink>
          </w:p>
        </w:tc>
        <w:tc>
          <w:tcPr>
            <w:tcW w:w="292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six month periods ended June 30, 2018 and 2017</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318"/>
        </w:trPr>
        <w:tc>
          <w:tcPr>
            <w:tcW w:w="60" w:type="dxa"/>
            <w:vAlign w:val="bottom"/>
          </w:tcPr>
          <w:p>
            <w:pPr>
              <w:spacing w:after="0"/>
              <w:rPr>
                <w:sz w:val="24"/>
                <w:szCs w:val="24"/>
                <w:color w:val="auto"/>
              </w:rPr>
            </w:pPr>
          </w:p>
        </w:tc>
        <w:tc>
          <w:tcPr>
            <w:tcW w:w="908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66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r>
      <w:tr>
        <w:trPr>
          <w:trHeight w:val="20"/>
        </w:trPr>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2"/>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779,539</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1,470,296</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935,431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35,539</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$34,906 and $23,692 at</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2018 and December 31, 2017,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610,488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487,800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820,521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588,751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505,194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$324,863 and $317,816</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June 30, 2018 and December 31, 2017, respectively)</w:t>
            </w:r>
          </w:p>
        </w:tc>
        <w:tc>
          <w:tcPr>
            <w:tcW w:w="8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214,735</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$62,472 and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$61,202 at June 30, 2018 and December 31, 2017, respectively)</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360,687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368,034</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305,195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224,862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4,070,619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 AND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2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1,055,245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992,338</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591,394</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1,190,383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68,739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65,271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545,092</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3,289,192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3,393,673</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20" w:type="dxa"/>
            <w:vAlign w:val="bottom"/>
          </w:tcPr>
          <w:p>
            <w:pPr>
              <w:ind w:left="260"/>
              <w:spacing w:after="0"/>
              <w:rPr>
                <w:sz w:val="20"/>
                <w:szCs w:val="20"/>
                <w:color w:val="auto"/>
              </w:rPr>
            </w:pPr>
            <w:r>
              <w:rPr>
                <w:rFonts w:ascii="Arial" w:cs="Arial" w:eastAsia="Arial" w:hAnsi="Arial"/>
                <w:sz w:val="18"/>
                <w:szCs w:val="18"/>
                <w:color w:val="auto"/>
              </w:rPr>
              <w:t>Members' equity (net of 8,882,090 and 9,907,479 shares of Lazard Ltd Class A</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20" w:type="dxa"/>
            <w:vAlign w:val="bottom"/>
          </w:tcPr>
          <w:p>
            <w:pPr>
              <w:ind w:left="380"/>
              <w:spacing w:after="0"/>
              <w:rPr>
                <w:sz w:val="20"/>
                <w:szCs w:val="20"/>
                <w:color w:val="auto"/>
              </w:rPr>
            </w:pPr>
            <w:r>
              <w:rPr>
                <w:rFonts w:ascii="Arial" w:cs="Arial" w:eastAsia="Arial" w:hAnsi="Arial"/>
                <w:sz w:val="18"/>
                <w:szCs w:val="18"/>
                <w:color w:val="auto"/>
              </w:rPr>
              <w:t>common stock, at a cost of $410,079 and $411,560 at June 30, 2018 and</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20" w:type="dxa"/>
            <w:vAlign w:val="bottom"/>
          </w:tcPr>
          <w:p>
            <w:pPr>
              <w:ind w:left="380"/>
              <w:spacing w:after="0"/>
              <w:rPr>
                <w:sz w:val="20"/>
                <w:szCs w:val="20"/>
                <w:color w:val="auto"/>
              </w:rPr>
            </w:pPr>
            <w:r>
              <w:rPr>
                <w:rFonts w:ascii="Arial" w:cs="Arial" w:eastAsia="Arial" w:hAnsi="Arial"/>
                <w:sz w:val="18"/>
                <w:szCs w:val="18"/>
                <w:color w:val="auto"/>
              </w:rPr>
              <w:t>December 31, 2017, respectively)</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935,787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1,043,574</w:t>
            </w:r>
          </w:p>
        </w:tc>
        <w:tc>
          <w:tcPr>
            <w:tcW w:w="120" w:type="dxa"/>
            <w:vAlign w:val="bottom"/>
          </w:tcPr>
          <w:p>
            <w:pPr>
              <w:spacing w:after="0"/>
              <w:rPr>
                <w:sz w:val="20"/>
                <w:szCs w:val="20"/>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(211,757)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(195,256)</w:t>
            </w:r>
          </w:p>
        </w:tc>
      </w:tr>
      <w:tr>
        <w:trPr>
          <w:trHeight w:val="223"/>
        </w:trPr>
        <w:tc>
          <w:tcPr>
            <w:tcW w:w="6920" w:type="dxa"/>
            <w:vAlign w:val="bottom"/>
          </w:tcPr>
          <w:p>
            <w:pPr>
              <w:ind w:left="500"/>
              <w:spacing w:after="0"/>
              <w:rPr>
                <w:sz w:val="20"/>
                <w:szCs w:val="20"/>
                <w:color w:val="auto"/>
              </w:rPr>
            </w:pPr>
            <w:r>
              <w:rPr>
                <w:rFonts w:ascii="Arial" w:cs="Arial" w:eastAsia="Arial" w:hAnsi="Arial"/>
                <w:sz w:val="18"/>
                <w:szCs w:val="18"/>
                <w:color w:val="auto"/>
              </w:rPr>
              <w:t>Total Lazard Group LLC Members' Equity</w:t>
            </w:r>
          </w:p>
        </w:tc>
        <w:tc>
          <w:tcPr>
            <w:tcW w:w="9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724,030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848,318</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120" w:type="dxa"/>
            <w:vAlign w:val="bottom"/>
            <w:shd w:val="clear" w:color="auto" w:fill="CFF0FC"/>
          </w:tcPr>
          <w:p>
            <w:pPr>
              <w:spacing w:after="0"/>
              <w:rPr>
                <w:sz w:val="19"/>
                <w:szCs w:val="19"/>
                <w:color w:val="auto"/>
              </w:rPr>
            </w:pPr>
          </w:p>
        </w:tc>
      </w:tr>
      <w:tr>
        <w:trPr>
          <w:trHeight w:val="223"/>
        </w:trPr>
        <w:tc>
          <w:tcPr>
            <w:tcW w:w="6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9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906,900</w:t>
            </w:r>
          </w:p>
        </w:tc>
        <w:tc>
          <w:tcPr>
            <w:tcW w:w="12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9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4,070,619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40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8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418,823</w:t>
            </w:r>
          </w:p>
        </w:tc>
        <w:tc>
          <w:tcPr>
            <w:tcW w:w="160" w:type="dxa"/>
            <w:vAlign w:val="bottom"/>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410,025</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826,895</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744,941</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673,987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566,803</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31,065</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51,937</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769,157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729,724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1,536,890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1,367,025</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28,522</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1,507,900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1,338,503</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414,615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413,532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817,922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774,848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58,252</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43,418</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55,958</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20,554</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68,411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34,247</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21,357</w:t>
            </w:r>
          </w:p>
        </w:tc>
        <w:tc>
          <w:tcPr>
            <w:tcW w:w="120" w:type="dxa"/>
            <w:vAlign w:val="bottom"/>
            <w:shd w:val="clear" w:color="auto" w:fill="CFF0FC"/>
          </w:tcPr>
          <w:p>
            <w:pPr>
              <w:spacing w:after="0"/>
              <w:rPr>
                <w:sz w:val="19"/>
                <w:szCs w:val="19"/>
                <w:color w:val="auto"/>
              </w:rPr>
            </w:pPr>
          </w:p>
        </w:tc>
      </w:tr>
      <w:tr>
        <w:trPr>
          <w:trHeight w:val="223"/>
        </w:trPr>
        <w:tc>
          <w:tcPr>
            <w:tcW w:w="5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1,129,134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1,010,245</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378,766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328,258</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120" w:type="dxa"/>
            <w:vAlign w:val="bottom"/>
            <w:shd w:val="clear" w:color="auto" w:fill="CFF0FC"/>
          </w:tcPr>
          <w:p>
            <w:pPr>
              <w:spacing w:after="0"/>
              <w:rPr>
                <w:sz w:val="19"/>
                <w:szCs w:val="19"/>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40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5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Borders>
              <w:bottom w:val="single" w:sz="8" w:color="CFF0FC"/>
            </w:tcBorders>
          </w:tcPr>
          <w:p>
            <w:pPr>
              <w:spacing w:after="0"/>
              <w:rPr>
                <w:sz w:val="20"/>
                <w:szCs w:val="20"/>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142,284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325,321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12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(40,576)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(21,627)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Actuarial gain (loss) (net of tax expense (benefit) of $1,746</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$(2,215) for the three months ended June 30, 2018</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2017, respectively, and $404 and $(2,476) for the</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six months ended June 30, 2018 and 2017, respectively)</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(8,609)</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(9,104)</w:t>
            </w:r>
          </w:p>
        </w:tc>
      </w:tr>
      <w:tr>
        <w:trPr>
          <w:trHeight w:val="215"/>
        </w:trPr>
        <w:tc>
          <w:tcPr>
            <w:tcW w:w="550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$468 and $196 for the three</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months ended June 30, 2018 and 2017, respectively,</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and $684 and $472 for the six months ended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June 30, 2018 and 2017, respectively)</w:t>
            </w:r>
          </w:p>
        </w:tc>
        <w:tc>
          <w:tcPr>
            <w:tcW w:w="6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31,960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128,870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305,783</w:t>
            </w:r>
          </w:p>
        </w:tc>
        <w:tc>
          <w:tcPr>
            <w:tcW w:w="12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6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127,455</w:t>
            </w:r>
          </w:p>
        </w:tc>
        <w:tc>
          <w:tcPr>
            <w:tcW w:w="160" w:type="dxa"/>
            <w:vAlign w:val="bottom"/>
          </w:tcPr>
          <w:p>
            <w:pPr>
              <w:spacing w:after="0"/>
              <w:rPr>
                <w:sz w:val="20"/>
                <w:szCs w:val="20"/>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160,353</w:t>
            </w:r>
          </w:p>
        </w:tc>
        <w:tc>
          <w:tcPr>
            <w:tcW w:w="14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308,820</w:t>
            </w:r>
          </w:p>
        </w:tc>
        <w:tc>
          <w:tcPr>
            <w:tcW w:w="240" w:type="dxa"/>
            <w:vAlign w:val="bottom"/>
          </w:tcPr>
          <w:p>
            <w:pPr>
              <w:spacing w:after="0"/>
              <w:rPr>
                <w:sz w:val="20"/>
                <w:szCs w:val="20"/>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302,383</w:t>
            </w:r>
          </w:p>
        </w:tc>
        <w:tc>
          <w:tcPr>
            <w:tcW w:w="1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328,706</w:t>
            </w:r>
          </w:p>
        </w:tc>
        <w:tc>
          <w:tcPr>
            <w:tcW w:w="16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273,823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224,485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(3,725)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(243,419)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(79,998)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(131,417)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(87,708)</w:t>
            </w: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(120,330)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(68,001)</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740"/>
              <w:spacing w:after="0"/>
              <w:rPr>
                <w:sz w:val="20"/>
                <w:szCs w:val="20"/>
                <w:color w:val="auto"/>
              </w:rPr>
            </w:pPr>
            <w:r>
              <w:rPr>
                <w:rFonts w:ascii="Arial" w:cs="Arial" w:eastAsia="Arial" w:hAnsi="Arial"/>
                <w:sz w:val="16"/>
                <w:szCs w:val="16"/>
                <w:color w:val="auto"/>
              </w:rPr>
              <w:t>Net cash (used in) provided by operating activities</w:t>
            </w: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(9,078)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390,980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Additions to property</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(31,846)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(9,408)</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Disposals of property</w:t>
            </w:r>
          </w:p>
        </w:tc>
        <w:tc>
          <w:tcPr>
            <w:tcW w:w="7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1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(30,518)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(9,213)</w:t>
            </w:r>
          </w:p>
        </w:tc>
        <w:tc>
          <w:tcPr>
            <w:tcW w:w="0" w:type="dxa"/>
            <w:vAlign w:val="bottom"/>
          </w:tcPr>
          <w:p>
            <w:pPr>
              <w:spacing w:after="0"/>
              <w:rPr>
                <w:sz w:val="1"/>
                <w:szCs w:val="1"/>
                <w:color w:val="auto"/>
              </w:rPr>
            </w:pPr>
          </w:p>
        </w:tc>
      </w:tr>
      <w:tr>
        <w:trPr>
          <w:trHeight w:val="213"/>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Proceeds from:</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Customer deposits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60"/>
              <w:spacing w:after="0"/>
              <w:rPr>
                <w:sz w:val="20"/>
                <w:szCs w:val="20"/>
                <w:color w:val="auto"/>
              </w:rPr>
            </w:pPr>
            <w:r>
              <w:rPr>
                <w:rFonts w:ascii="Arial" w:cs="Arial" w:eastAsia="Arial" w:hAnsi="Arial"/>
                <w:sz w:val="16"/>
                <w:szCs w:val="16"/>
                <w:color w:val="auto"/>
              </w:rPr>
              <w:t>Payments for:</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Capital lease obligations</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(7,320)</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Lazard Ltd Class A common stock</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(223,795)</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(184,892)</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Distributions to members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(265,592)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(244,722)</w:t>
            </w: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(109,218)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(66,086)</w:t>
            </w:r>
          </w:p>
        </w:tc>
        <w:tc>
          <w:tcPr>
            <w:tcW w:w="0" w:type="dxa"/>
            <w:vAlign w:val="bottom"/>
          </w:tcPr>
          <w:p>
            <w:pPr>
              <w:spacing w:after="0"/>
              <w:rPr>
                <w:sz w:val="1"/>
                <w:szCs w:val="1"/>
                <w:color w:val="auto"/>
              </w:rPr>
            </w:pPr>
          </w:p>
        </w:tc>
      </w:tr>
      <w:tr>
        <w:trPr>
          <w:trHeight w:val="213"/>
        </w:trPr>
        <w:tc>
          <w:tcPr>
            <w:tcW w:w="716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(4,681)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(8,980)</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used in financing activities</w:t>
            </w:r>
          </w:p>
        </w:tc>
        <w:tc>
          <w:tcPr>
            <w:tcW w:w="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60" w:type="dxa"/>
            <w:vAlign w:val="bottom"/>
            <w:vMerge w:val="continue"/>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(537,653)</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(316,786)</w:t>
            </w:r>
          </w:p>
        </w:tc>
        <w:tc>
          <w:tcPr>
            <w:tcW w:w="0" w:type="dxa"/>
            <w:vAlign w:val="bottom"/>
          </w:tcPr>
          <w:p>
            <w:pPr>
              <w:spacing w:after="0"/>
              <w:rPr>
                <w:sz w:val="1"/>
                <w:szCs w:val="1"/>
                <w:color w:val="auto"/>
              </w:rPr>
            </w:pPr>
          </w:p>
        </w:tc>
      </w:tr>
      <w:tr>
        <w:trPr>
          <w:trHeight w:val="196"/>
        </w:trPr>
        <w:tc>
          <w:tcPr>
            <w:tcW w:w="7160" w:type="dxa"/>
            <w:vAlign w:val="bottom"/>
          </w:tcPr>
          <w:p>
            <w:pPr>
              <w:spacing w:after="0"/>
              <w:rPr>
                <w:sz w:val="20"/>
                <w:szCs w:val="20"/>
                <w:color w:val="auto"/>
              </w:rPr>
            </w:pPr>
            <w:r>
              <w:rPr>
                <w:rFonts w:ascii="Arial" w:cs="Arial" w:eastAsia="Arial" w:hAnsi="Arial"/>
                <w:sz w:val="16"/>
                <w:szCs w:val="16"/>
                <w:b w:val="1"/>
                <w:bCs w:val="1"/>
                <w:color w:val="auto"/>
              </w:rPr>
              <w:t>EFFECT OF EXCHANGE RATE CHANGES ON CASH AND CASH EQUIVALENTS AND</w:t>
            </w:r>
          </w:p>
        </w:tc>
        <w:tc>
          <w:tcPr>
            <w:tcW w:w="7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(46,727)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(DECREASE) INCREASE IN CASH AND CASH EQUIVALENTS AND</w:t>
            </w:r>
          </w:p>
        </w:tc>
        <w:tc>
          <w:tcPr>
            <w:tcW w:w="7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(623,976)</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AND RESTRICTED CASH—January 1</w:t>
            </w:r>
          </w:p>
        </w:tc>
        <w:tc>
          <w:tcPr>
            <w:tcW w:w="7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2,441,266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1,580,138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CASH—June 30</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1,817,290</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1,736,173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WITHIN THE CONDENSED CONSOLIDATED STATEMENTS OF FINANCIAL</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CONDITION:</w:t>
      </w:r>
    </w:p>
    <w:p>
      <w:pPr>
        <w:spacing w:after="0" w:line="69" w:lineRule="exact"/>
        <w:rPr>
          <w:sz w:val="20"/>
          <w:szCs w:val="20"/>
          <w:color w:val="auto"/>
        </w:rPr>
      </w:pPr>
    </w:p>
    <w:p>
      <w:pPr>
        <w:jc w:val="center"/>
        <w:ind w:left="7920"/>
        <w:spacing w:after="0"/>
        <w:rPr>
          <w:sz w:val="20"/>
          <w:szCs w:val="20"/>
          <w:color w:val="auto"/>
        </w:rPr>
      </w:pPr>
      <w:r>
        <w:rPr>
          <w:rFonts w:ascii="Arial" w:cs="Arial" w:eastAsia="Arial" w:hAnsi="Arial"/>
          <w:sz w:val="12"/>
          <w:szCs w:val="12"/>
          <w:b w:val="1"/>
          <w:bCs w:val="1"/>
          <w:color w:val="auto"/>
        </w:rPr>
        <w:t>June 30,</w:t>
      </w:r>
    </w:p>
    <w:p>
      <w:pPr>
        <w:spacing w:after="0" w:line="78"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995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December 31,</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6350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337"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880" w:type="dxa"/>
            <w:vAlign w:val="bottom"/>
            <w:gridSpan w:val="2"/>
            <w:shd w:val="clear" w:color="auto" w:fill="CFF0FC"/>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779,539</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1,470,296</w:t>
            </w: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Deposits with banks and short-term investments</w:t>
            </w: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1,000,662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935,431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3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37,089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35,539</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TOTAL CASH AND CASH EQUIVALENTS AND RESTRICTED CASH</w:t>
            </w:r>
          </w:p>
        </w:tc>
        <w:tc>
          <w:tcPr>
            <w:tcW w:w="1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1,817,290</w:t>
            </w:r>
          </w:p>
        </w:tc>
        <w:tc>
          <w:tcPr>
            <w:tcW w:w="28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2,441,266</w:t>
            </w:r>
          </w:p>
        </w:tc>
        <w:tc>
          <w:tcPr>
            <w:tcW w:w="120" w:type="dxa"/>
            <w:vAlign w:val="bottom"/>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4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Adjustment for the cumulative effect on prior</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r>
      <w:tr>
        <w:trPr>
          <w:trHeight w:val="213"/>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00" w:type="dxa"/>
            <w:vAlign w:val="bottom"/>
            <w:shd w:val="clear" w:color="auto" w:fill="CFF0FC"/>
          </w:tcPr>
          <w:p>
            <w:pPr>
              <w:spacing w:after="0"/>
              <w:rPr>
                <w:sz w:val="18"/>
                <w:szCs w:val="18"/>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270,424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273,823</w:t>
            </w:r>
          </w:p>
        </w:tc>
        <w:tc>
          <w:tcPr>
            <w:tcW w:w="100" w:type="dxa"/>
            <w:vAlign w:val="bottom"/>
            <w:shd w:val="clear" w:color="auto" w:fill="CFF0FC"/>
          </w:tcPr>
          <w:p>
            <w:pPr>
              <w:spacing w:after="0"/>
              <w:rPr>
                <w:sz w:val="19"/>
                <w:szCs w:val="19"/>
                <w:color w:val="auto"/>
              </w:rPr>
            </w:pPr>
          </w:p>
        </w:tc>
      </w:tr>
      <w:tr>
        <w:trPr>
          <w:trHeight w:val="206"/>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Other comprehensive income - net</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260"/>
              <w:spacing w:after="0"/>
              <w:rPr>
                <w:sz w:val="20"/>
                <w:szCs w:val="20"/>
                <w:color w:val="auto"/>
              </w:rPr>
            </w:pPr>
            <w:r>
              <w:rPr>
                <w:rFonts w:ascii="Arial" w:cs="Arial" w:eastAsia="Arial" w:hAnsi="Arial"/>
                <w:sz w:val="16"/>
                <w:szCs w:val="16"/>
                <w:color w:val="auto"/>
              </w:rPr>
              <w:t>of tax</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31,960</w:t>
            </w: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163,001</w:t>
            </w:r>
          </w:p>
        </w:tc>
        <w:tc>
          <w:tcPr>
            <w:tcW w:w="100" w:type="dxa"/>
            <w:vAlign w:val="bottom"/>
            <w:shd w:val="clear" w:color="auto" w:fill="CFF0FC"/>
          </w:tcPr>
          <w:p>
            <w:pPr>
              <w:spacing w:after="0"/>
              <w:rPr>
                <w:sz w:val="19"/>
                <w:szCs w:val="19"/>
                <w:color w:val="auto"/>
              </w:rPr>
            </w:pPr>
          </w:p>
        </w:tc>
      </w:tr>
      <w:tr>
        <w:trPr>
          <w:trHeight w:val="213"/>
        </w:trPr>
        <w:tc>
          <w:tcPr>
            <w:tcW w:w="42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(244,722)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(244,722)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(1,733)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(246,455)</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(184,892)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(184,892)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(184,892)</w:t>
            </w:r>
          </w:p>
        </w:tc>
      </w:tr>
      <w:tr>
        <w:trPr>
          <w:trHeight w:val="206"/>
        </w:trPr>
        <w:tc>
          <w:tcPr>
            <w:tcW w:w="42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(66,086)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(66,086)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(66,086)</w:t>
            </w: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220" w:type="dxa"/>
            <w:vAlign w:val="bottom"/>
            <w:gridSpan w:val="2"/>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2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r>
      <w:tr>
        <w:trPr>
          <w:trHeight w:val="21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(3,679)</w:t>
            </w:r>
          </w:p>
        </w:tc>
      </w:tr>
      <w:tr>
        <w:trPr>
          <w:trHeight w:val="207"/>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2017 (*)</w:t>
            </w:r>
          </w:p>
        </w:tc>
        <w:tc>
          <w:tcPr>
            <w:tcW w:w="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888,641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(238,816)</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649,825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59,117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708,942</w:t>
            </w:r>
          </w:p>
        </w:tc>
        <w:tc>
          <w:tcPr>
            <w:tcW w:w="10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30" w:lineRule="exact"/>
        <w:rPr>
          <w:sz w:val="20"/>
          <w:szCs w:val="20"/>
          <w:color w:val="auto"/>
        </w:rPr>
      </w:pPr>
    </w:p>
    <w:p>
      <w:pPr>
        <w:ind w:left="380" w:hanging="348"/>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6"/>
          <w:szCs w:val="16"/>
          <w:color w:val="auto"/>
        </w:rPr>
        <w:t>As of January 1, 2017 and June 30, 2017, in addition to profit participation interests, there were two managing member interests.</w:t>
      </w:r>
    </w:p>
    <w:p>
      <w:pPr>
        <w:spacing w:after="0" w:line="207" w:lineRule="exact"/>
        <w:rPr>
          <w:rFonts w:ascii="Arial" w:cs="Arial" w:eastAsia="Arial" w:hAnsi="Arial"/>
          <w:sz w:val="18"/>
          <w:szCs w:val="18"/>
          <w:color w:val="auto"/>
        </w:rPr>
      </w:pPr>
    </w:p>
    <w:p>
      <w:pPr>
        <w:ind w:left="3640"/>
        <w:spacing w:after="0"/>
        <w:rPr>
          <w:rFonts w:ascii="Arial" w:cs="Arial" w:eastAsia="Arial" w:hAnsi="Arial"/>
          <w:sz w:val="18"/>
          <w:szCs w:val="18"/>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Lazard Group</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Members'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1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 January 1, 2018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1,043,574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(195,256)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848,318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58,582</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906,900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6"/>
                <w:szCs w:val="16"/>
                <w:color w:val="auto"/>
              </w:rPr>
              <w:t>Comprehensive income (loss):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328,706</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Other comprehensive loss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(16,501)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(16,501)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(16,502)</w:t>
            </w: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169,830</w:t>
            </w:r>
          </w:p>
        </w:tc>
        <w:tc>
          <w:tcPr>
            <w:tcW w:w="120" w:type="dxa"/>
            <w:vAlign w:val="bottom"/>
            <w:shd w:val="clear" w:color="auto" w:fill="CFF0FC"/>
          </w:tcPr>
          <w:p>
            <w:pPr>
              <w:spacing w:after="0"/>
              <w:rPr>
                <w:sz w:val="19"/>
                <w:szCs w:val="19"/>
                <w:color w:val="auto"/>
              </w:rPr>
            </w:pP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(265,592)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(265,592)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(4,569)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(270,161)</w:t>
            </w: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(223,795)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(223,795)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(223,795)</w:t>
            </w:r>
          </w:p>
        </w:tc>
      </w:t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Delivery of Lazard Ltd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(109,218)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(109,218)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(109,218)</w:t>
            </w:r>
          </w:p>
        </w:tc>
      </w:tr>
      <w:tr>
        <w:trPr>
          <w:trHeight w:val="20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gridSpan w:val="2"/>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gridSpan w:val="2"/>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r>
      <w:tr>
        <w:trPr>
          <w:trHeight w:val="219"/>
        </w:trPr>
        <w:tc>
          <w:tcPr>
            <w:tcW w:w="4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(4,518)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(4,518)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(4,518)</w:t>
            </w:r>
          </w:p>
        </w:tc>
      </w:tr>
      <w:tr>
        <w:trPr>
          <w:trHeight w:val="207"/>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Balance - June 30, 2018 (*)</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935,787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(211,757)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724,030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57,397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781,427</w:t>
            </w:r>
          </w:p>
        </w:tc>
        <w:tc>
          <w:tcPr>
            <w:tcW w:w="12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1"/>
        </w:trPr>
        <w:tc>
          <w:tcPr>
            <w:tcW w:w="192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30" w:lineRule="exact"/>
        <w:rPr>
          <w:sz w:val="20"/>
          <w:szCs w:val="20"/>
          <w:color w:val="auto"/>
        </w:rPr>
      </w:pPr>
    </w:p>
    <w:p>
      <w:pPr>
        <w:ind w:left="380" w:hanging="34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6"/>
          <w:szCs w:val="16"/>
          <w:color w:val="auto"/>
        </w:rPr>
        <w:t>As of January 1, 2018 and June 30, 2018, in addition to profit participation interests, there were two managing member interests.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73"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Ltd indirectly held 100% of all outstanding Lazard Group common membership interests as of June 30, 2018 and December 31, 2017. Lazard Ltd, through its control of the managing members of Lazard Group, controls Lazard Group.</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jc w:val="both"/>
        <w:ind w:left="900" w:right="6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2017. The accompanying December 31, 2017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six month periods ended June 30, 2018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related to the adoption of new guidance impacting the condensed consolidated statements of cash flows (see Note 2).</w:t>
      </w:r>
    </w:p>
    <w:p>
      <w:pPr>
        <w:spacing w:after="0" w:line="3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adopted the revenue recognition guidance upon its effective date of January 1, 2018 using the modified cumulative effect approach. The Company applied the new guidance to contracts that have not yet been completed as of the adoption date. The Company’s adoption efforts included the identification of revenue within the scope of the guidance and the evaluation of revenue contracts.</w:t>
      </w:r>
    </w:p>
    <w:p>
      <w:pPr>
        <w:spacing w:after="0" w:line="18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The Company evaluated the potential impact of the new guidance, including (i) the timing of revenue recognition for Financial Advisory and Asset Management fees and (ii) the presentation of certain contract costs. With respect to revenue recognition, the Company assessed the impact of the new guidance on the recognition of fees for Financial Advisory (e.g., transaction completion, transaction announcement and retainers), and Asset Management (e.g., management and incentive fees). This assessment included an analysis of whether the Company’s fulfillment of its performance obligations would be deemed to occur over time, or at specific points in time, under the new guidance. Specifically, recognition would be deemed to occur over time if the client receives and consumes benefits from the services as the Company performs the services. The Company concluded that Financial Advisory and Asset Management fees would typically be recognized over time as performance occurs, subject to constraints, using an appropriate measure of progress based on resources consumed, which is consistent with when the client receives benefits. There was no material impact to the Company’s recognition of revenue upon adoption of the new guidance.</w:t>
      </w:r>
    </w:p>
    <w:p>
      <w:pPr>
        <w:spacing w:after="0" w:line="18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new guidance requires the Company to prospectively present certain contract costs on a gross basis. The most significant changes with respect to presentation relate to (a) certain distribution costs within our Asset Management business and (b) certain reimbursable deal costs within our Financial Advisory business, both of which were previously presented net against revenues and are now presented as expenses on a gross basis under the new guidance because the Company is primarily responsible for fulfilling the promise of the arrangement. For the three month and six month periods ended June 30, 2018, the presentation of such costs on a gross basis resulted in an increase to net revenue of $24,053 and $47,609, respectively, primarily comprised of increases to asset management fees and investment banking and other advisory fees. In addition, there was a corresponding increase to operating expenses of $24,053 and $47,609, respectively, primarily comprised of an increase to distribution costs presented within fund administration and outsourced services and an increase to reimbursable deal costs presented within marketing and business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development. These amounts would have been presented on a net basis prior to the adoption of the new guidance, and there was no material impact to net income as a result of the gross basis of presentation under the new guidance.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for further information on contracts within the scope of the new guidance.</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In August and November 2016, the FASB issued updated guidance which clarifies how</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is to be applied on a retrospective basis. The Company adopted this new guidance on January 1, 2018. The adoption of the new guidance in the first quarter of 2018 resulted in the reclassification of “cash deposited with clearing organization and other segregated cash” and “deposits with banks and short-term investments” from operating activities to components of “cash and cash equivalents and restricted cash” on the condensed consolidated statement of cash flows. In addition, the Company reclassified cash flows related to customer deposits from operating activities to financing activities. This resulted in changes in deposits with banks and short-term investments and customer deposits no longer being reflected in cash flows from operating activities. Except for the reclassification of these items on the condensed consolidated statement of cash flows, the new guidance had no impact on the Company’s financial statements.</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In January 2017, the FASB issued updated guidance to clarify the definition of a business within the context</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combinations. The updated guidance requires that when substantially all of the fair value of the gross assets acquired (or disposed of) is concentrated in a single identifiable asset or a group of similar identifiable assets, such asset or group of assets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adopted the new guidance on January 1, 2018 and it will be applied to business combinations on a prospective basis.</w:t>
      </w:r>
    </w:p>
    <w:p>
      <w:pPr>
        <w:spacing w:after="0" w:line="179" w:lineRule="exact"/>
        <w:rPr>
          <w:sz w:val="20"/>
          <w:szCs w:val="20"/>
          <w:color w:val="auto"/>
        </w:rPr>
      </w:pPr>
    </w:p>
    <w:p>
      <w:pPr>
        <w:ind w:right="320" w:firstLine="518"/>
        <w:spacing w:after="0" w:line="271" w:lineRule="auto"/>
        <w:rPr>
          <w:sz w:val="20"/>
          <w:szCs w:val="20"/>
          <w:color w:val="auto"/>
        </w:rPr>
      </w:pP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Retirement Benefits</w:t>
      </w:r>
      <w:r>
        <w:rPr>
          <w:rFonts w:ascii="Arial" w:cs="Arial" w:eastAsia="Arial" w:hAnsi="Arial"/>
          <w:sz w:val="17"/>
          <w:szCs w:val="17"/>
          <w:color w:val="auto"/>
        </w:rPr>
        <w:t>—</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applied on a retrospective basis. The other components of net benefit cost, including amortization of prior service cost, and gains and losses from settlements and curtailments, are included in other operating expenses. The new guidance also stipulates that only the service cost component of net benefit cost is eligible for capitalization, applied on a prospective basis. This new guidance is effective for annual and interim periods beginning after December 15, 2017. The Company adopted the new guidance on January 1, 2018 and there was no material impact to the Company’s financial statements.</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and is to be applied on a prospective basis. The Company adopted the new guidance on January 1, 2018, and there was no material impact to the Company’s financial statements.</w:t>
      </w:r>
    </w:p>
    <w:p>
      <w:pPr>
        <w:spacing w:after="0" w:line="193" w:lineRule="exact"/>
        <w:rPr>
          <w:sz w:val="20"/>
          <w:szCs w:val="20"/>
          <w:color w:val="auto"/>
        </w:rPr>
      </w:pPr>
    </w:p>
    <w:p>
      <w:pPr>
        <w:ind w:right="20" w:firstLine="552"/>
        <w:spacing w:after="0" w:line="271" w:lineRule="auto"/>
        <w:rPr>
          <w:sz w:val="20"/>
          <w:szCs w:val="20"/>
          <w:color w:val="auto"/>
        </w:rPr>
      </w:pP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In February 2018, the FASB issued updated guidance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tax effects of items in “accumulated other comprehensive income (loss), net of tax” (“AOCI”). Specifically, the new guidance will permit, but not require, a reclassification from AOCI to retained earnings for stranded tax effects resulting from the newly enacted federal corporate income tax rate under the Tax Cuts and Jobs Act of 2017 (see Note 15). The amount of the reclassification would be the difference between the historical corporate income tax rate and the newly enacted 21% corporate income tax rate. The new guidance is effective for annual and interim periods beginning after December 15, 2018, with an option to apply it in the period of adoption or on a retrospective basis for each period in which the effect of the change in the U.S. federal corporate income tax rate is recognized. Early adoption of the new guidance is permitted for public business entities for reporting periods for which financial statements have not yet been issued. The Company is currently evaluating the new guidance.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In June 2018, the FASB issued updated guidance to simplify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share-based payment transactions. The new guidance generally requires equity-classified nonemployee share-based payment awards to be measured at the grant date, which is the date at which a grantor and grantee reach a mutual understanding of the key terms and conditions of a share-based payment award. This update generally aligns the accounting for equity-classified share-based payment awards to nonemployees with the measurement date required for employees. The new guidance is effective for annual and interim periods beginning after December 15, 2018, with early adoption permitted. Upon adoption, the new guidance would be applied on a modified retrospective basis. The Company is currently evaluating the new guidance.</w:t>
      </w:r>
    </w:p>
    <w:p>
      <w:pPr>
        <w:spacing w:after="0" w:line="165"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b w:val="1"/>
          <w:bCs w:val="1"/>
          <w:i w:val="1"/>
          <w:iCs w:val="1"/>
          <w:color w:val="auto"/>
        </w:rPr>
        <w:t>Investment Banking and Other Advisory Fees</w:t>
      </w:r>
      <w:r>
        <w:rPr>
          <w:rFonts w:ascii="Arial" w:cs="Arial" w:eastAsia="Arial" w:hAnsi="Arial"/>
          <w:sz w:val="17"/>
          <w:szCs w:val="17"/>
          <w:color w:val="auto"/>
        </w:rPr>
        <w:t>—Fees for Financial Advisory services are recorded when: (i) a contract with a client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 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8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760" w:firstLine="518"/>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196"/>
              <w:spacing w:after="0"/>
              <w:rPr>
                <w:sz w:val="20"/>
                <w:szCs w:val="20"/>
                <w:color w:val="auto"/>
              </w:rPr>
            </w:pPr>
            <w:r>
              <w:rPr>
                <w:rFonts w:ascii="Arial" w:cs="Arial" w:eastAsia="Arial" w:hAnsi="Arial"/>
                <w:sz w:val="14"/>
                <w:szCs w:val="14"/>
                <w:b w:val="1"/>
                <w:bCs w:val="1"/>
                <w:color w:val="auto"/>
              </w:rPr>
              <w:t>June 30, 2018 (d)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2018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2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Financial Advisory (a)</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419,468</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827,935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324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Management Fees and Other (b)</w:t>
            </w:r>
          </w:p>
        </w:tc>
        <w:tc>
          <w:tcPr>
            <w:tcW w:w="2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340,160</w:t>
            </w:r>
          </w:p>
        </w:tc>
        <w:tc>
          <w:tcPr>
            <w:tcW w:w="4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Incentive Fees (c)</w:t>
            </w:r>
          </w:p>
        </w:tc>
        <w:tc>
          <w:tcPr>
            <w:tcW w:w="2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2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right="200" w:hanging="372"/>
        <w:spacing w:after="0" w:line="26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5" w:lineRule="exact"/>
        <w:rPr>
          <w:rFonts w:ascii="Arial" w:cs="Arial" w:eastAsia="Arial" w:hAnsi="Arial"/>
          <w:sz w:val="17"/>
          <w:szCs w:val="17"/>
          <w:color w:val="auto"/>
        </w:rPr>
      </w:pPr>
    </w:p>
    <w:p>
      <w:pPr>
        <w:ind w:left="380" w:right="80" w:hanging="372"/>
        <w:spacing w:after="0" w:line="25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380" w:right="44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73" w:lineRule="exact"/>
        <w:rPr>
          <w:sz w:val="20"/>
          <w:szCs w:val="20"/>
          <w:color w:val="auto"/>
        </w:rPr>
      </w:pPr>
    </w:p>
    <w:p>
      <w:pPr>
        <w:ind w:right="260" w:firstLine="518"/>
        <w:spacing w:after="0" w:line="276"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and six month periods ended June 30, 2018 and 2017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38,505</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29,662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13,831</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(4,265)</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(4,748)</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(5,404)</w:t>
            </w:r>
          </w:p>
        </w:tc>
        <w:tc>
          <w:tcPr>
            <w:tcW w:w="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(5,123)</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34,906</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25,094</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25,094</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Bad debt expense, net of recoveries is included in “operating expenses</w:t>
      </w:r>
      <w:r>
        <w:rPr>
          <w:rFonts w:ascii="Arial" w:cs="Arial" w:eastAsia="Arial" w:hAnsi="Arial"/>
          <w:sz w:val="17"/>
          <w:szCs w:val="17"/>
          <w:i w:val="1"/>
          <w:iCs w:val="1"/>
          <w:color w:val="auto"/>
        </w:rPr>
        <w:t>—</w:t>
      </w:r>
      <w:r>
        <w:rPr>
          <w:rFonts w:ascii="Arial" w:cs="Arial" w:eastAsia="Arial" w:hAnsi="Arial"/>
          <w:sz w:val="17"/>
          <w:szCs w:val="17"/>
          <w:color w:val="auto"/>
        </w:rPr>
        <w:t>other” on the condensed consolidated statements of operations.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2018 and December 31, 2017, the Company had receivables past due or deemed uncollectible of $42,384 and $34,865, respectively.</w:t>
      </w:r>
    </w:p>
    <w:p>
      <w:pPr>
        <w:spacing w:after="0" w:line="24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Of the Company’s fee receivables at June 30, 2018 and December 31, 2017, $74,668 and $80,536, respectively, represented interest-bearing financing receivables. In addition, at June 30, 2018 and December 31, 2017, the Company had interest-bearing receivables from Lazard Ltd subsidiaries of $83,069 and $72,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84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$662,784 and $508,143 at June 30, 2018 and December 31, 2017, respectively,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2018 and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505,194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504,664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4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$11,898, $57,444 and $147,862, respectively, at June 30, 2018 and $11,213, $48,391 and $131,893, respectively, at December 31, 2017,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During the three month and six month periods ended June 30, 2018 and 2017,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84"/>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 (losses)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7,803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(15,155)</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 See Note 11.</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The following tables present, as of June 30, 2018 and December 31, 2017, the classification of (i) investments and certain other assets and liabilities measured at fair value on a recurring basis within the fair value hierarchy and (ii) investments measured at NAV or its equivalent as a practical expedient: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2018</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434,788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511,063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202,975</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199,565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199,618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344,660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430,362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six month periods ended June 30, 2018 and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Three Months Ended June 30, 2018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2"/>
              </w:rPr>
              <w:t>Six Months Ended June 30, 2018</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Three Months Ended June 30, 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Dispositions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Six Months Ended June 30,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Beginning</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Purchases/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1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Acquisitions</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Dispositions</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tcPr>
          <w:p>
            <w:pPr>
              <w:ind w:left="240"/>
              <w:spacing w:after="0"/>
              <w:rPr>
                <w:sz w:val="20"/>
                <w:szCs w:val="20"/>
                <w:color w:val="auto"/>
              </w:rPr>
            </w:pPr>
            <w:r>
              <w:rPr>
                <w:rFonts w:ascii="Arial" w:cs="Arial" w:eastAsia="Arial" w:hAnsi="Arial"/>
                <w:sz w:val="18"/>
                <w:szCs w:val="18"/>
                <w:color w:val="auto"/>
              </w:rPr>
              <w:t>Total Level 3 Assets</w:t>
            </w:r>
          </w:p>
        </w:tc>
        <w:tc>
          <w:tcPr>
            <w:tcW w:w="10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1,508</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178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Level 3 Liabilities</w:t>
            </w:r>
          </w:p>
        </w:tc>
        <w:tc>
          <w:tcPr>
            <w:tcW w:w="10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 w:hanging="372"/>
        <w:spacing w:after="0" w:line="25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six month periods ended June 30, 2018 and the three month and six month periods ended June 30, 2017 include net unrealized gains (losses) of $62, $61, $(128) and $(128), respectively. Earnings recorded in “amortization and other acquisition-related (benefits) costs” for the contingent consideration liability for the three month and six month periods ended June 30, 2018 and the three month and six month periods ended June 30, 2017 include unrealized (gains) losses of $(1,191), $(1,186), $30 and $744, respectively.</w:t>
      </w:r>
    </w:p>
    <w:p>
      <w:pPr>
        <w:spacing w:after="0" w:line="20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2018 and 2017.</w:t>
      </w:r>
    </w:p>
    <w:p>
      <w:pPr>
        <w:spacing w:after="0" w:line="17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present, at June 30, 2018 and December 31, 2017,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June 30, 2018</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ind w:left="620"/>
              <w:spacing w:after="0" w:line="133" w:lineRule="exact"/>
              <w:rPr>
                <w:sz w:val="20"/>
                <w:szCs w:val="20"/>
                <w:color w:val="auto"/>
              </w:rPr>
            </w:pPr>
            <w:r>
              <w:rPr>
                <w:rFonts w:ascii="Arial" w:cs="Arial" w:eastAsia="Arial" w:hAnsi="Arial"/>
                <w:sz w:val="14"/>
                <w:szCs w:val="14"/>
                <w:b w:val="1"/>
                <w:bCs w:val="1"/>
                <w:color w:val="auto"/>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ind w:left="720"/>
              <w:spacing w:after="0"/>
              <w:rPr>
                <w:sz w:val="20"/>
                <w:szCs w:val="20"/>
                <w:color w:val="auto"/>
              </w:rPr>
            </w:pPr>
            <w:r>
              <w:rPr>
                <w:rFonts w:ascii="Arial" w:cs="Arial" w:eastAsia="Arial" w:hAnsi="Arial"/>
                <w:sz w:val="14"/>
                <w:szCs w:val="14"/>
                <w:b w:val="1"/>
                <w:bCs w:val="1"/>
                <w:color w:val="auto"/>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2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67,258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8,650</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39%</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43%</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68,247</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(19%), monthly (49%) and quarterly (32%)</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$15,517 are excluded. Such commitments are required to be funded by capital contributions from noncontrolling interest 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2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Investments Not Redeemable</w:t>
            </w: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60" w:type="dxa"/>
            <w:vAlign w:val="bottom"/>
          </w:tcPr>
          <w:p>
            <w:pPr>
              <w:jc w:val="right"/>
              <w:ind w:right="4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8"/>
              </w:rPr>
              <w:t>Alternative investment funds:</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2,517</w:t>
            </w: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04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6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04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w:t>
            </w:r>
          </w:p>
        </w:tc>
        <w:tc>
          <w:tcPr>
            <w:tcW w:w="1160" w:type="dxa"/>
            <w:vAlign w:val="bottom"/>
            <w:tcBorders>
              <w:bottom w:val="single" w:sz="8" w:color="CFF0FC"/>
            </w:tcBorders>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16%</w:t>
            </w:r>
          </w:p>
        </w:tc>
        <w:tc>
          <w:tcPr>
            <w:tcW w:w="116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38%</w:t>
            </w:r>
          </w:p>
        </w:tc>
        <w:tc>
          <w:tcPr>
            <w:tcW w:w="1180" w:type="dxa"/>
            <w:vAlign w:val="bottom"/>
            <w:tcBorders>
              <w:bottom w:val="single" w:sz="8" w:color="CFF0FC"/>
            </w:tcBorders>
            <w:gridSpan w:val="2"/>
          </w:tcPr>
          <w:p>
            <w:pPr>
              <w:ind w:left="740"/>
              <w:spacing w:after="0"/>
              <w:rPr>
                <w:sz w:val="20"/>
                <w:szCs w:val="20"/>
                <w:color w:val="auto"/>
              </w:rPr>
            </w:pPr>
            <w:r>
              <w:rPr>
                <w:rFonts w:ascii="Arial" w:cs="Arial" w:eastAsia="Arial" w:hAnsi="Arial"/>
                <w:sz w:val="16"/>
                <w:szCs w:val="16"/>
                <w:color w:val="auto"/>
              </w:rPr>
              <w:t>46%</w:t>
            </w: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80,378</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10,300</w:t>
            </w:r>
          </w:p>
        </w:tc>
        <w:tc>
          <w:tcPr>
            <w:tcW w:w="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weekly (3%), monthly (5%) and quarterly (92%)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$5,902 are excluded. Such commitments are required to be funded by capital contributions from noncontrolling interest holders.</w:t>
      </w:r>
    </w:p>
    <w:p>
      <w:pPr>
        <w:spacing w:after="0" w:line="184"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2018,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$7,847.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June 30, 2018 and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4,846</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202,975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00" w:hanging="372"/>
        <w:spacing w:after="0" w:line="259"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$5,789 and $592 as of June 30, 2018, respectively, and $469 and $11,321 as of December 31, 2017, respectively, for contracts with the same counterparty under legally enforceable master netting agreements. Such amounts are recorded “net” in “other assets”, with receivables for net cash collateral under such contracts of $1,216 and $17,616 as of June 30, 2018 and December 31, 2017, respectively.</w:t>
      </w:r>
    </w:p>
    <w:p>
      <w:pPr>
        <w:spacing w:after="0" w:line="20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six month periods ended June 30, 2018 and 2017,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7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6,236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(5,753)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(13,106)</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(3,597)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7,525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2018 and December 31, 2017,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147,669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539,598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521,644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324,863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214,735</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203,828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2018 and December 31, 2017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360,687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368,034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At June 30, 2018 and December 31, 2017, goodwill of $291,392 and $298,219, respectively, was attributable to the Company’s Financial Advisory segment and, at each such respective date, $64,541 of goodwill was attributable to the Company’s Asset Management segment.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six month periods ended June 30, 2018 and 2017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(6,827)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All changes in the carrying amount of goodwill for the six month periods ended June 30, 2018 and 2017 are attributable to the Company’s Financial Advisory segment.</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June 30, 2018 and December 31, 2017,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29,060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27,927</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33,412</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67,226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62,472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61,202</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(benefits) costs” in the condensed consolidated statements of operations, for the three month and six month periods ended June 30, 2018 was $653 and $1,270, respectively, and for the three month and six month periods ended June 30, 2017 was $433 and $867, respectively. Estimated future amortization expense is as follows: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40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gridSpan w:val="3"/>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2018 (July 1 through December 31)</w:t>
            </w:r>
          </w:p>
        </w:tc>
        <w:tc>
          <w:tcPr>
            <w:tcW w:w="2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4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20" w:right="3040" w:hanging="4464"/>
        <w:spacing w:after="0" w:line="825" w:lineRule="auto"/>
        <w:tabs>
          <w:tab w:leader="none" w:pos="15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37% of intangible asset amortization is attributable to a noncontrolling interest.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ind w:left="60"/>
              <w:spacing w:after="0" w:line="155" w:lineRule="exact"/>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7"/>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4"/>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1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6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497,813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Lazard Group 2025</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396,876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6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296,588</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26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1,191,277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1,190,383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6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9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June 30, 2018 and December 31, 2017,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June 30, 2018, the Company was in compliance with such provisions. All of the Company’s senior debt obligations are unsecured.</w:t>
      </w:r>
    </w:p>
    <w:p>
      <w:pPr>
        <w:spacing w:after="0" w:line="14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As of June 30, 2018, the Company had approximately $169,000 in unused lines of credit available to it, including the credit facility provided under the Amended and Restated Credit Agreement and unused lines of credit available to LFB of approximately $17,000 (at June 30, 2018 exchange rates).</w:t>
      </w:r>
    </w:p>
    <w:p>
      <w:pPr>
        <w:spacing w:after="0" w:line="12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Company’s senior debt at June 30, 2018 and December 31, 2017 is carried at historical amounts of $1,191,277 and $1,190,383, respectively. At those dates, the fair value of such senior debt was approximately $1,183,000 and $1,230,000,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2018, LFB had $2,750 of such indemnifications and held $2,750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the remaining consideration consists of (i) 60,817 shares of Class A common stock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non-compete provisions, and (ii) up to 210,431 additional shares of Class A common stock that are subject to certain performance thresholds. As of June 30, 2018, none of the contingent shares had been earned.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June 30, 2018, LFB and LFNY had no such underwriting commitments.</w:t>
      </w:r>
    </w:p>
    <w:p>
      <w:pPr>
        <w:spacing w:after="0" w:line="18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During the six month periods ended June 30, 2018 and 2017, Lazard Group distributed $265,592 and $244,722, respectively, to the subsidiaries of Lazard Ltd.</w:t>
      </w:r>
    </w:p>
    <w:p>
      <w:pPr>
        <w:spacing w:after="0" w:line="170"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340"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six month period ended June 30, 2018 and since 2015, the Board of Directors of Lazard authorized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 of Lazard Ltd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gridSpan w:val="2"/>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134"/>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February 2015</w:t>
            </w:r>
          </w:p>
        </w:tc>
        <w:tc>
          <w:tcPr>
            <w:tcW w:w="2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top w:val="single" w:sz="8" w:color="CFF0FC"/>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2017</w:t>
            </w:r>
          </w:p>
        </w:tc>
        <w:tc>
          <w:tcPr>
            <w:tcW w:w="2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vMerge w:val="restart"/>
          </w:tcPr>
          <w:p>
            <w:pPr>
              <w:spacing w:after="0"/>
              <w:rPr>
                <w:sz w:val="20"/>
                <w:szCs w:val="20"/>
                <w:color w:val="auto"/>
              </w:rPr>
            </w:pPr>
            <w:r>
              <w:rPr>
                <w:rFonts w:ascii="Arial" w:cs="Arial" w:eastAsia="Arial" w:hAnsi="Arial"/>
                <w:sz w:val="16"/>
                <w:szCs w:val="16"/>
                <w:b w:val="1"/>
                <w:bCs w:val="1"/>
                <w:color w:val="auto"/>
                <w:w w:val="90"/>
              </w:rPr>
              <w:t>Six Months Ended June 30:</w:t>
            </w:r>
          </w:p>
        </w:tc>
        <w:tc>
          <w:tcPr>
            <w:tcW w:w="43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tcBorders>
              <w:bottom w:val="single" w:sz="8" w:color="auto"/>
            </w:tcBorders>
            <w:vMerge w:val="continue"/>
          </w:tcPr>
          <w:p>
            <w:pPr>
              <w:spacing w:after="0"/>
              <w:rPr>
                <w:sz w:val="11"/>
                <w:szCs w:val="11"/>
                <w:color w:val="auto"/>
              </w:rPr>
            </w:pPr>
          </w:p>
        </w:tc>
        <w:tc>
          <w:tcPr>
            <w:tcW w:w="4360" w:type="dxa"/>
            <w:vAlign w:val="bottom"/>
          </w:tcPr>
          <w:p>
            <w:pPr>
              <w:spacing w:after="0"/>
              <w:rPr>
                <w:sz w:val="11"/>
                <w:szCs w:val="11"/>
                <w:color w:val="auto"/>
              </w:rPr>
            </w:pPr>
          </w:p>
        </w:tc>
        <w:tc>
          <w:tcPr>
            <w:tcW w:w="12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Borders>
              <w:bottom w:val="single" w:sz="8" w:color="CFF0FC"/>
            </w:tcBorders>
          </w:tcPr>
          <w:p>
            <w:pPr>
              <w:spacing w:after="0" w:line="20" w:lineRule="exact"/>
              <w:rPr>
                <w:sz w:val="1"/>
                <w:szCs w:val="1"/>
                <w:color w:val="auto"/>
              </w:rPr>
            </w:pPr>
          </w:p>
        </w:tc>
        <w:tc>
          <w:tcPr>
            <w:tcW w:w="436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4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4,268,479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2018</w:t>
            </w:r>
          </w:p>
        </w:tc>
        <w:tc>
          <w:tcPr>
            <w:tcW w:w="4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4,147,526</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During the six month periods ended June 30, 2018 and 2017, certain of our executive officers received Lazard Ltd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Lazard Ltd Class A common stock from the executive officers equal in value to all or a portion of the estimated amount of such tax. In addition, during the six month periods ended June 30, 2018 and 2017, the Company purchased shares of Lazard Ltd Class A common stock from certain of our executive officers. The aggregate value of all such purchases during the six month periods ended June 30, 2018 and 2017 was approximately $16,400 and $14,700, respectively.</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June 30, 2018, a total of $324,589 of share repurchase authorization remained available under Lazard Ltd’s share repurchase program, of which $24,589 will expire on December 31, 2019 and $300,000 will expire on December 31, 2020.</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During the six month period ended June 30, 2018,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June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2017 and activity during the three month and six month periods then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 June 30,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April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(155,418</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(180,259</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(40,576)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(32,276)</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(32,275)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(31,499)</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(65,417)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(146,341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(211,758</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Six Months Ended June 30, 2018</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AOCI</w:t>
            </w:r>
          </w:p>
        </w:tc>
        <w:tc>
          <w:tcPr>
            <w:tcW w:w="820" w:type="dxa"/>
            <w:vAlign w:val="bottom"/>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AOCI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(43,790)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(151,466</w:t>
            </w:r>
          </w:p>
        </w:tc>
        <w:tc>
          <w:tcPr>
            <w:tcW w:w="240" w:type="dxa"/>
            <w:vAlign w:val="bottom"/>
            <w:tcBorders>
              <w:top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220" w:type="dxa"/>
            <w:vAlign w:val="bottom"/>
            <w:tcBorders>
              <w:top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(195,256</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(21,627)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(18,341)</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June 30, 2018</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(65,417)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(146,341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(211,758</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(211,757</w:t>
            </w: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0"/>
          </w:tcPr>
          <w:p>
            <w:pPr>
              <w:jc w:val="center"/>
              <w:ind w:right="341"/>
              <w:spacing w:after="0"/>
              <w:rPr>
                <w:sz w:val="20"/>
                <w:szCs w:val="20"/>
                <w:color w:val="auto"/>
              </w:rPr>
            </w:pPr>
            <w:r>
              <w:rPr>
                <w:rFonts w:ascii="Arial" w:cs="Arial" w:eastAsia="Arial" w:hAnsi="Arial"/>
                <w:sz w:val="14"/>
                <w:szCs w:val="14"/>
                <w:b w:val="1"/>
                <w:bCs w:val="1"/>
                <w:color w:val="auto"/>
                <w:w w:val="93"/>
              </w:rPr>
              <w:t>Three Months Ended June 30, 2017</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April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(96,007)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(160,880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(256,887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(256,885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(8,609)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16,714</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25,323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(7,253)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18,070</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(70,684)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(168,133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(238,817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center"/>
              <w:ind w:right="341"/>
              <w:spacing w:after="0"/>
              <w:rPr>
                <w:sz w:val="20"/>
                <w:szCs w:val="20"/>
                <w:color w:val="auto"/>
              </w:rPr>
            </w:pPr>
            <w:r>
              <w:rPr>
                <w:rFonts w:ascii="Arial" w:cs="Arial" w:eastAsia="Arial" w:hAnsi="Arial"/>
                <w:sz w:val="14"/>
                <w:szCs w:val="14"/>
                <w:b w:val="1"/>
                <w:bCs w:val="1"/>
                <w:color w:val="auto"/>
                <w:w w:val="93"/>
              </w:rPr>
              <w:t>Six Months Ended June 30, 2017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145"/>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5"/>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(109,306</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(161,471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(270,777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38,622</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29,518</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38,622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31,960</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(70,684)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(168,133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5"/>
              </w:rPr>
              <w:t>(238,817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20" w:type="dxa"/>
            <w:vAlign w:val="bottom"/>
            <w:gridSpan w:val="25"/>
          </w:tcPr>
          <w:p>
            <w:pPr>
              <w:jc w:val="center"/>
              <w:ind w:left="30"/>
              <w:spacing w:after="0"/>
              <w:rPr>
                <w:sz w:val="20"/>
                <w:szCs w:val="20"/>
                <w:color w:val="auto"/>
              </w:rPr>
            </w:pPr>
            <w:r>
              <w:rPr>
                <w:rFonts w:ascii="Arial" w:cs="Arial" w:eastAsia="Arial" w:hAnsi="Arial"/>
                <w:sz w:val="18"/>
                <w:szCs w:val="18"/>
                <w:color w:val="auto"/>
                <w:w w:val="90"/>
              </w:rPr>
              <w:t>The table below reflects adjustments for items reclassified out of AOCI, by component, for the three month and six month periods ended June 30,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2018 and 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3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1,552</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60" w:type="dxa"/>
            <w:vAlign w:val="bottom"/>
            <w:gridSpan w:val="2"/>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1,356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0" w:hanging="372"/>
        <w:spacing w:after="0" w:line="277"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2018 and 2017 and noncontrolling interests as of June 30, 2018 and December 31, 2017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7"/>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Interests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540" w:type="dxa"/>
            <w:vAlign w:val="bottom"/>
            <w:gridSpan w:val="6"/>
          </w:tcPr>
          <w:p>
            <w:pPr>
              <w:jc w:val="right"/>
              <w:ind w:right="541"/>
              <w:spacing w:after="0" w:line="147" w:lineRule="exact"/>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80" w:type="dxa"/>
            <w:vAlign w:val="bottom"/>
            <w:gridSpan w:val="6"/>
          </w:tcPr>
          <w:p>
            <w:pPr>
              <w:ind w:left="20"/>
              <w:spacing w:after="0" w:line="147"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161"/>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1,415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3,383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1,416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3,385</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20" w:type="dxa"/>
            <w:vAlign w:val="bottom"/>
            <w:gridSpan w:val="10"/>
          </w:tcPr>
          <w:p>
            <w:pPr>
              <w:ind w:left="160"/>
              <w:spacing w:after="0"/>
              <w:rPr>
                <w:sz w:val="20"/>
                <w:szCs w:val="20"/>
                <w:color w:val="auto"/>
              </w:rPr>
            </w:pPr>
            <w:r>
              <w:rPr>
                <w:rFonts w:ascii="Arial" w:cs="Arial" w:eastAsia="Arial" w:hAnsi="Arial"/>
                <w:sz w:val="14"/>
                <w:szCs w:val="14"/>
                <w:b w:val="1"/>
                <w:bCs w:val="1"/>
                <w:color w:val="auto"/>
              </w:rPr>
              <w:t>Noncontrolling Interests as of</w:t>
            </w:r>
          </w:p>
        </w:tc>
      </w:tr>
      <w:tr>
        <w:trPr>
          <w:trHeight w:val="146"/>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top w:val="single" w:sz="8" w:color="auto"/>
            </w:tcBorders>
            <w:gridSpan w:val="3"/>
          </w:tcPr>
          <w:p>
            <w:pPr>
              <w:jc w:val="center"/>
              <w:ind w:left="421"/>
              <w:spacing w:after="0" w:line="147" w:lineRule="exact"/>
              <w:rPr>
                <w:sz w:val="20"/>
                <w:szCs w:val="20"/>
                <w:color w:val="auto"/>
              </w:rPr>
            </w:pPr>
            <w:r>
              <w:rPr>
                <w:rFonts w:ascii="Arial" w:cs="Arial" w:eastAsia="Arial" w:hAnsi="Arial"/>
                <w:sz w:val="14"/>
                <w:szCs w:val="14"/>
                <w:b w:val="1"/>
                <w:bCs w:val="1"/>
                <w:color w:val="auto"/>
                <w:w w:val="92"/>
              </w:rPr>
              <w:t>June 30,</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294"/>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89"/>
              </w:rPr>
              <w:t>2018</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57,386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center"/>
              <w:ind w:right="461"/>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57,397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and six month periods ended June 30, 2018 and 2017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Class A common stock pursuant to the grant or exercise of stock options, stock appreciation rights, restricted stock units (“RSUs”), performance-based restricted stock units (“PRSUs”) and other share-based awards.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2008 Plan authorized the issuance of shares of Class A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Class A common stock. The 2008 Plan was terminated on April 24, 2018, and no additional awards have been or will be granted under the 2008 Plan after its termination, although unvested awards granted under the 2008 Plan before its termination remain outstanding and continue to be subject to its terms.</w:t>
      </w:r>
    </w:p>
    <w:p>
      <w:pPr>
        <w:spacing w:after="0" w:line="19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The 2005 Plan authorized the issuance of up to 25,000,000 shares of Class A common stock pursuant to the grant or exercise of stock options, stock appreciation rights, RSUs and other share-based awards. The 2005 Plan expired in the second quarter of 2015, although unvested deferred stock unit (“DSU”) awards granted under the 2005 Plan before its expiration remain outstanding and continue to be subject to its terms.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following reflects the amortization expense recorded with respect to share-based incentive plans within “compensation and benefits” expense (with respect to RSUs, PRSUs and restricted stock awards) and “professional services” expense (with respect to DSUs) within the Company’s accompanying condensed consolidated statements of operations for the three month and six month periods ended June 30, 2018 and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55,635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54,354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116,522</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110,295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13,161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22,810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162,152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six month periods ended June 30, 2018 and 2017, dividend participation rights required the issuance of 636,207 and 739,079 RSUs, respectively.</w:t>
      </w:r>
    </w:p>
    <w:p>
      <w:pPr>
        <w:spacing w:after="0" w:line="208"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30,463 and 31,280 DSUs granted during the six month periods ended June 30, 2018 and 2017,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six month periods ended June 30, 2018 and 2017, 6,281 and 7,035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2018 and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12,919,846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278,422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636,207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3,974,389</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36,744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(105,853)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(5,542,633)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11,245,749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739,079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5,134,126</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(92,011)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39.98</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(3,937,970)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June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12,802,283</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271,575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In connection with RSUs that vested during the six month periods ended June 30, 2018 and 2017, the Company satisfied its minimum statutory tax withholding requirements in lieu of delivering 1,635,514 and 1,267,560 shares of Class A common stock during such respective six month periods. Accordingly, 3,907,119 and 2,670,410 shares of Class A common stock held by the Company were delivered during the six month periods ended June 30, 2018 and 2017, respectively.</w:t>
      </w:r>
    </w:p>
    <w:p>
      <w:pPr>
        <w:spacing w:after="0" w:line="18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of June 30, 2018, estimated unrecognized RSU compensation expense was approximately $203,205, with such expense expected to be recognized over a weighted average period of approximately 0.9 years subsequent to June 30, 2018.</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2018 and 2017:</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1,938,160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529,987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(26,222)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(848,187)</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1,593,738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(32,568)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(458,814)</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2,005,046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six month periods ended June 30, 2018 and 2017, the Company satisfied its minimum statutory tax withholding requirements in lieu of delivering 289,831 and 135,528 shares of Class A common stock during such respective six month periods. Accordingly, 558,356 and 323,286 shares of Class A common stock held by the Company were delivered during the six month periods ended June 30, 2018 and 2017, respectively.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restricted stock awards include a cash dividend participation right equivalent to dividends paid on Class A common stock during the period, which will vest concurrently with the underlying restricted stock award. At June 30, 2018, estimated unrecognized restricted stock expense was approximately $31,084, with such expense to be recognized over a weighted average period of approximately 0.8 years subsequent to June 30, 2018.</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six month periods ended June 30, 2018 and 2017:</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1,591,693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399,869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(799,402)</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1,192,160</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Balance, June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660" w:hanging="518"/>
        <w:spacing w:after="0"/>
        <w:tabs>
          <w:tab w:leader="none" w:pos="1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PRSU awards granted during the relevant year at the target payout level.</w:t>
      </w:r>
    </w:p>
    <w:p>
      <w:pPr>
        <w:spacing w:after="0" w:line="239"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six month periods ended June 30, 2018 and 2017, the Company satisfied its minimum statutory tax withholding requirements in lieu of delivering 91,962 and 126,264 shares of Class A common stock during such respective six month periods. Accordingly, 707,440 and 699,301 shares of Class A common stock held by the Company were delivered during the six month periods ended June 30, 2018 and 2017, respectively.</w:t>
      </w:r>
    </w:p>
    <w:p>
      <w:pPr>
        <w:spacing w:after="0" w:line="18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June 30, 2018, the total estimated unrecognized compensation expense was approximately $12,594, and the Company expects to amortize such expense over a weighted-average period of approximately 0.9 years subsequent to June 30,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six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104,551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(84,422)</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(1,424)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(95,633)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(39,503)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June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88,084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June 30, 2018.</w:t>
      </w:r>
    </w:p>
    <w:p>
      <w:pPr>
        <w:spacing w:after="0" w:line="17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six month periods ended June 30, 2018 and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6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13"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right="140" w:firstLine="518"/>
        <w:spacing w:after="0" w:line="302"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 (see Note 2).</w:t>
      </w:r>
    </w:p>
    <w:p>
      <w:pPr>
        <w:spacing w:after="0" w:line="154"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and six month periods ended June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(7,583)</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2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880" w:type="dxa"/>
            <w:vAlign w:val="bottom"/>
          </w:tcPr>
          <w:p>
            <w:pPr>
              <w:spacing w:after="0"/>
              <w:rPr>
                <w:sz w:val="4"/>
                <w:szCs w:val="4"/>
                <w:color w:val="auto"/>
              </w:rPr>
            </w:pPr>
          </w:p>
        </w:tc>
        <w:tc>
          <w:tcPr>
            <w:tcW w:w="294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9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94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280" w:type="dxa"/>
            <w:vAlign w:val="bottom"/>
          </w:tcPr>
          <w:p>
            <w:pPr>
              <w:spacing w:after="0"/>
              <w:rPr>
                <w:sz w:val="19"/>
                <w:szCs w:val="19"/>
                <w:color w:val="auto"/>
              </w:rPr>
            </w:pPr>
          </w:p>
        </w:tc>
        <w:tc>
          <w:tcPr>
            <w:tcW w:w="96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(15,366)</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(12,560)</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9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9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198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and other corporate business expenses. The Tax Act further includes anti-base erosion provisions such as the base erosion and anti-abuse tax and tax on global intangible low-taxed income.</w:t>
      </w:r>
    </w:p>
    <w:p>
      <w:pPr>
        <w:spacing w:after="0" w:line="170"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a result of the reduction of the U.S. federal corporate tax rate to 21%, the Company was required to remeasure its deferred tax assets and liabilities at the new federal income tax rate of 21% based on the balances that existed on the date of the enactment of the Tax Act. The impact of this remeasurement was immaterial to the Company.</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Tax Act also requires companies to pay a one-time repatriation tax on previously unremitted earnings of certain non-U.S. corporate subsidiaries. Most of the Company’s operations outside the U.S. are conducted in “pass-through” entities for U.S. income tax purposes, and, as a result, the deemed repatriation transition tax does not apply to these pass-through entities or their earnings. The Company instead provides for U.S. income taxes on a current basis for the relevant portion of those earnings. The Company also conducts operations outside the U.S. through foreign corporate subsidiaries. The impact of the one-time repatriation tax was immaterial to the Company.</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accordance with the guidance provided by Staff Accounting Bulletin No. 118, the Company has recognized the provisional tax impact related to the one-time deemed repatriation tax on certain foreign earnings and the remeasurement of our deferred tax assets. The impact of the Tax Act on the Company may differ from these provisional estimates, due to, among other items, the issuance of additional regulatory guidance, our interpretations of the provisions of the Tax Act, changes to certain estimates and amounts related to the earnings and profits of certain subsidiaries and the filing of our tax returns. We will recognize any changes to the provisional amounts as we refine our estimates and expect to complete our analysis of the provisional items during the second half of 2018.</w:t>
      </w:r>
    </w:p>
    <w:p>
      <w:pPr>
        <w:spacing w:after="0" w:line="193" w:lineRule="exact"/>
        <w:rPr>
          <w:sz w:val="20"/>
          <w:szCs w:val="20"/>
          <w:color w:val="auto"/>
        </w:rPr>
      </w:pPr>
    </w:p>
    <w:p>
      <w:pPr>
        <w:ind w:right="180" w:firstLine="518"/>
        <w:spacing w:after="0" w:line="291" w:lineRule="auto"/>
        <w:rPr>
          <w:sz w:val="20"/>
          <w:szCs w:val="20"/>
          <w:color w:val="auto"/>
        </w:rPr>
      </w:pPr>
      <w:r>
        <w:rPr>
          <w:rFonts w:ascii="Arial" w:cs="Arial" w:eastAsia="Arial" w:hAnsi="Arial"/>
          <w:sz w:val="16"/>
          <w:szCs w:val="16"/>
          <w:color w:val="auto"/>
        </w:rPr>
        <w:t>The Company recorded income tax provisions of $31,445 and $50,060 for the three month and six month periods ended June 30, 2018, respectively, and $32,440 and $54,435 for the three month and six month periods ended June 30, 2017, respectively, representing effective tax rates of 16.4%, 13.2%,</w:t>
      </w:r>
    </w:p>
    <w:p>
      <w:pPr>
        <w:ind w:right="80"/>
        <w:spacing w:after="0" w:line="273" w:lineRule="auto"/>
        <w:rPr>
          <w:sz w:val="20"/>
          <w:szCs w:val="20"/>
          <w:color w:val="auto"/>
        </w:rPr>
      </w:pPr>
      <w:r>
        <w:rPr>
          <w:rFonts w:ascii="Arial" w:cs="Arial" w:eastAsia="Arial" w:hAnsi="Arial"/>
          <w:sz w:val="17"/>
          <w:szCs w:val="17"/>
          <w:color w:val="auto"/>
        </w:rPr>
        <w:t>18.5% and 16.6%, respectively. The difference between the U.S. federal statutory rate of 21.0% and 35.0% for 2018 and 2017, respectively,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77" w:lineRule="exact"/>
        <w:rPr>
          <w:sz w:val="20"/>
          <w:szCs w:val="20"/>
          <w:color w:val="auto"/>
        </w:rPr>
      </w:pPr>
    </w:p>
    <w:p>
      <w:pPr>
        <w:jc w:val="both"/>
        <w:ind w:right="200" w:firstLine="518"/>
        <w:spacing w:after="0" w:line="297" w:lineRule="auto"/>
        <w:rPr>
          <w:sz w:val="20"/>
          <w:szCs w:val="20"/>
          <w:color w:val="auto"/>
        </w:rPr>
      </w:pPr>
      <w:r>
        <w:rPr>
          <w:rFonts w:ascii="Arial" w:cs="Arial" w:eastAsia="Arial" w:hAnsi="Arial"/>
          <w:sz w:val="16"/>
          <w:szCs w:val="16"/>
          <w:color w:val="auto"/>
        </w:rPr>
        <w:t>On January 1, 2017, the Company adopted new accounting guidance on share-based incentive compensation. As a result of the adoption of this new guidance, the Company recognized excess tax benefits of $14,085 and $2,018 from the vesting of share-based incentive compensation in the provision for income taxes in the condensed consolidated statements of operations for the six month periods ended June 30, 2018 and 2017, respectively.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w:t>
      </w:r>
    </w:p>
    <w:p>
      <w:pPr>
        <w:spacing w:after="0" w:line="347"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Group’s receivables from subsidiaries of Lazard Ltd at June 30, 2018 and December 31, 2017 included interest-bearing loans of $83,069 and $72, respectively, including accrued interest thereon. Interest income relating to interest-bearing loans with subsidiaries of Lazard Ltd amounted to $200 and $221 for the three month and six month periods ended June 30, 2018, respectively, and $10 and $143 for the three month and six month periods ended June 30, 2017,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Group’s payables to subsidiaries of Lazard Ltd at June 30, 2018 and December 31, 2017 included interest-bearing loans, including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thereon, of $62,036 and $64,203, respectively. Interest expense relating to interest-bearing loans with subsidiaries of Lazard Ltd amounted to $929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$1,902 for the three month and six month periods ended June 30, 2018, respectively, and $931 and $1,875 for the three month and six month periods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2017, respectively.</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5" w:name="page36"/>
    <w:bookmarkEnd w:id="3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$170,680 and $351,990 for the three month and six month periods ended June 30, 2018, respectively, and $167,382 and $307,959 for the three month and six month periods ended June 30, 2017, respectively, and are included in “asset management fees” on the condensed consolidated statements of operations. Of such amounts, $84,565 and $69,107 remained as receivables at June 30, 2018 and December 31, 2017, respectively, and are included in “fees receivable” on the condensed consolidated statements of financial condition.</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related party transactions pertaining to shares repurchased from certain of our executive officers.</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June 30, 2018, LFNY’s regulatory net capital was $109,681, which exceeded the minimum requirement by $106,644. LFNY’s aggregate indebtedness to net capital ratio was 0.42:1 as of June 30, 2018.</w:t>
      </w:r>
    </w:p>
    <w:p>
      <w:pPr>
        <w:spacing w:after="0" w:line="193"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June 30, 2018, the aggregate regulatory net capital of the U.K. Subsidiaries was $166,717, which exceeded the minimum requirement by $148,324.</w:t>
      </w:r>
    </w:p>
    <w:p>
      <w:pPr>
        <w:spacing w:after="0" w:line="181"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June 30, 2018, the consolidated regulatory net capital of CFLF was $130,702, which exceeded the minimum requirement set for regulatory capital levels by $76,071.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March 31, 2018, the regulatory net capital of the combined European regulated group was $176,098, which exceeded the minimum requirement set for regulatory capital levels by $63,607.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2018, for those subsidiaries with regulatory capital requirements, their aggregate net capital was $158,343, which exceeded the minimum required capital by $130,629.</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2018, each of these subsidiaries individually was in compliance with its regulatory capital requirements.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Company’s segment information for the three month and six month periods ended June 30, 2018 and 2017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746,316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324,287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311,285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646,795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570,647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352,588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309,878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706,871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593,241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123,027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93,977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34,946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754,639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716,026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1,507,900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1,338,503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1,010,245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191,814</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7" w:name="page38"/>
    <w:bookmarkEnd w:id="3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w w:val="95"/>
              </w:rPr>
              <w:t>December 31, 2017</w:t>
            </w:r>
          </w:p>
        </w:tc>
        <w:tc>
          <w:tcPr>
            <w:tcW w:w="12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3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855,321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817,185</w:t>
            </w: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3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709,833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756,398</w:t>
            </w:r>
          </w:p>
        </w:tc>
        <w:tc>
          <w:tcPr>
            <w:tcW w:w="120" w:type="dxa"/>
            <w:vAlign w:val="bottom"/>
            <w:shd w:val="clear" w:color="auto" w:fill="CFF0FC"/>
          </w:tcPr>
          <w:p>
            <w:pPr>
              <w:spacing w:after="0"/>
              <w:rPr>
                <w:sz w:val="19"/>
                <w:szCs w:val="19"/>
                <w:color w:val="auto"/>
              </w:rPr>
            </w:pPr>
          </w:p>
        </w:tc>
      </w:tr>
      <w:tr>
        <w:trPr>
          <w:trHeight w:val="230"/>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3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2,505,465</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2,726,990</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4,070,619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4,300,573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2017 (the “Form 10-K”). All references to “2018,” “2017,” “second quarter,” “first half” or “the period” refer to, as the context requires, the three month and six month periods ended June 30, 2018 and June 30,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9" w:name="page40"/>
    <w:bookmarkEnd w:id="39"/>
    <w:p>
      <w:pPr>
        <w:ind w:left="900" w:right="60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capital raising, restructurings, shareholder advisory, sovereign advisory and other strategic advisory, and</w:t>
      </w:r>
    </w:p>
    <w:p>
      <w:pPr>
        <w:spacing w:after="0" w:line="73" w:lineRule="exact"/>
        <w:rPr>
          <w:rFonts w:ascii="Arial" w:cs="Arial" w:eastAsia="Arial" w:hAnsi="Arial"/>
          <w:sz w:val="18"/>
          <w:szCs w:val="18"/>
          <w:color w:val="auto"/>
        </w:rPr>
      </w:pPr>
    </w:p>
    <w:p>
      <w:pPr>
        <w:ind w:left="900" w:right="160" w:hanging="379"/>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0" w:name="page41"/>
    <w:bookmarkEnd w:id="40"/>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We sold our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Equity market indices for developed markets and emerging markets at June 30, 2018 generally increased as compared to such indices at June 30, 2017. Emerging markets equity indices at June 30, 2018 generally decreased as compared to such indices at December 31, 2017. In the global M&amp;A markets during the first half of 2018, the value of all completed M&amp;A transactions increased as compared to the same period in the prior year, as did the subset of such transactions involving values greater than $500 million, while the number of all such transactions decreased during the first half of 2018 as compared to the same period in the prior year. During the same time, the value of all announced M&amp;A transactions, including the subset of such transactions involving values greater than $500 million, increased. During the first half of 2018, global restructuring activity, as measured by the number of corporate defaults, decreased as compared to the first half of 2017.</w:t>
      </w:r>
    </w:p>
    <w:p>
      <w:pPr>
        <w:spacing w:after="0" w:line="189"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On an ongoing basis, regional, macroeconomic and geopolitical factors, including trade policy and regional tax and regulatory reform, may impact our business. Overall, the global macroeconomic outlook for the near- to mid-term appears supportive for both of our businesses. The U.S. economy remains healthy, and the environment in Europe has improved.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140" w:hanging="379"/>
        <w:spacing w:after="0" w:line="293"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Advisory</w:t>
      </w:r>
      <w:r>
        <w:rPr>
          <w:rFonts w:ascii="Arial" w:cs="Arial" w:eastAsia="Arial" w:hAnsi="Arial"/>
          <w:sz w:val="16"/>
          <w:szCs w:val="16"/>
          <w:color w:val="auto"/>
        </w:rPr>
        <w:t>—The fundamentals for continued M&amp;A activity appear to remain in place, and we believe our Financial Advisory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We continue to invest for growth in our Financial Advisory business and to hire talented senior professionals selectively.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900" w:right="40" w:hanging="379"/>
        <w:spacing w:after="0" w:line="270"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and assessing potential product acquisitions or other inorganic growth opportunities. Recent examples of growth initiatives include the following investment strategies: various Quantitative Equity strategies, various Multi-Asset strategies, a Real Assets strategy, an International Value strategy, a Global Equity Franchise strategy, and a Market Neutral Quantitative Equity strategy.</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As reflected in the following table, which sets forth global M&amp;A industry statistics, the value of all completed transactions, including completed transactions with values greater than $500 million, increased in the first half of 2018 as compared to 2017, while the number of all such transactions decreased in the first half of 2018 as compared to 2017. With respect to announced M&amp;A transactions, the value of all transactions, including the value of announced transactions involving values greater than $500 million, increased in the first half of 2018 as compared to 2017.</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78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2017</w:t>
            </w:r>
          </w:p>
        </w:tc>
        <w:tc>
          <w:tcPr>
            <w:tcW w:w="9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1"/>
                <w:szCs w:val="11"/>
                <w:color w:val="auto"/>
              </w:rPr>
            </w:pPr>
          </w:p>
        </w:tc>
        <w:tc>
          <w:tcPr>
            <w:tcW w:w="86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2017</w:t>
            </w:r>
          </w:p>
        </w:tc>
        <w:tc>
          <w:tcPr>
            <w:tcW w:w="82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938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1,820</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7,713</w:t>
            </w:r>
          </w:p>
        </w:tc>
        <w:tc>
          <w:tcPr>
            <w:tcW w:w="22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10,151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16,847</w:t>
            </w:r>
          </w:p>
        </w:tc>
        <w:tc>
          <w:tcPr>
            <w:tcW w:w="300" w:type="dxa"/>
            <w:vAlign w:val="bottom"/>
          </w:tcPr>
          <w:p>
            <w:pPr>
              <w:spacing w:after="0"/>
              <w:rPr>
                <w:sz w:val="19"/>
                <w:szCs w:val="19"/>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20,505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832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714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1,370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283</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596</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1,345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1,586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8,276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10,224</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17,646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20,509</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598</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1,141</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20"/>
                <w:szCs w:val="20"/>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579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59690</wp:posOffset>
            </wp:positionV>
            <wp:extent cx="1209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Source: Dealogic as of July 6, 2018.</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jc w:val="both"/>
        <w:ind w:right="140" w:firstLine="518"/>
        <w:spacing w:after="0" w:line="264" w:lineRule="auto"/>
        <w:rPr>
          <w:sz w:val="20"/>
          <w:szCs w:val="20"/>
          <w:color w:val="auto"/>
        </w:rPr>
      </w:pPr>
      <w:r>
        <w:rPr>
          <w:rFonts w:ascii="Arial" w:cs="Arial" w:eastAsia="Arial" w:hAnsi="Arial"/>
          <w:sz w:val="18"/>
          <w:szCs w:val="18"/>
          <w:color w:val="auto"/>
        </w:rPr>
        <w:t>Global restructuring activity during the first half of 2018, as measured by the number of corporate defaults, decreased as compared to the first half of 2017. The number of defaulting issuers decreased to 46 in the first half of 2018, according to Moody’s Investors Service, Inc., as compared to 50 in the first half of 2017.</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Beginning in the first quarter of 2018, we ceased separately reporting Restructuring revenue within our Financial Advisory segment, because our Financial Advisory practices have become highly integrated, and our assignments with clients often incorporate several disciplines. We believe that presenting unified Financial Advisory revenue is a more accurate representation of our Financial Advisory business.</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percentage change in major equity market indices at June 30, 2018, as compared to such indices at March 31, 2018, December 31, 2017, and at June 30, 2017,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Percentage Changes</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0"/>
              </w:rPr>
              <w:t>June 30, 2018 vs.</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(8)%</w:t>
            </w: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4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June 30, 2018 decreased 5% versus AUM at December 31, 2017, primarily due to foreign exchange depreciation, market depreciation and net outflows. Average AUM for the second quarter of 2018 was 10% higher than the average AUM for the second quarter of 2017. Average AUM for the first half of 2018 increased 17% as compared to the first half of 2017.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120"/>
        <w:spacing w:after="0" w:line="270" w:lineRule="auto"/>
        <w:rPr>
          <w:sz w:val="20"/>
          <w:szCs w:val="20"/>
          <w:color w:val="auto"/>
        </w:rPr>
      </w:pPr>
      <w:r>
        <w:rPr>
          <w:rFonts w:ascii="Arial" w:cs="Arial" w:eastAsia="Arial" w:hAnsi="Arial"/>
          <w:sz w:val="17"/>
          <w:szCs w:val="17"/>
          <w:color w:val="auto"/>
        </w:rPr>
        <w:t>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Although Corporate segment net revenue during 2018 is not significant compared to Lazard’s net revenue, total assets in the Corporate segment represented 62% of Lazard’s consolidated total assets as of June 30, 2018, which are attributable to cash and cash equivalents, investments in debt and equity securities, interests in alternative investment, debt, equity and private equity funds, deferred tax assets and certain assets associated with LFB.</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18"/>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non-GAAP measures, are the most appropriate measures to assess the annual cost of compensation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500"/>
        <w:spacing w:after="0" w:line="264" w:lineRule="auto"/>
        <w:rPr>
          <w:sz w:val="20"/>
          <w:szCs w:val="20"/>
          <w:color w:val="auto"/>
        </w:rPr>
      </w:pPr>
      <w:r>
        <w:rPr>
          <w:rFonts w:ascii="Arial" w:cs="Arial" w:eastAsia="Arial" w:hAnsi="Arial"/>
          <w:sz w:val="18"/>
          <w:szCs w:val="18"/>
          <w:color w:val="auto"/>
        </w:rPr>
        <w:t>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73" w:lineRule="exact"/>
        <w:rPr>
          <w:sz w:val="20"/>
          <w:szCs w:val="20"/>
          <w:color w:val="auto"/>
        </w:rPr>
      </w:pPr>
    </w:p>
    <w:p>
      <w:pPr>
        <w:ind w:left="900" w:right="4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220" w:hanging="386"/>
        <w:spacing w:after="0" w:line="264"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2018 related to the 2017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00" w:hanging="386"/>
        <w:spacing w:after="0" w:line="277" w:lineRule="auto"/>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which compares to 55.3% and 55.6%, respectively, for the year ended December 31, 2017.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(benefits)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15 of Notes to Condensed Consolidated Financial Statements for additional information).</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December 22, 2017, the Tax Cuts and Jobs Act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5" w:name="page46"/>
    <w:bookmarkEnd w:id="45"/>
    <w:p>
      <w:pPr>
        <w:ind w:right="80"/>
        <w:spacing w:after="0" w:line="277" w:lineRule="auto"/>
        <w:rPr>
          <w:sz w:val="20"/>
          <w:szCs w:val="20"/>
          <w:color w:val="auto"/>
        </w:rPr>
      </w:pPr>
      <w:r>
        <w:rPr>
          <w:rFonts w:ascii="Arial" w:cs="Arial" w:eastAsia="Arial" w:hAnsi="Arial"/>
          <w:sz w:val="18"/>
          <w:szCs w:val="18"/>
          <w:color w:val="auto"/>
        </w:rPr>
        <w:t>erosion and anti-abuse tax and tax on global intangible low-taxed income. The reduced corporate tax rate required us to remeasure our deferred tax assets and liabilities.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15 of Notes to Condensed Consolidated Financial Statements for additional information regarding income taxes, the impact of the Tax Act on us and our deferred tax assets.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12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and six month periods ended June 30, 2018 was positively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400" w:firstLine="471"/>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754,639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1,507,900</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1,338,503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414,615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413,532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817,922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774,848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148,748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126,785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311,128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233,786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(benefits) costs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562,825</w:t>
            </w:r>
          </w:p>
        </w:tc>
        <w:tc>
          <w:tcPr>
            <w:tcW w:w="3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540,780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1,129,134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1,010,245</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191,814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378,766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328,258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31,445</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54,435</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160,369</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273,823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158,953</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142,284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325,321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270,424</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040" w:type="dxa"/>
            <w:vAlign w:val="bottom"/>
          </w:tcPr>
          <w:p>
            <w:pPr>
              <w:spacing w:after="0"/>
              <w:rPr>
                <w:sz w:val="24"/>
                <w:szCs w:val="24"/>
                <w:color w:val="auto"/>
              </w:rPr>
            </w:pPr>
          </w:p>
        </w:tc>
        <w:tc>
          <w:tcPr>
            <w:tcW w:w="940" w:type="dxa"/>
            <w:vAlign w:val="bottom"/>
            <w:gridSpan w:val="2"/>
          </w:tcPr>
          <w:p>
            <w:pPr>
              <w:jc w:val="right"/>
              <w:ind w:right="105"/>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6" w:name="page47"/>
    <w:bookmarkEnd w:id="46"/>
    <w:p>
      <w:pPr>
        <w:jc w:val="both"/>
        <w:ind w:right="24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754,639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716,026</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1,507,900</w:t>
            </w:r>
          </w:p>
        </w:tc>
        <w:tc>
          <w:tcPr>
            <w:tcW w:w="26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1,338,503</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27,031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26,897</w:t>
            </w:r>
          </w:p>
        </w:tc>
        <w:tc>
          <w:tcPr>
            <w:tcW w:w="100" w:type="dxa"/>
            <w:vAlign w:val="bottom"/>
          </w:tcPr>
          <w:p>
            <w:pPr>
              <w:spacing w:after="0"/>
              <w:rPr>
                <w:sz w:val="19"/>
                <w:szCs w:val="19"/>
                <w:color w:val="auto"/>
              </w:rPr>
            </w:pPr>
          </w:p>
        </w:tc>
      </w:tr>
      <w:tr>
        <w:trPr>
          <w:trHeight w:val="215"/>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(24,719)</w:t>
            </w: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(64,227)</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Revenue related to noncontrolling interests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(5,622)</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(3,098)</w:t>
            </w:r>
          </w:p>
        </w:tc>
        <w:tc>
          <w:tcPr>
            <w:tcW w:w="4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(8,040)</w:t>
            </w: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(5,753)</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(13,106)</w:t>
            </w: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738,331</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719,939</w:t>
            </w:r>
          </w:p>
        </w:tc>
        <w:tc>
          <w:tcPr>
            <w:tcW w:w="2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1,461,800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1,344,254</w:t>
            </w:r>
          </w:p>
        </w:tc>
        <w:tc>
          <w:tcPr>
            <w:tcW w:w="10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ind w:left="380" w:right="4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80" w:hanging="372"/>
        <w:spacing w:after="0" w:line="265"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right="220" w:hanging="372"/>
        <w:spacing w:after="0" w:line="250"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ind w:left="380" w:right="460" w:hanging="372"/>
        <w:spacing w:after="0" w:line="261"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414,615</w:t>
            </w:r>
          </w:p>
        </w:tc>
        <w:tc>
          <w:tcPr>
            <w:tcW w:w="22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413,532</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817,922</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774,848</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(3,611)</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(5,753)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(13,106)</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411,768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405,811</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813,984</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758,131</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ind w:left="380" w:hanging="372"/>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9"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148,748</w:t>
            </w:r>
          </w:p>
        </w:tc>
        <w:tc>
          <w:tcPr>
            <w:tcW w:w="3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126,785</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311,128</w:t>
            </w:r>
          </w:p>
        </w:tc>
        <w:tc>
          <w:tcPr>
            <w:tcW w:w="240" w:type="dxa"/>
            <w:vAlign w:val="bottom"/>
          </w:tcPr>
          <w:p>
            <w:pPr>
              <w:spacing w:after="0"/>
              <w:rPr>
                <w:sz w:val="19"/>
                <w:szCs w:val="19"/>
                <w:color w:val="auto"/>
              </w:rPr>
            </w:pPr>
          </w:p>
        </w:tc>
        <w:tc>
          <w:tcPr>
            <w:tcW w:w="50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233,786</w:t>
            </w:r>
          </w:p>
        </w:tc>
        <w:tc>
          <w:tcPr>
            <w:tcW w:w="1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(5,404)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(12,830)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(8,861)</w:t>
            </w: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(3,161)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(2,425)</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(3,161)</w:t>
            </w:r>
          </w:p>
        </w:tc>
      </w:tr>
      <w:tr>
        <w:trPr>
          <w:trHeight w:val="215"/>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260" w:type="dxa"/>
            <w:vAlign w:val="bottom"/>
            <w:gridSpan w:val="2"/>
          </w:tcPr>
          <w:p>
            <w:pPr>
              <w:ind w:left="380"/>
              <w:spacing w:after="0"/>
              <w:rPr>
                <w:sz w:val="20"/>
                <w:szCs w:val="20"/>
                <w:color w:val="auto"/>
              </w:rPr>
            </w:pPr>
            <w:r>
              <w:rPr>
                <w:rFonts w:ascii="Arial" w:cs="Arial" w:eastAsia="Arial" w:hAnsi="Arial"/>
                <w:sz w:val="18"/>
                <w:szCs w:val="18"/>
                <w:color w:val="auto"/>
              </w:rPr>
              <w:t>expense (c)</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(24,719)</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(64,227)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Noncontrolling interests (d)</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(1,099)</w:t>
            </w:r>
          </w:p>
        </w:tc>
      </w:tr>
      <w:tr>
        <w:trPr>
          <w:trHeight w:val="263"/>
        </w:trPr>
        <w:tc>
          <w:tcPr>
            <w:tcW w:w="5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116,906</w:t>
            </w:r>
          </w:p>
        </w:tc>
        <w:tc>
          <w:tcPr>
            <w:tcW w:w="3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230,416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220,665</w:t>
            </w:r>
          </w:p>
        </w:tc>
        <w:tc>
          <w:tcPr>
            <w:tcW w:w="180" w:type="dxa"/>
            <w:vAlign w:val="bottom"/>
            <w:tcBorders>
              <w:bottom w:val="single" w:sz="8" w:color="CFF0FC"/>
            </w:tcBorders>
          </w:tcPr>
          <w:p>
            <w:pPr>
              <w:spacing w:after="0"/>
              <w:rPr>
                <w:sz w:val="22"/>
                <w:szCs w:val="22"/>
                <w:color w:val="auto"/>
              </w:rPr>
            </w:pPr>
          </w:p>
        </w:tc>
      </w:tr>
      <w:tr>
        <w:trPr>
          <w:trHeight w:val="21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9" w:lineRule="exact"/>
        <w:rPr>
          <w:rFonts w:ascii="Arial" w:cs="Arial" w:eastAsia="Arial" w:hAnsi="Arial"/>
          <w:sz w:val="18"/>
          <w:szCs w:val="18"/>
          <w:color w:val="auto"/>
        </w:rPr>
      </w:pPr>
    </w:p>
    <w:p>
      <w:pPr>
        <w:ind w:left="380" w:right="100" w:hanging="372"/>
        <w:spacing w:after="0" w:line="265"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certain distribution fees and reimbursable deal costs paid to third parties for which an equal amount is excluded from both operating revenue and non-compensation expense, respectively, and excludes bad debt expense, which represents fees that are deemed uncollectible.</w:t>
      </w:r>
    </w:p>
    <w:p>
      <w:pPr>
        <w:ind w:left="380" w:hanging="372"/>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738,331</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719,939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1,461,800</w:t>
            </w:r>
          </w:p>
        </w:tc>
        <w:tc>
          <w:tcPr>
            <w:tcW w:w="20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1,344,254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(411,768)</w:t>
            </w:r>
          </w:p>
        </w:tc>
        <w:tc>
          <w:tcPr>
            <w:tcW w:w="10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(405,811)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(813,984)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(758,131)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(116,906)</w:t>
            </w:r>
          </w:p>
        </w:tc>
        <w:tc>
          <w:tcPr>
            <w:tcW w:w="10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(114,086)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(230,416)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(220,665)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209,657</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200,042</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417,400</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365,458</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5"/>
          </w:tcPr>
          <w:p>
            <w:pPr>
              <w:jc w:val="right"/>
              <w:ind w:right="860"/>
              <w:spacing w:after="0" w:line="133" w:lineRule="exact"/>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46</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18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$159 million, as compared to net income of $142 million in the 2017 period.</w:t>
      </w:r>
    </w:p>
    <w:p>
      <w:pPr>
        <w:spacing w:after="0" w:line="23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Net revenue increased $39 million, or 5%, with operating revenue increasing $18 million, or 3%, as compared to the 2017 period. Net revenue in the 2018 period reflects the adoption of new revenue recognition guidance (see Note 2 of Notes to Condensed Consolidated Financial Statements). Fee revenue from investment banking and other advisory activities increased $9 million, or 2%, as compared to the 2017 period. Asset management fees, including incentive fees, increased $42 million, or 14%, as compared to the 2017 period, primarily due to an increase in average AUM, as well as the impact of the new revenue recognition guidance discussed above. In the aggregate, interest income, other revenue and interest expense decreased $12 million, as compared to the 2017 period, primarily due to lower income attributable to investments held in connection with LFI.</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and benefits expense increased $1 million as compared to the 2017 period.</w:t>
      </w:r>
    </w:p>
    <w:p>
      <w:pPr>
        <w:spacing w:after="0" w:line="225"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$412 million, an increase of $6 million, or 1%, as compared to $406 million in the 2017 period. The ratio of adjusted compensation and benefits expense to operating revenue was 55.8% for the 2018 period, as compared to 56.4% for the 2017 period and 55.6% for full-year 2017.</w:t>
      </w:r>
    </w:p>
    <w:p>
      <w:pPr>
        <w:spacing w:after="0" w:line="147"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Non-compensation expense increased $22 million, or 17%,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$3 million, or 2%, as compared to the 2017 period. The ratio of adjusted non-compensation expense to operating revenue was 15.8% for both the 2018 and 2017 periods.</w:t>
      </w:r>
    </w:p>
    <w:p>
      <w:pPr>
        <w:spacing w:after="0" w:line="1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Amortization and other acquisition-related (benefits) costs reflects a benefit of $1 million in the 2018 period, as compared to costs of $1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$17 million, or 9%,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Earnings from operations increased $10 million, or 5%, as compared to the 2017 period, and, as a percentage of operating revenue, was 28.4%, as compared to 27.8% in the 2017 period.</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16.4%, as compared to 18.5% for the 2017 period. The decrease in the effective tax rate is primarily due to an increase in excess net tax benefits related to share-based incentive compensation.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$1 million as compared to the 2017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$325 million, as compared to net income of $270 million in the 2017 period.</w:t>
      </w:r>
    </w:p>
    <w:p>
      <w:pPr>
        <w:spacing w:after="0" w:line="23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Net revenue increased $169 million, or 13%, with operating revenue increasing $118 million, or 9%, as compared to the 2017 period. Net revenue in the 2018 period reflects the adoption of new revenue recognition guidance (see Note 2 of Notes to Condensed Consolidated Financial Statements). Fee revenue from investment banking and other advisory activities increased $82 million, or 11%, as compared to the 2017 period, primarily due to an increase in M&amp;A Advisory revenue, partially offset by a decrease in Restructuring revenue. Asset management fees, including incentive fees, increased $107 million, or 19%, as compared to the 2017 period, primarily due to an increase in average AUM, as well as the impact of the new revenue recognition guidance discussed above.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49" w:name="page50"/>
    <w:bookmarkEnd w:id="49"/>
    <w:p>
      <w:pPr>
        <w:ind w:right="200"/>
        <w:spacing w:after="0" w:line="277" w:lineRule="auto"/>
        <w:rPr>
          <w:sz w:val="20"/>
          <w:szCs w:val="20"/>
          <w:color w:val="auto"/>
        </w:rPr>
      </w:pPr>
      <w:r>
        <w:rPr>
          <w:rFonts w:ascii="Arial" w:cs="Arial" w:eastAsia="Arial" w:hAnsi="Arial"/>
          <w:sz w:val="18"/>
          <w:szCs w:val="18"/>
          <w:color w:val="auto"/>
        </w:rPr>
        <w:t>In the aggregate, interest income, other revenue and interest expense decreased $20 million, or 74%, as compared to the 2017 period, primarily due to lower income attributable to investments held in connection with LFI.</w:t>
      </w:r>
    </w:p>
    <w:p>
      <w:pPr>
        <w:spacing w:after="0" w:line="170"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Compensation and benefits expense increased $43 million, or 6%, as compared to the 2017 period, primarily associated with increased operating revenue.</w:t>
      </w:r>
    </w:p>
    <w:p>
      <w:pPr>
        <w:spacing w:after="0" w:line="170"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$814 million, an increase of $56 million, or 7%, as compared to $758 million in the 2017 period. The ratio of adjusted compensation and benefits expense to operating revenue was 55.7% for the 2018 period, as compared to 56.4% for the 2017 period and 55.6% for full-year 2017.</w:t>
      </w:r>
    </w:p>
    <w:p>
      <w:pPr>
        <w:spacing w:after="0" w:line="14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Non-compensation expense increased $77 million, or 33%, as compared to the 2017 period, primarily due to the impact of the new revenue recognition guidance discussed above, expenses associated with the ERP system implementation and expenses related to office space reorganization. Adjusted non-compensation expense, which excludes non-compensation costs related to the impact of the new revenue recognition guidance, ERP system implementation, office space reorganization and noncontrolling interests, increased $10 million, or 4%, as compared to the 2017 period. The ratio of adjusted non-compensation expense to operating revenue was 15.8% for the 2018 period, as compared to 16.4% in the 2017 period.</w:t>
      </w:r>
    </w:p>
    <w:p>
      <w:pPr>
        <w:spacing w:after="0" w:line="15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Amortization and other acquisition-related (benefits) costs was flat in the 2018 period, as compared to costs of $2 million in the 2017 period, primarily due to the change in the fair market value of contingent consideration.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$51 million, or 15%, as compared to the 2017 period.</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Earnings from operations increased $52 million, or 14%, as compared to the 2017 period, and, as a percentage of operating revenue, was 28.6%, as compared to 27.2% in the 2017 period.</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13.2%, as compared to 16.6% for the 2017 period. The decrease in the effective tax rate is primarily due to an increase in excess net tax benefits related to share-based incentive compensation.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2017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419,468</w:t>
            </w:r>
          </w:p>
        </w:tc>
        <w:tc>
          <w:tcPr>
            <w:tcW w:w="3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410,632</w:t>
            </w:r>
          </w:p>
        </w:tc>
        <w:tc>
          <w:tcPr>
            <w:tcW w:w="2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827,935</w:t>
            </w:r>
          </w:p>
        </w:tc>
        <w:tc>
          <w:tcPr>
            <w:tcW w:w="2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746,316</w:t>
            </w:r>
          </w:p>
        </w:tc>
        <w:tc>
          <w:tcPr>
            <w:tcW w:w="1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324,287</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311,285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646,795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570,647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99,347</w:t>
            </w:r>
          </w:p>
        </w:tc>
        <w:tc>
          <w:tcPr>
            <w:tcW w:w="2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181,140</w:t>
            </w:r>
          </w:p>
        </w:tc>
        <w:tc>
          <w:tcPr>
            <w:tcW w:w="24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175,669</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80" w:type="dxa"/>
            <w:vAlign w:val="bottom"/>
          </w:tcPr>
          <w:p>
            <w:pPr>
              <w:spacing w:after="0"/>
              <w:rPr>
                <w:sz w:val="24"/>
                <w:szCs w:val="2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48</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jc w:val="center"/>
              <w:ind w:left="639"/>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rPr>
              <w:t>2018</w:t>
            </w:r>
          </w:p>
        </w:tc>
        <w:tc>
          <w:tcPr>
            <w:tcW w:w="144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r>
      <w:tr>
        <w:trPr>
          <w:trHeight w:val="223"/>
        </w:trPr>
        <w:tc>
          <w:tcPr>
            <w:tcW w:w="5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6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88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84</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9"/>
                <w:szCs w:val="19"/>
                <w:color w:val="auto"/>
              </w:rPr>
            </w:pPr>
          </w:p>
        </w:tc>
      </w:tr>
      <w:tr>
        <w:trPr>
          <w:trHeight w:val="215"/>
        </w:trPr>
        <w:tc>
          <w:tcPr>
            <w:tcW w:w="6600" w:type="dxa"/>
            <w:vAlign w:val="bottom"/>
            <w:gridSpan w:val="3"/>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6600" w:type="dxa"/>
            <w:vAlign w:val="bottom"/>
            <w:gridSpan w:val="3"/>
          </w:tcPr>
          <w:p>
            <w:pPr>
              <w:ind w:left="140"/>
              <w:spacing w:after="0"/>
              <w:rPr>
                <w:sz w:val="20"/>
                <w:szCs w:val="20"/>
                <w:color w:val="auto"/>
              </w:rPr>
            </w:pPr>
            <w:r>
              <w:rPr>
                <w:rFonts w:ascii="Arial" w:cs="Arial" w:eastAsia="Arial" w:hAnsi="Arial"/>
                <w:sz w:val="18"/>
                <w:szCs w:val="18"/>
                <w:color w:val="auto"/>
              </w:rPr>
              <w:t>clients</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color w:val="auto"/>
              </w:rPr>
              <w:t>43%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15"/>
        </w:trPr>
        <w:tc>
          <w:tcPr>
            <w:tcW w:w="6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66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79"/>
              </w:rPr>
              <w:t>19</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23</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r>
      <w:tr>
        <w:trPr>
          <w:trHeight w:val="95"/>
        </w:trPr>
        <w:tc>
          <w:tcPr>
            <w:tcW w:w="192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July 6, 2018.</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Financial Advisory net revenue increased $9 million, or 2%, as compared to the 2017 period. Clients which in the aggregate represented a significant portion of our Financial Advisory revenue in the 2018 period included Altice, AccorHotels, Bacardi, Breitburn Energy Partners, Community Health Systems, Dover, Sanofi, Takata, Unibail-Rodamco and Wilson Therapeutics.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increased $13 million, or 4%, as compared to the 2017 period.</w:t>
      </w:r>
    </w:p>
    <w:p>
      <w:pPr>
        <w:spacing w:after="0" w:line="225"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Financial Advisory operating income was $95 million, a decrease of $4 million, or 4%, as compared to operating income of $99 million in the 2017 period and, as a percentage of net revenue, was 22.7%, as compared to 24.2% in the 2017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Financial Advisory net revenue increased $82 million, or 11%, as compared to the 2017 period. The increase in Financial Advisory revenue was primarily a result of an increase in the number of fees greater than $1 million, as compared to the 2017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1" w:name="page52"/>
    <w:bookmarkEnd w:id="51"/>
    <w:p>
      <w:pPr>
        <w:ind w:right="420" w:firstLine="518"/>
        <w:spacing w:after="0" w:line="277" w:lineRule="auto"/>
        <w:rPr>
          <w:sz w:val="20"/>
          <w:szCs w:val="20"/>
          <w:color w:val="auto"/>
        </w:rPr>
      </w:pPr>
      <w:r>
        <w:rPr>
          <w:rFonts w:ascii="Arial" w:cs="Arial" w:eastAsia="Arial" w:hAnsi="Arial"/>
          <w:sz w:val="18"/>
          <w:szCs w:val="18"/>
          <w:color w:val="auto"/>
        </w:rPr>
        <w:t>Operating expenses increased $76 million, or 13%, as compared to the 2017 period, primarily due to an increase in compensation associated with increased operating revenue.</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Financial Advisory operating income was $181 million, an increase of $5 million, or 3%, as compared to operating income of $176 million in the 2017 period and, as a percentage of net revenue, was 21.9%, as compared to 23.5%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454"/>
              <w:spacing w:after="0" w:line="13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3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47,207</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43,932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43,663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67,014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4,155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34,065</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35,080</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237,876</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249,459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518"/>
        <w:spacing w:after="0" w:line="312" w:lineRule="auto"/>
        <w:rPr>
          <w:sz w:val="20"/>
          <w:szCs w:val="20"/>
          <w:color w:val="auto"/>
        </w:rPr>
      </w:pPr>
      <w:r>
        <w:rPr>
          <w:rFonts w:ascii="Arial" w:cs="Arial" w:eastAsia="Arial" w:hAnsi="Arial"/>
          <w:sz w:val="16"/>
          <w:szCs w:val="16"/>
          <w:color w:val="auto"/>
        </w:rPr>
        <w:t>Total AUM at June 30, 2018 was $238 billion, a decrease of $11 billion, or 5%, as compared to total AUM of $249 billion at December 31, 2017, primarily due to foreign exchange depreciation, market depreciation and net outflows. Average AUM for the three month and six month periods ended June 30, 2018 increased 10% and 17%, respectively, as compared to the three month and six month periods ended June 30, 2017, respectively.</w:t>
      </w:r>
    </w:p>
    <w:p>
      <w:pPr>
        <w:spacing w:after="0" w:line="14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of June 30, 2018, approximately 88% of our AUM was managed on behalf of institutional clients, including corporations, labor unions, public pension funds, insurance companies and banks, and through sub-advisory relationships, mutual fund sponsors, broker-dealers and registered advisors, and approximately 12% of our AUM was managed on behalf of individual client relationships, which are principally with family offices and individuals, and was unchanged from the corresponding percentages at December 31, 2017.</w:t>
      </w:r>
    </w:p>
    <w:p>
      <w:pPr>
        <w:spacing w:after="0" w:line="187"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As of June 30, 2018, AUM with foreign currency exposure represented approximately 72% of our total AUM as compared to 74% at December 31, 2017. AUM with foreign currency exposure generally declines in value with the strengthening of the U.S. Dollar and increases in value as the U.S. Dollar weakens, with all other factors held constant.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2" w:name="page53"/>
    <w:bookmarkEnd w:id="52"/>
    <w:p>
      <w:pPr>
        <w:ind w:left="520"/>
        <w:spacing w:after="0"/>
        <w:rPr>
          <w:sz w:val="20"/>
          <w:szCs w:val="20"/>
          <w:color w:val="auto"/>
        </w:rPr>
      </w:pPr>
      <w:r>
        <w:rPr>
          <w:rFonts w:ascii="Arial" w:cs="Arial" w:eastAsia="Arial" w:hAnsi="Arial"/>
          <w:sz w:val="17"/>
          <w:szCs w:val="17"/>
          <w:color w:val="auto"/>
        </w:rPr>
        <w:t>The following is a summary of changes in AUM by asset class for the three month and six month periods ended June 30, 2018 and 2017: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2018</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210,077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(3,617)</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1"/>
              </w:rPr>
              <w:t>(1,102)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251,680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(1,826)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right="3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platforms, and inflows in the Fixed Income asset class were primarily attributable to the Global and Emerging Markets platforms. Outflows in the Equity and Fixed Income asset classes were primarily attributable to the Multi-Regional, Global and Emerging Markets platforms.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Six Months Ended June 30, 2018</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(20,453)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(2,745)</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(3,302)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(4,470)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300" w:hanging="372"/>
        <w:spacing w:after="0" w:line="259"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Emerging Markets and Multi-Regional platforms, and inflows in the Fixed Income asset class were primarily attributable to the Emerging Markets and Local platforms. Outflows in the Equity asset class were primarily attributable to the Multi-Regional, Emerging Markets and Global equity platforms, and outflows in the Fixed Income asset class were primarily attributable to the Emerging Markets platform.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center"/>
              <w:ind w:right="30"/>
              <w:spacing w:after="0"/>
              <w:rPr>
                <w:sz w:val="20"/>
                <w:szCs w:val="20"/>
                <w:color w:val="auto"/>
              </w:rPr>
            </w:pPr>
            <w:r>
              <w:rPr>
                <w:rFonts w:ascii="Arial" w:cs="Arial" w:eastAsia="Arial" w:hAnsi="Arial"/>
                <w:sz w:val="14"/>
                <w:szCs w:val="14"/>
                <w:b w:val="1"/>
                <w:bCs w:val="1"/>
                <w:color w:val="auto"/>
                <w:w w:val="93"/>
              </w:rPr>
              <w:t>Three Months Ended June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178,979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(8,440)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215,178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356"/>
              <w:spacing w:after="0"/>
              <w:rPr>
                <w:sz w:val="20"/>
                <w:szCs w:val="20"/>
                <w:color w:val="auto"/>
              </w:rPr>
            </w:pPr>
            <w:r>
              <w:rPr>
                <w:rFonts w:ascii="Arial" w:cs="Arial" w:eastAsia="Arial" w:hAnsi="Arial"/>
                <w:sz w:val="14"/>
                <w:szCs w:val="14"/>
                <w:b w:val="1"/>
                <w:bCs w:val="1"/>
                <w:color w:val="auto"/>
                <w:w w:val="92"/>
              </w:rPr>
              <w:t>Six Months Ended June 30, 2017</w:t>
            </w: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(16,736)</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16,429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18,353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of July 20, 2018, AUM was $241.4 billion, a $3.5 billion increase since June 30, 2018. The increase in AUM was due to market appreciation of $3.1 billion and net inflows of $0.5 billion, partially offset by foreign exchange depreciation of $0.1 billion.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340" w:firstLine="518"/>
        <w:spacing w:after="0" w:line="277" w:lineRule="auto"/>
        <w:rPr>
          <w:sz w:val="20"/>
          <w:szCs w:val="20"/>
          <w:color w:val="auto"/>
        </w:rPr>
      </w:pPr>
      <w:r>
        <w:rPr>
          <w:rFonts w:ascii="Arial" w:cs="Arial" w:eastAsia="Arial" w:hAnsi="Arial"/>
          <w:sz w:val="18"/>
          <w:szCs w:val="18"/>
          <w:color w:val="auto"/>
        </w:rPr>
        <w:t>Average AUM for the three month and six month periods ended June 30, 2018 and 2017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205,221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184,864</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209,777</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177,953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245,127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250,614</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352,588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309,878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706,871</w:t>
            </w:r>
          </w:p>
        </w:tc>
        <w:tc>
          <w:tcPr>
            <w:tcW w:w="2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593,241</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229,561</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215,901</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459,230</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404,652</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123,027</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247,641</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188,589</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EMEA</w:t>
            </w:r>
          </w:p>
        </w:tc>
        <w:tc>
          <w:tcPr>
            <w:tcW w:w="3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Asset Management net revenue increased $43 million, or 14%, as compared to the 2017 period. Management fees and other revenue was $341 million, an increase of $48 million, or 16%, as compared to $293 million in the 2017 period, primarily due to an increase in average AUM, as well as the impact of the new revenue recognition guidance discussed above. Incentive fees were $12 million, a decrease of $5 million as compared to $17 million in the 2017 period.</w:t>
      </w:r>
    </w:p>
    <w:p>
      <w:pPr>
        <w:spacing w:after="0" w:line="14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Operating expenses increased $14 million, or 6%, as compared to the 2017 period, primarily due to the impact of the new revenue recognition guidance.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$123 million, an increase of $29 million, or 31%, as compared to operating income of $94 million in the 2017 period and, as a percentage of net revenue, was 34.9%, as compared to 30.3% in the 2017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Asset Management net revenue increased $114 million, or 19%, as compared to the 2017 period. Management fees and other revenue was $689 million, an increase of $120 million, or 21%, as compared to $569 million in the 2017 period, primarily due to an increase in average AUM, as well as the impact of the new revenue recognition guidance discussed above. Incentive fees were $18 million, a decrease of $6 million as compared to $24 million in the 2017 period.</w:t>
      </w:r>
    </w:p>
    <w:p>
      <w:pPr>
        <w:spacing w:after="0" w:line="18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$55 million, or 13%, as compared to the 2017 period, primarily due to the impact of the new revenue recognition guidance.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$248 million, an increase of $59 million, or 31%, as compared to operating income of $189 million in the 2017 period and, as a percentage of net revenue, was 35.0%, as compared to 31.8% in the 2017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(13,532)</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(12,990)</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(27,314)</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(5,739)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24,235</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(17,417)</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(18,078)</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(50,015)</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remained substantially unchanged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$13 million as compared to the 2017 period, primarily due to lower income in the 2018 period attributable to investments held in connection with LFI.</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Operating expenses decreased $5 million as compared to the 2017 period, primarily due to a decrease in compensation and benefits expense, including a decrease in charges pertaining to LFI.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versus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decreased $2 million, or 8%, as compared to the 2017 period.</w:t>
      </w:r>
    </w:p>
    <w:p>
      <w:pPr>
        <w:spacing w:after="0" w:line="225"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Other revenue decreased $28 million as compared to the 2017 period, primarily due to lower income in the 2018 period attributable to investments held in connection with LFI.</w:t>
      </w:r>
    </w:p>
    <w:p>
      <w:pPr>
        <w:spacing w:after="0" w:line="170"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Operating expenses decreased $12 million as compared to the 2017 period, primarily due to a decrease in compensation and benefits expense, including a decrease in charges pertaining to LFI.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M&amp;A and other advisory and Asset Management fees are generally collected within 60 days of billing, while Restructuring fee collections may extend beyond 60 days, particularly those that involve bankruptcies with court-ordered holdbacks. Fees from our Private Capital Advisory activities are generally collected over a four-year period from billing and typically include an interest component.</w:t>
      </w:r>
    </w:p>
    <w:p>
      <w:pPr>
        <w:spacing w:after="0" w:line="173"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gridSpan w:val="7"/>
          </w:tcPr>
          <w:p>
            <w:pPr>
              <w:jc w:val="center"/>
              <w:ind w:right="1200"/>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95"/>
              </w:rPr>
              <w:t>(575)</w:t>
            </w: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960" w:type="dxa"/>
            <w:vAlign w:val="bottom"/>
            <w:gridSpan w:val="3"/>
          </w:tcPr>
          <w:p>
            <w:pPr>
              <w:ind w:left="260"/>
              <w:spacing w:after="0"/>
              <w:rPr>
                <w:sz w:val="20"/>
                <w:szCs w:val="20"/>
                <w:color w:val="auto"/>
              </w:rPr>
            </w:pPr>
            <w:r>
              <w:rPr>
                <w:rFonts w:ascii="Arial" w:cs="Arial" w:eastAsia="Arial" w:hAnsi="Arial"/>
                <w:sz w:val="18"/>
                <w:szCs w:val="18"/>
                <w:color w:val="auto"/>
              </w:rPr>
              <w:t>Financing activities (c)</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(538)</w:t>
            </w:r>
          </w:p>
        </w:tc>
        <w:tc>
          <w:tcPr>
            <w:tcW w:w="140" w:type="dxa"/>
            <w:vAlign w:val="bottom"/>
          </w:tcPr>
          <w:p>
            <w:pPr>
              <w:spacing w:after="0"/>
              <w:rPr>
                <w:sz w:val="19"/>
                <w:szCs w:val="19"/>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 and Restricted Cash</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0"/>
              </w:rPr>
              <w:t>(624)</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28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960" w:type="dxa"/>
            <w:vAlign w:val="bottom"/>
            <w:gridSpan w:val="3"/>
          </w:tcPr>
          <w:p>
            <w:pPr>
              <w:spacing w:after="0"/>
              <w:rPr>
                <w:sz w:val="20"/>
                <w:szCs w:val="20"/>
                <w:color w:val="auto"/>
              </w:rPr>
            </w:pPr>
            <w:r>
              <w:rPr>
                <w:rFonts w:ascii="Arial" w:cs="Arial" w:eastAsia="Arial" w:hAnsi="Arial"/>
                <w:sz w:val="18"/>
                <w:szCs w:val="18"/>
                <w:color w:val="auto"/>
              </w:rPr>
              <w:t>(a)  Consists of the following:</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jc w:val="center"/>
              <w:ind w:left="33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4"/>
          </w:tcPr>
          <w:p>
            <w:pPr>
              <w:jc w:val="center"/>
              <w:ind w:left="45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9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40" w:hanging="372"/>
        <w:spacing w:after="0" w:line="250"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Consists primarily of purchases of shares of Lazard Ltd Class A common stock, tax withholdings related to the settlement of vested restricted stock units (“RSUs”), vested restricted stock awards and vested PRSUs, changes in customer deposits, and distributions to members and noncontrolling interest holders.</w:t>
      </w:r>
    </w:p>
    <w:p>
      <w:pPr>
        <w:spacing w:after="0" w:line="1" w:lineRule="exact"/>
        <w:rPr>
          <w:rFonts w:ascii="Arial" w:cs="Arial" w:eastAsia="Arial" w:hAnsi="Arial"/>
          <w:sz w:val="18"/>
          <w:szCs w:val="18"/>
          <w:color w:val="auto"/>
        </w:rPr>
      </w:pPr>
    </w:p>
    <w:p>
      <w:pPr>
        <w:ind w:left="380" w:right="120" w:hanging="372"/>
        <w:spacing w:after="0" w:line="261"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76"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See Note 2 of Notes to Condensed Consolidated Financial Statements for a discussion of new accounting guidance impacting the Condensed Consolidated Statements of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half of 2018, as reflected on the condensed consolidated statements of financial condition, both “deposits with banks and short-term investments” and “deposits and other customer payables” increased as compared to December 31, 2017, due to a higher level of LFB customer-related demand deposits, primarily from clients and funds managed by LFG.</w:t>
      </w:r>
    </w:p>
    <w:p>
      <w:pPr>
        <w:spacing w:after="0" w:line="1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June 30, 2018, Lazard Group had approximately $780 million of cash, with such amount including approximately $513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 Although the Tax Act generally requires companies to pay a one-time repatriation tax on previously unremitted foreign earnings of certain non-U.S. corporate subsidiaries, most of the Company’s operations outside the U.S. are conducted in “pass-through” entities for U.S. income tax purposes, and the Company has already provided for U.S. income taxes on their earnings. As a result, the Company expects that no material amount of additional U.S. income taxes would be recognized as a result of the Tax Act’s one-time repatriation tax or otherwise upon the receipt of cash dividends or distributions of such earnings from our foreign operations.</w:t>
      </w:r>
    </w:p>
    <w:p>
      <w:pPr>
        <w:spacing w:after="0" w:line="178"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June 30, 2018, Lazard had approximately $169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$17 million (at June 30, 2018 exchange rates).</w:t>
      </w:r>
    </w:p>
    <w:p>
      <w:pPr>
        <w:spacing w:after="0" w:line="187"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table below sets forth our corporate indebtedness as of June 30, 2018 and December 31, 2017. The agreements with respect to this indebtedness are discussed in more detail in our condensed consolidated financial statements and related notes included elsewhere in this Form 10-Q and in our Form 10-K.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4"/>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1"/>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4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June 30, 2018, Lazard Group was in compliance with such ratios, with its Consolidated Leverage Ratio being 1.09 to 1.00 and its Consolidated Interest Coverage Ratio being 21.54 to 1.00. In any event, no amounts were outstanding under the Amended and Restated Credit Agreement as of June 30, 2018.</w:t>
      </w:r>
    </w:p>
    <w:p>
      <w:pPr>
        <w:spacing w:after="0" w:line="16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June 30, 2018,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At June 30, 2018, total members’ equity was $781 million, as compared to $907 million at December 31, 2017, including $724 million and $848 million attributable to Lazard Group on the respective dates. The net activity in members’ equity during the six month period ended June 30, 2018 is reflected in the table below (in millions of dollars):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2018</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r>
      <w:tr>
        <w:trPr>
          <w:trHeight w:val="230"/>
        </w:trPr>
        <w:tc>
          <w:tcPr>
            <w:tcW w:w="40" w:type="dxa"/>
            <w:vAlign w:val="bottom"/>
          </w:tcPr>
          <w:p>
            <w:pPr>
              <w:spacing w:after="0"/>
              <w:rPr>
                <w:sz w:val="19"/>
                <w:szCs w:val="19"/>
                <w:color w:val="auto"/>
              </w:rPr>
            </w:pP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30"/>
        </w:trPr>
        <w:tc>
          <w:tcPr>
            <w:tcW w:w="40" w:type="dxa"/>
            <w:vAlign w:val="bottom"/>
            <w:shd w:val="clear" w:color="auto" w:fill="CFF0FC"/>
          </w:tcPr>
          <w:p>
            <w:pPr>
              <w:spacing w:after="0"/>
              <w:rPr>
                <w:sz w:val="19"/>
                <w:szCs w:val="19"/>
                <w:color w:val="auto"/>
              </w:rPr>
            </w:pPr>
          </w:p>
        </w:tc>
        <w:tc>
          <w:tcPr>
            <w:tcW w:w="8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8440" w:type="dxa"/>
            <w:vAlign w:val="bottom"/>
            <w:gridSpan w:val="3"/>
          </w:tcPr>
          <w:p>
            <w:pPr>
              <w:spacing w:after="0"/>
              <w:rPr>
                <w:sz w:val="20"/>
                <w:szCs w:val="20"/>
                <w:color w:val="auto"/>
              </w:rPr>
            </w:pPr>
            <w:r>
              <w:rPr>
                <w:rFonts w:ascii="Arial" w:cs="Arial" w:eastAsia="Arial" w:hAnsi="Arial"/>
                <w:sz w:val="18"/>
                <w:szCs w:val="18"/>
                <w:color w:val="auto"/>
              </w:rPr>
              <w:t>Members’ Equity - June 30, 2018</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0" w:type="dxa"/>
            <w:vAlign w:val="bottom"/>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ind w:right="20"/>
        <w:spacing w:after="0" w:line="264" w:lineRule="auto"/>
        <w:rPr>
          <w:sz w:val="20"/>
          <w:szCs w:val="20"/>
          <w:color w:val="auto"/>
        </w:rPr>
      </w:pPr>
      <w:r>
        <w:rPr>
          <w:rFonts w:ascii="Arial" w:cs="Arial" w:eastAsia="Arial" w:hAnsi="Arial"/>
          <w:sz w:val="18"/>
          <w:szCs w:val="18"/>
          <w:color w:val="auto"/>
        </w:rPr>
        <w:t>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159"/>
              <w:spacing w:after="0" w:line="158"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6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4,268,479</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2018</w:t>
            </w:r>
          </w:p>
        </w:tc>
        <w:tc>
          <w:tcPr>
            <w:tcW w:w="6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4,147,526</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June 30, 2018, a total of $325 million of share repurchase authorization remained available under Lazard Ltd’s share repurchase program, of which $25 million will expire on December 31, 2019 and $300 million will expire on December 31, 2020.</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six month period ended June 30, 2018,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Ltd’s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17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1,455,292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583,625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$31,056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770,322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81,164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114,958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8,650</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2,234,264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136,939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732,342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17" w:lineRule="exact"/>
        <w:rPr>
          <w:rFonts w:ascii="Arial" w:cs="Arial" w:eastAsia="Arial" w:hAnsi="Arial"/>
          <w:sz w:val="18"/>
          <w:szCs w:val="18"/>
          <w:color w:val="auto"/>
        </w:rPr>
      </w:pPr>
    </w:p>
    <w:p>
      <w:pPr>
        <w:ind w:left="380" w:hanging="372"/>
        <w:spacing w:after="0" w:line="264" w:lineRule="auto"/>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$15,517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73" w:lineRule="exact"/>
        <w:rPr>
          <w:rFonts w:ascii="Arial" w:cs="Arial" w:eastAsia="Arial" w:hAnsi="Arial"/>
          <w:sz w:val="18"/>
          <w:szCs w:val="18"/>
          <w:color w:val="auto"/>
        </w:rPr>
      </w:pPr>
    </w:p>
    <w:p>
      <w:pPr>
        <w:ind w:left="380" w:right="200" w:hanging="372"/>
        <w:spacing w:after="0" w:line="312"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11, 13, 14, and 15 of Notes to Condensed Consolidated Financial Statements regarding information in connection with commitments, incentive plans, employee benefit plans, and income taxes,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January 1, 2018, the Company adopted new revenue recognition guidance. See Notes 2 and 3 of Notes to Consolidated Financial Statements.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2017, on a consolidated basis, we recorded gross deferred tax assets of approximately $133 million, with such amount partially offset by a valuation allowance of approximately $54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$54 million of deferred tax assets held by these entities as of December 31, 2017.</w:t>
      </w:r>
    </w:p>
    <w:p>
      <w:pPr>
        <w:spacing w:after="0" w:line="18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20" w:firstLine="518"/>
        <w:spacing w:after="0" w:line="289" w:lineRule="auto"/>
        <w:rPr>
          <w:sz w:val="20"/>
          <w:szCs w:val="20"/>
          <w:color w:val="auto"/>
        </w:rPr>
      </w:pPr>
      <w:r>
        <w:rPr>
          <w:rFonts w:ascii="Arial" w:cs="Arial" w:eastAsia="Arial" w:hAnsi="Arial"/>
          <w:sz w:val="16"/>
          <w:szCs w:val="16"/>
          <w:color w:val="auto"/>
        </w:rPr>
        <w:t>On January 1, 2017, we adopted new accounting guidance on share-based incentive compensation. As a result of the adoption of this new guidance, we recognized excess tax benefits of $14.0 million and $2.0 million from the vesting of share-based incentive compensation in the provision for income taxes in the condensed consolidated statements of operations for the six month periods ended June 30, 2018 and 2017, respectively.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 15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6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On December 22, 2017, the Tax Act was enacted. The Tax Act significantly revises the U.S. corporate income tax system by, among other changes, lowering the corporate income tax rate from 35% to 21%, implementing a partial territorial tax system and imposing a one-time repatriation tax on the deemed repatriated earnings of foreign subsidiaries. The Tax Act also includes several provisions that may limit the benefit of the tax rate reduction, such as restricting the deductibility of interest expense and other corporate business expenses. The Tax Act further includes anti-base erosion provisions such as the base erosion and anti-abuse tax and tax on global intangible low-taxed income. The reduced corporate tax rate required us to remeasure our deferred tax assets and liabilities. See Note 15 of Notes to Condensed Consolidated Financial Statements for additional information regarding the impact of the Tax Act on us.</w:t>
      </w:r>
    </w:p>
    <w:p>
      <w:pPr>
        <w:spacing w:after="0" w:line="16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15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60" w:type="dxa"/>
            <w:vAlign w:val="bottom"/>
            <w:gridSpan w:val="7"/>
          </w:tcPr>
          <w:p>
            <w:pPr>
              <w:jc w:val="right"/>
              <w:ind w:right="124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r>
      <w:tr>
        <w:trPr>
          <w:trHeight w:val="230"/>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Equities (a)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99,016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111,067</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9,617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15,215</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Alternative investments</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13,281</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8,392</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121,914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134,674</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Other investments owned: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48,458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57,457</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gridSpan w:val="3"/>
          </w:tcPr>
          <w:p>
            <w:pPr>
              <w:ind w:left="260"/>
              <w:spacing w:after="0"/>
              <w:rPr>
                <w:sz w:val="20"/>
                <w:szCs w:val="20"/>
                <w:color w:val="auto"/>
              </w:rPr>
            </w:pPr>
            <w:r>
              <w:rPr>
                <w:rFonts w:ascii="Arial" w:cs="Arial" w:eastAsia="Arial" w:hAnsi="Arial"/>
                <w:sz w:val="18"/>
                <w:szCs w:val="18"/>
                <w:color w:val="auto"/>
              </w:rPr>
              <w:t>Interest-bearing deposits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98,288</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23,780</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other investments owned</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147,276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81,793</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269,190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216,467</w:t>
            </w:r>
          </w:p>
        </w:tc>
        <w:tc>
          <w:tcPr>
            <w:tcW w:w="120" w:type="dxa"/>
            <w:vAlign w:val="bottom"/>
            <w:shd w:val="clear" w:color="auto" w:fill="CFF0FC"/>
          </w:tcPr>
          <w:p>
            <w:pPr>
              <w:spacing w:after="0"/>
              <w:rPr>
                <w:sz w:val="19"/>
                <w:szCs w:val="19"/>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18,800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gridSpan w:val="3"/>
          </w:tcPr>
          <w:p>
            <w:pPr>
              <w:ind w:left="260"/>
              <w:spacing w:after="0"/>
              <w:rPr>
                <w:sz w:val="20"/>
                <w:szCs w:val="20"/>
                <w:color w:val="auto"/>
              </w:rPr>
            </w:pPr>
            <w:r>
              <w:rPr>
                <w:rFonts w:ascii="Arial" w:cs="Arial" w:eastAsia="Arial" w:hAnsi="Arial"/>
                <w:sz w:val="18"/>
                <w:szCs w:val="18"/>
                <w:color w:val="auto"/>
              </w:rPr>
              <w:t>LFI (e)</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217,204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191,497</w:t>
            </w:r>
          </w:p>
        </w:tc>
        <w:tc>
          <w:tcPr>
            <w:tcW w:w="12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505,194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427,186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020" w:type="dxa"/>
            <w:vAlign w:val="bottom"/>
            <w:gridSpan w:val="4"/>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9440" w:type="dxa"/>
            <w:vAlign w:val="bottom"/>
            <w:gridSpan w:val="8"/>
          </w:tcPr>
          <w:p>
            <w:pPr>
              <w:spacing w:after="0"/>
              <w:rPr>
                <w:sz w:val="20"/>
                <w:szCs w:val="20"/>
                <w:color w:val="auto"/>
              </w:rPr>
            </w:pPr>
            <w:r>
              <w:rPr>
                <w:rFonts w:ascii="Arial" w:cs="Arial" w:eastAsia="Arial" w:hAnsi="Arial"/>
                <w:sz w:val="18"/>
                <w:szCs w:val="18"/>
                <w:color w:val="auto"/>
                <w:w w:val="94"/>
              </w:rPr>
              <w:t>(a)  At June 30, 2018 and December 31, 2017, seed investments in directly owned equity securities were invested as follows: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5"/>
        </w:trPr>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9"/>
              </w:rPr>
              <w:t>June 30,</w:t>
            </w:r>
          </w:p>
        </w:tc>
        <w:tc>
          <w:tcPr>
            <w:tcW w:w="19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0" w:type="dxa"/>
            <w:vAlign w:val="bottom"/>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5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Borders>
              <w:bottom w:val="single" w:sz="8" w:color="CFF0FC"/>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69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69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right="320" w:hanging="372"/>
        <w:spacing w:after="0" w:line="342" w:lineRule="auto"/>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$28 million and $36 million as of June 30, 2018 and December 31, 2017, respectively.</w:t>
      </w:r>
    </w:p>
    <w:p>
      <w:pPr>
        <w:spacing w:after="0" w:line="15" w:lineRule="exact"/>
        <w:rPr>
          <w:rFonts w:ascii="Arial" w:cs="Arial" w:eastAsia="Arial" w:hAnsi="Arial"/>
          <w:sz w:val="16"/>
          <w:szCs w:val="16"/>
          <w:color w:val="auto"/>
        </w:rPr>
      </w:pPr>
    </w:p>
    <w:p>
      <w:pPr>
        <w:ind w:left="380" w:right="60" w:hanging="372"/>
        <w:spacing w:after="0" w:line="277"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June 30, 2018, includes investment in U.S. Treasury securities of approximately $75 million with original maturities of greater than three months and less than one year.</w:t>
      </w:r>
    </w:p>
    <w:p>
      <w:pPr>
        <w:spacing w:after="0" w:line="62" w:lineRule="exact"/>
        <w:rPr>
          <w:rFonts w:ascii="Arial" w:cs="Arial" w:eastAsia="Arial" w:hAnsi="Arial"/>
          <w:sz w:val="18"/>
          <w:szCs w:val="18"/>
          <w:color w:val="auto"/>
        </w:rPr>
      </w:pPr>
    </w:p>
    <w:p>
      <w:pPr>
        <w:ind w:left="380" w:right="160" w:hanging="372"/>
        <w:spacing w:after="0" w:line="264"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right="20" w:hanging="372"/>
        <w:spacing w:after="0" w:line="276"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$68 million in four entities as of June 30, 2018, as compared to $53 million in two entities as of December 31, 2017.</w:t>
      </w:r>
    </w:p>
    <w:p>
      <w:pPr>
        <w:spacing w:after="0" w:line="173"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At June 30, 2018 and December 31, 2017, total investments with a fair value of $505 million and $427 million, respectively, included $68 million and $80 million, respectively, or 13% and 19%,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100" w:firstLine="518"/>
        <w:spacing w:after="0" w:line="264" w:lineRule="auto"/>
        <w:rPr>
          <w:sz w:val="20"/>
          <w:szCs w:val="20"/>
          <w:color w:val="auto"/>
        </w:rPr>
      </w:pPr>
      <w:r>
        <w:rPr>
          <w:rFonts w:ascii="Arial" w:cs="Arial" w:eastAsia="Arial" w:hAnsi="Arial"/>
          <w:sz w:val="18"/>
          <w:szCs w:val="18"/>
          <w:color w:val="auto"/>
        </w:rPr>
        <w:t>As of June 30, 2018 and December 31, 2017, the Company held seed investments of approximately $122 million and $135 million, respectively. Seed investments held in entities in which the Company maintained a controlling interest were $27 million in seven entities as of June 30, 2018, as compared to $28 million in eight entities as of December 31, 2017.</w:t>
      </w:r>
    </w:p>
    <w:p>
      <w:pPr>
        <w:spacing w:after="0" w:line="181" w:lineRule="exact"/>
        <w:rPr>
          <w:sz w:val="20"/>
          <w:szCs w:val="20"/>
          <w:color w:val="auto"/>
        </w:rPr>
      </w:pPr>
    </w:p>
    <w:p>
      <w:pPr>
        <w:ind w:right="380" w:firstLine="518"/>
        <w:spacing w:after="0" w:line="259" w:lineRule="auto"/>
        <w:rPr>
          <w:sz w:val="20"/>
          <w:szCs w:val="20"/>
          <w:color w:val="auto"/>
        </w:rPr>
      </w:pPr>
      <w:r>
        <w:rPr>
          <w:rFonts w:ascii="Arial" w:cs="Arial" w:eastAsia="Arial" w:hAnsi="Arial"/>
          <w:sz w:val="18"/>
          <w:szCs w:val="18"/>
          <w:color w:val="auto"/>
        </w:rPr>
        <w:t>As of June 30, 2018 and December 31, 2017, the Company did not consolidate or deconsolidate any seed investment entities or LFI investment entities. As such, 100% of the recorded balance of seed investments and LFI investments as of June 30, 2018 and December 31, 2017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Equity Market Price Risk—At June 30, 2018 and December 31, 2017, the Company’s exposure to equity market price risk in its investment portfolio, which primarily relates to investments in equity securities, equity funds and hedge funds, was approximately $103 million and $107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$0.9 million and $2.0 million in the carrying value of such investments as of June 30, 2018 and December 31, 2017, respectively, including the effect of the hedging transactions.</w:t>
      </w:r>
    </w:p>
    <w:p>
      <w:pPr>
        <w:spacing w:after="0" w:line="15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Interest Rate/Credit Spread Risk—At June 30, 2018 and December 31, 2017, the Company’s exposure to interest rate and credit spread risk in its investment portfolio related to investments in debt securities or funds which invest primarily in debt securities was $129 million and $58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$1.3 million in the carrying value of such investments as of both June 30, 2018 and December 31, 2017, including the effect of the hedging transactions.</w:t>
      </w:r>
    </w:p>
    <w:p>
      <w:pPr>
        <w:spacing w:after="0" w:line="17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Foreign Exchange Rate Risk—At June 30, 2018 and December 31, 2017, the Company’s exposure to foreign exchange rate risk in its investment portfolio, which primarily relates to investments in foreign currency denominated equity and debt securities, was $59 million and $65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$1.7 million in the carrying value of such investments as of June 30, 2018 and December 31, 2017, respectively, including the effect of the hedging transactions.</w:t>
      </w:r>
    </w:p>
    <w:p>
      <w:pPr>
        <w:spacing w:after="0" w:line="19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Private Equity—The Company invests in private equity primarily as a part of its co-investment activities and in connection with certain legacy businesses. At June 30, 2018 and December 31, 2017, the Company’s exposure to changes in fair value of such investments was approximately $48 million and $57 million, respectively. The Company estimates that a hypothetical 10% adverse change in fair value would result in a decrease of approximately $4.8 million and $5.7 million in the carrying value of such investments as of June 30, 2018 and December 31, 2017,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June 30, 2018, total receivables amounted to $821 million, net of an allowance for doubtful accounts of $35 million. As of that date, Financial Advisory and Asset Management fees, receivables from Lazard Ltd subsidiaries, and customers and other receivables comprised 74%, 13% and 13% of total receivables, respectively. At December 31, 2017, total receivables amounted to $589 million, net of an allowance for doubtful accounts of $24 million. As of that date, Financial Advisory and Asset Management fees, receivables from Lazard Ltd subsidiaries, and customers and other receivables comprised 83%, 3% and 14% of total receivables, respectively. At June 30, 2018 and December 31, 2017, the Company had receivables past due or deemed uncollectible of approximately $42 million and $35 million, respectively. See also “Critical Accounting Policies and Estimates—Revenue Recognition” above and Note 4 of Notes to Condensed Consolidated Financial Statements for additional information regarding receivables.</w:t>
      </w:r>
    </w:p>
    <w:p>
      <w:pPr>
        <w:spacing w:after="0" w:line="178"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June 30, 2018 and December 31, 2017, customer receivables included $55 million and $61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$6 million and $4 million at June 30, 2018 and December 31, 2017, respectively, and derivative liabilities, excluding the derivative liability arising from the Company’s obligation pertaining to LFI and other similar deferred compensation arrangements, amounted to $2 million and $16 million at such respective dates.</w:t>
      </w:r>
    </w:p>
    <w:p>
      <w:pPr>
        <w:spacing w:after="0" w:line="158"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$201 million and $182 million at June 30, 2018 and December 31, 2017,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June 30, 2018,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4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As of June 30, 2018, the Company’s cash and cash equivalents totaled approximately $780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(iii) in short-term certificates of deposit from such banks and (iv) in short-term U.S. Treasury securities.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6" w:name="page67"/>
    <w:bookmarkEnd w:id="66"/>
    <w:p>
      <w:pPr>
        <w:ind w:right="140"/>
        <w:spacing w:after="0" w:line="264" w:lineRule="auto"/>
        <w:rPr>
          <w:sz w:val="20"/>
          <w:szCs w:val="20"/>
          <w:color w:val="auto"/>
        </w:rPr>
      </w:pPr>
      <w:r>
        <w:rPr>
          <w:rFonts w:ascii="Arial" w:cs="Arial" w:eastAsia="Arial" w:hAnsi="Arial"/>
          <w:sz w:val="18"/>
          <w:szCs w:val="18"/>
          <w:color w:val="auto"/>
        </w:rPr>
        <w:t>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8"/>
          </w:tcPr>
          <w:p>
            <w:pPr>
              <w:jc w:val="center"/>
              <w:ind w:right="534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8"/>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3.1</w:t>
            </w:r>
          </w:p>
        </w:tc>
        <w:tc>
          <w:tcPr>
            <w:tcW w:w="10400" w:type="dxa"/>
            <w:vAlign w:val="bottom"/>
            <w:gridSpan w:val="38"/>
          </w:tcPr>
          <w:p>
            <w:pPr>
              <w:spacing w:after="0"/>
              <w:rPr>
                <w:rFonts w:ascii="Arial" w:cs="Arial" w:eastAsia="Arial" w:hAnsi="Arial"/>
                <w:sz w:val="18"/>
                <w:szCs w:val="18"/>
                <w:color w:val="0000EE"/>
                <w:w w:val="94"/>
              </w:rPr>
            </w:pPr>
            <w:hyperlink r:id="rId98">
              <w:r>
                <w:rPr>
                  <w:rFonts w:ascii="Arial" w:cs="Arial" w:eastAsia="Arial" w:hAnsi="Arial"/>
                  <w:sz w:val="18"/>
                  <w:szCs w:val="18"/>
                  <w:color w:val="0000EE"/>
                  <w:w w:val="94"/>
                </w:rPr>
                <w:t>Certificate of Formation of the Registrant (incorporated by reference to Exhibit 3.1 to the Registrant’s Registration Statement (File No. 333-</w:t>
              </w:r>
            </w:hyperlink>
          </w:p>
        </w:tc>
      </w:tr>
      <w:tr>
        <w:trPr>
          <w:trHeight w:val="196"/>
        </w:trPr>
        <w:tc>
          <w:tcPr>
            <w:tcW w:w="1040" w:type="dxa"/>
            <w:vAlign w:val="bottom"/>
          </w:tcPr>
          <w:p>
            <w:pPr>
              <w:spacing w:after="0"/>
              <w:rPr>
                <w:sz w:val="17"/>
                <w:szCs w:val="17"/>
                <w:color w:val="auto"/>
              </w:rPr>
            </w:pPr>
          </w:p>
        </w:tc>
        <w:tc>
          <w:tcPr>
            <w:tcW w:w="101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126751) on Form S-4 filed on July 21, 2005).</w:t>
              </w:r>
            </w:hyperlink>
          </w:p>
        </w:tc>
        <w:tc>
          <w:tcPr>
            <w:tcW w:w="30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3.2</w:t>
            </w:r>
          </w:p>
        </w:tc>
        <w:tc>
          <w:tcPr>
            <w:tcW w:w="10080" w:type="dxa"/>
            <w:vAlign w:val="bottom"/>
            <w:tcBorders>
              <w:bottom w:val="single" w:sz="8" w:color="0000EE"/>
            </w:tcBorders>
            <w:gridSpan w:val="25"/>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3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Exhibit 3.2 to the Registrant’s Registration Statement (File No. 333-126751) on Form S-4 filed on July 21, 2005).</w:t>
              </w:r>
            </w:hyperlink>
          </w:p>
        </w:tc>
        <w:tc>
          <w:tcPr>
            <w:tcW w:w="2180" w:type="dxa"/>
            <w:vAlign w:val="bottom"/>
            <w:gridSpan w:val="23"/>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3.3</w:t>
            </w:r>
          </w:p>
        </w:tc>
        <w:tc>
          <w:tcPr>
            <w:tcW w:w="10160" w:type="dxa"/>
            <w:vAlign w:val="bottom"/>
            <w:tcBorders>
              <w:bottom w:val="single" w:sz="8" w:color="0000EE"/>
            </w:tcBorders>
            <w:gridSpan w:val="28"/>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Amended and Restated Operating Agreement of the Registrant, dated as of October 26, 2015 (incorporated by reference to Exhibit 3.3 to the</w:t>
              </w:r>
            </w:hyperlink>
          </w:p>
        </w:tc>
        <w:tc>
          <w:tcPr>
            <w:tcW w:w="240" w:type="dxa"/>
            <w:vAlign w:val="bottom"/>
            <w:gridSpan w:val="1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Registrant’s Quarterly Report (File No. 333-126751) on Form l0-Q filed on October 28,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3.4</w:t>
            </w:r>
          </w:p>
        </w:tc>
        <w:tc>
          <w:tcPr>
            <w:tcW w:w="10360" w:type="dxa"/>
            <w:vAlign w:val="bottom"/>
            <w:tcBorders>
              <w:bottom w:val="single" w:sz="8" w:color="0000EE"/>
            </w:tcBorders>
            <w:gridSpan w:val="36"/>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Amendment No.1 to Amended and Restated Operating Agreement of the Registrant, dated as of October 27, 2016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Exhibit 3.4 to the Registrant’s Quarterly Report on Form 10-Q filed on October 28, 2016).</w:t>
              </w:r>
            </w:hyperlink>
          </w:p>
        </w:tc>
        <w:tc>
          <w:tcPr>
            <w:tcW w:w="3880" w:type="dxa"/>
            <w:vAlign w:val="bottom"/>
            <w:gridSpan w:val="26"/>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4.1</w:t>
            </w:r>
          </w:p>
        </w:tc>
        <w:tc>
          <w:tcPr>
            <w:tcW w:w="98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2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4.2</w:t>
            </w:r>
          </w:p>
        </w:tc>
        <w:tc>
          <w:tcPr>
            <w:tcW w:w="9960" w:type="dxa"/>
            <w:vAlign w:val="bottom"/>
            <w:tcBorders>
              <w:bottom w:val="single" w:sz="8" w:color="0000EE"/>
            </w:tcBorders>
            <w:gridSpan w:val="22"/>
          </w:tcPr>
          <w:p>
            <w:pPr>
              <w:spacing w:after="0"/>
              <w:rPr>
                <w:rFonts w:ascii="Arial" w:cs="Arial" w:eastAsia="Arial" w:hAnsi="Arial"/>
                <w:sz w:val="18"/>
                <w:szCs w:val="18"/>
                <w:color w:val="0000EE"/>
                <w:w w:val="89"/>
              </w:rPr>
            </w:pPr>
            <w:hyperlink r:id="rId103">
              <w:r>
                <w:rPr>
                  <w:rFonts w:ascii="Arial" w:cs="Arial" w:eastAsia="Arial" w:hAnsi="Arial"/>
                  <w:sz w:val="18"/>
                  <w:szCs w:val="18"/>
                  <w:color w:val="0000EE"/>
                  <w:w w:val="89"/>
                </w:rPr>
                <w:t>Fourth Supplemental Indenture, dated as of June 21, 2007, between the Registrant and The Bank of New York, as trustee (incorporated by</w:t>
              </w:r>
            </w:hyperlink>
          </w:p>
        </w:tc>
        <w:tc>
          <w:tcPr>
            <w:tcW w:w="44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reference to Exhibit 4.1 to the Registrant’s Current Report on Form 8-K (File No. 333-126751) filed on June 22, 2007).</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4.3</w:t>
            </w:r>
          </w:p>
        </w:tc>
        <w:tc>
          <w:tcPr>
            <w:tcW w:w="9580" w:type="dxa"/>
            <w:vAlign w:val="bottom"/>
            <w:tcBorders>
              <w:bottom w:val="single" w:sz="8" w:color="0000EE"/>
            </w:tcBorders>
            <w:gridSpan w:val="19"/>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82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(incorporated by reference to Exhibit 4.1 to the Registrant’s Current Report on Form 8-K (File No 333-126751) filed on November 14, 2013).</w:t>
              </w:r>
            </w:hyperlink>
          </w:p>
        </w:tc>
        <w:tc>
          <w:tcPr>
            <w:tcW w:w="140" w:type="dxa"/>
            <w:vAlign w:val="bottom"/>
            <w:gridSpan w:val="5"/>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4.4</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900" w:type="dxa"/>
            <w:vAlign w:val="bottom"/>
            <w:gridSpan w:val="20"/>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20" w:type="dxa"/>
            <w:vAlign w:val="bottom"/>
            <w:gridSpan w:val="9"/>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4.5</w:t>
            </w:r>
          </w:p>
        </w:tc>
        <w:tc>
          <w:tcPr>
            <w:tcW w:w="10400" w:type="dxa"/>
            <w:vAlign w:val="bottom"/>
            <w:gridSpan w:val="38"/>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200" w:type="dxa"/>
            <w:vAlign w:val="bottom"/>
            <w:gridSpan w:val="8"/>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5"/>
              </w:rPr>
              <w:t>4.6</w:t>
            </w:r>
          </w:p>
        </w:tc>
        <w:tc>
          <w:tcPr>
            <w:tcW w:w="10400" w:type="dxa"/>
            <w:vAlign w:val="bottom"/>
            <w:gridSpan w:val="38"/>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3">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4">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5">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6">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10.1</w:t>
            </w:r>
          </w:p>
        </w:tc>
        <w:tc>
          <w:tcPr>
            <w:tcW w:w="10340" w:type="dxa"/>
            <w:vAlign w:val="bottom"/>
            <w:tcBorders>
              <w:bottom w:val="single" w:sz="8" w:color="0000EE"/>
            </w:tcBorders>
            <w:gridSpan w:val="35"/>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Exhibit 10.19 to Lazard Ltd’s Registration Statement (File No. 333-121407) on Form S-1/A filed on February 11, 2005).</w:t>
              </w:r>
            </w:hyperlink>
          </w:p>
        </w:tc>
        <w:tc>
          <w:tcPr>
            <w:tcW w:w="1700" w:type="dxa"/>
            <w:vAlign w:val="bottom"/>
            <w:gridSpan w:val="21"/>
          </w:tcPr>
          <w:p>
            <w:pPr>
              <w:spacing w:after="0"/>
              <w:rPr>
                <w:sz w:val="17"/>
                <w:szCs w:val="17"/>
                <w:color w:val="auto"/>
              </w:rPr>
            </w:pPr>
          </w:p>
        </w:tc>
      </w:tr>
      <w:tr>
        <w:trPr>
          <w:trHeight w:val="277"/>
        </w:trPr>
        <w:tc>
          <w:tcPr>
            <w:tcW w:w="1040" w:type="dxa"/>
            <w:vAlign w:val="bottom"/>
          </w:tcPr>
          <w:p>
            <w:pPr>
              <w:jc w:val="center"/>
              <w:ind w:right="350"/>
              <w:spacing w:after="0"/>
              <w:rPr>
                <w:sz w:val="20"/>
                <w:szCs w:val="20"/>
                <w:color w:val="auto"/>
              </w:rPr>
            </w:pPr>
            <w:r>
              <w:rPr>
                <w:rFonts w:ascii="Arial" w:cs="Arial" w:eastAsia="Arial" w:hAnsi="Arial"/>
                <w:sz w:val="18"/>
                <w:szCs w:val="18"/>
                <w:color w:val="auto"/>
                <w:w w:val="91"/>
              </w:rPr>
              <w:t>10.2</w:t>
            </w:r>
          </w:p>
        </w:tc>
        <w:tc>
          <w:tcPr>
            <w:tcW w:w="10380" w:type="dxa"/>
            <w:vAlign w:val="bottom"/>
            <w:tcBorders>
              <w:bottom w:val="single" w:sz="8" w:color="0000EE"/>
            </w:tcBorders>
            <w:gridSpan w:val="37"/>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Exhibit 10.15 to the Registrant’s Quarterly Report (File No. 333-126751) on Form 10-Q filed on April 29, 2011).</w:t>
              </w:r>
            </w:hyperlink>
          </w:p>
        </w:tc>
        <w:tc>
          <w:tcPr>
            <w:tcW w:w="2200" w:type="dxa"/>
            <w:vAlign w:val="bottom"/>
            <w:gridSpan w:val="24"/>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10.3*</w:t>
            </w:r>
          </w:p>
        </w:tc>
        <w:tc>
          <w:tcPr>
            <w:tcW w:w="10400" w:type="dxa"/>
            <w:vAlign w:val="bottom"/>
            <w:gridSpan w:val="38"/>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121407) on Form S-1/A filed on May 2, 2005).</w:t>
              </w:r>
            </w:hyperlink>
          </w:p>
        </w:tc>
        <w:tc>
          <w:tcPr>
            <w:tcW w:w="400" w:type="dxa"/>
            <w:vAlign w:val="bottom"/>
            <w:gridSpan w:val="1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10400" w:type="dxa"/>
            <w:vAlign w:val="bottom"/>
            <w:gridSpan w:val="38"/>
          </w:tcPr>
          <w:p>
            <w:pPr>
              <w:spacing w:after="0"/>
              <w:rPr>
                <w:rFonts w:ascii="Arial" w:cs="Arial" w:eastAsia="Arial" w:hAnsi="Arial"/>
                <w:sz w:val="18"/>
                <w:szCs w:val="18"/>
                <w:color w:val="0000EE"/>
                <w:w w:val="98"/>
              </w:rPr>
            </w:pPr>
            <w:hyperlink r:id="rId110">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Schedule 14A (File No. 001-32492) filed on March 24, 2008).</w:t>
              </w:r>
            </w:hyperlink>
          </w:p>
        </w:tc>
        <w:tc>
          <w:tcPr>
            <w:tcW w:w="5160" w:type="dxa"/>
            <w:vAlign w:val="bottom"/>
            <w:tcBorders>
              <w:top w:val="single" w:sz="8" w:color="0000EE"/>
            </w:tcBorders>
            <w:gridSpan w:val="9"/>
          </w:tcPr>
          <w:p>
            <w:pPr>
              <w:spacing w:after="0"/>
              <w:rPr>
                <w:sz w:val="17"/>
                <w:szCs w:val="17"/>
                <w:color w:val="auto"/>
              </w:rPr>
            </w:pPr>
          </w:p>
        </w:tc>
        <w:tc>
          <w:tcPr>
            <w:tcW w:w="700" w:type="dxa"/>
            <w:vAlign w:val="bottom"/>
            <w:gridSpan w:val="18"/>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10.5*</w:t>
            </w:r>
          </w:p>
        </w:tc>
        <w:tc>
          <w:tcPr>
            <w:tcW w:w="10240" w:type="dxa"/>
            <w:vAlign w:val="bottom"/>
            <w:tcBorders>
              <w:bottom w:val="single" w:sz="8" w:color="0000EE"/>
            </w:tcBorders>
            <w:gridSpan w:val="32"/>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No. 001-32492) filed on March 10, 2016).</w:t>
              </w:r>
            </w:hyperlink>
          </w:p>
        </w:tc>
        <w:tc>
          <w:tcPr>
            <w:tcW w:w="7340" w:type="dxa"/>
            <w:vAlign w:val="bottom"/>
            <w:gridSpan w:val="37"/>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10.6*</w:t>
            </w:r>
          </w:p>
        </w:tc>
        <w:tc>
          <w:tcPr>
            <w:tcW w:w="10400" w:type="dxa"/>
            <w:vAlign w:val="bottom"/>
            <w:gridSpan w:val="38"/>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Lazard Ltd 2018 Incentive Compensation Plan (incorporated by reference to Annex B to Lazard Ltd’s Definitive Proxy Statement on Schedule</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14A (File No. 001-32492) filed on March 15, 2018).</w:t>
              </w:r>
            </w:hyperlink>
          </w:p>
        </w:tc>
        <w:tc>
          <w:tcPr>
            <w:tcW w:w="6460" w:type="dxa"/>
            <w:vAlign w:val="bottom"/>
            <w:tcBorders>
              <w:top w:val="single" w:sz="8" w:color="0000EE"/>
            </w:tcBorders>
            <w:gridSpan w:val="26"/>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10.7*</w:t>
            </w:r>
          </w:p>
        </w:tc>
        <w:tc>
          <w:tcPr>
            <w:tcW w:w="102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8"/>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the Registrant, Lazard Ltd and Kenneth M. Jacobs (incorporated by reference to Exhibit 10.7 to the Registrant’s Quarterly Report (File No.</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333-126751) on Form 10-Q filed on April 27, 2016).</w:t>
              </w:r>
            </w:hyperlink>
          </w:p>
        </w:tc>
        <w:tc>
          <w:tcPr>
            <w:tcW w:w="6220" w:type="dxa"/>
            <w:vAlign w:val="bottom"/>
            <w:tcBorders>
              <w:top w:val="single" w:sz="8" w:color="0000EE"/>
            </w:tcBorders>
            <w:gridSpan w:val="16"/>
          </w:tcPr>
          <w:p>
            <w:pPr>
              <w:spacing w:after="0"/>
              <w:rPr>
                <w:sz w:val="17"/>
                <w:szCs w:val="17"/>
                <w:color w:val="auto"/>
              </w:rPr>
            </w:pPr>
          </w:p>
        </w:tc>
        <w:tc>
          <w:tcPr>
            <w:tcW w:w="360" w:type="dxa"/>
            <w:vAlign w:val="bottom"/>
            <w:gridSpan w:val="14"/>
          </w:tcPr>
          <w:p>
            <w:pPr>
              <w:spacing w:after="0"/>
              <w:rPr>
                <w:sz w:val="17"/>
                <w:szCs w:val="17"/>
                <w:color w:val="auto"/>
              </w:rPr>
            </w:pPr>
          </w:p>
        </w:tc>
      </w:tr>
      <w:tr>
        <w:trPr>
          <w:trHeight w:val="277"/>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10.8*</w:t>
            </w:r>
          </w:p>
        </w:tc>
        <w:tc>
          <w:tcPr>
            <w:tcW w:w="10220" w:type="dxa"/>
            <w:vAlign w:val="bottom"/>
            <w:tcBorders>
              <w:bottom w:val="single" w:sz="8" w:color="0000EE"/>
            </w:tcBorders>
            <w:gridSpan w:val="31"/>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the Registrant, Lazard Ltd and Ashish Bhutani (incorporated by reference to Exhibit 10.8 to the Registrant’s Quarterly Report (File No. 333-</w:t>
              </w:r>
            </w:hyperlink>
          </w:p>
        </w:tc>
        <w:tc>
          <w:tcPr>
            <w:tcW w:w="2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126751) on Form 10-Q filed on April 27, 2016).</w:t>
              </w:r>
            </w:hyperlink>
          </w:p>
        </w:tc>
      </w:tr>
      <w:tr>
        <w:trPr>
          <w:trHeight w:val="777"/>
        </w:trPr>
        <w:tc>
          <w:tcPr>
            <w:tcW w:w="1040" w:type="dxa"/>
            <w:vAlign w:val="bottom"/>
          </w:tcPr>
          <w:p>
            <w:pPr>
              <w:spacing w:after="0"/>
              <w:rPr>
                <w:sz w:val="24"/>
                <w:szCs w:val="24"/>
                <w:color w:val="auto"/>
              </w:rPr>
            </w:pPr>
          </w:p>
        </w:tc>
        <w:tc>
          <w:tcPr>
            <w:tcW w:w="3480" w:type="dxa"/>
            <w:vAlign w:val="bottom"/>
            <w:tcBorders>
              <w:top w:val="single" w:sz="8" w:color="0000EE"/>
            </w:tcBorders>
            <w:gridSpan w:val="6"/>
          </w:tcPr>
          <w:p>
            <w:pPr>
              <w:spacing w:after="0"/>
              <w:rPr>
                <w:sz w:val="24"/>
                <w:szCs w:val="24"/>
                <w:color w:val="auto"/>
              </w:rPr>
            </w:pPr>
          </w:p>
        </w:tc>
        <w:tc>
          <w:tcPr>
            <w:tcW w:w="3040" w:type="dxa"/>
            <w:vAlign w:val="bottom"/>
            <w:gridSpan w:val="6"/>
          </w:tcPr>
          <w:p>
            <w:pPr>
              <w:jc w:val="right"/>
              <w:ind w:right="17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color w:val="auto"/>
              </w:rPr>
              <w:t>10.9*</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the Registrant, Lazard Ltd and Matthieu Bucaille (incorporated by reference to Exhibit 10.9 to the Registrant’s Quarterly Report (File No 333-</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126751) on Form 10-Q filed on April 27, 2016).</w:t>
              </w:r>
            </w:hyperlink>
          </w:p>
        </w:tc>
        <w:tc>
          <w:tcPr>
            <w:tcW w:w="14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10.10*</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the Registrant, Lazard Ltd and Scott D. Hoffman (incorporated by reference to Exhibit 10.10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10.11*</w:t>
            </w:r>
          </w:p>
        </w:tc>
        <w:tc>
          <w:tcPr>
            <w:tcW w:w="10400" w:type="dxa"/>
            <w:vAlign w:val="bottom"/>
            <w:gridSpan w:val="31"/>
          </w:tcPr>
          <w:p>
            <w:pPr>
              <w:spacing w:after="0"/>
              <w:rPr>
                <w:rFonts w:ascii="Arial" w:cs="Arial" w:eastAsia="Arial" w:hAnsi="Arial"/>
                <w:sz w:val="18"/>
                <w:szCs w:val="18"/>
                <w:color w:val="0000EE"/>
                <w:w w:val="97"/>
              </w:rPr>
            </w:pPr>
            <w:hyperlink r:id="rId119">
              <w:r>
                <w:rPr>
                  <w:rFonts w:ascii="Arial" w:cs="Arial" w:eastAsia="Arial" w:hAnsi="Arial"/>
                  <w:sz w:val="18"/>
                  <w:szCs w:val="18"/>
                  <w:color w:val="0000EE"/>
                  <w:w w:val="97"/>
                </w:rPr>
                <w:t>Amendment, dated as of October 30, 2017, to Amended and Restated Agreement relating to Retention and Noncompetition and Other</w:t>
              </w:r>
            </w:hyperlink>
          </w:p>
        </w:tc>
      </w:tr>
      <w:tr>
        <w:trPr>
          <w:trHeight w:val="20"/>
        </w:trPr>
        <w:tc>
          <w:tcPr>
            <w:tcW w:w="10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Covenants, dated as of March 9, 2016, by and among Lazard Ltd, the Registrant and Scott D. Hoffman (incorporated by reference to Exhibit</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0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Registrant’s Quarterly Report (File No. 333-126751) on 10-Q filed on October 31, 2017).</w:t>
              </w:r>
            </w:hyperlink>
          </w:p>
        </w:tc>
        <w:tc>
          <w:tcPr>
            <w:tcW w:w="3320" w:type="dxa"/>
            <w:vAlign w:val="bottom"/>
            <w:gridSpan w:val="19"/>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EE"/>
            </w:tcBorders>
            <w:gridSpan w:val="17"/>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Agreement relating to Retention and Noncompetition and Other Covenants, dated as of October 30, 2017, by and among Lazard Ltd, the</w:t>
              </w:r>
            </w:hyperlink>
          </w:p>
        </w:tc>
        <w:tc>
          <w:tcPr>
            <w:tcW w:w="54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Registrant and Evan L. Russo (incorporated by reference to Exhibit 10.12 to Registrant’s Quarterly Report (File No. 333-126751) on 10-Q filed</w:t>
              </w:r>
            </w:hyperlink>
          </w:p>
        </w:tc>
      </w:tr>
      <w:tr>
        <w:trPr>
          <w:trHeight w:val="196"/>
        </w:trPr>
        <w:tc>
          <w:tcPr>
            <w:tcW w:w="1040" w:type="dxa"/>
            <w:vAlign w:val="bottom"/>
          </w:tcPr>
          <w:p>
            <w:pPr>
              <w:spacing w:after="0"/>
              <w:rPr>
                <w:sz w:val="17"/>
                <w:szCs w:val="17"/>
                <w:color w:val="auto"/>
              </w:rPr>
            </w:pPr>
          </w:p>
        </w:tc>
        <w:tc>
          <w:tcPr>
            <w:tcW w:w="1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on October 31, 2017).</w:t>
              </w:r>
            </w:hyperlink>
          </w:p>
        </w:tc>
        <w:tc>
          <w:tcPr>
            <w:tcW w:w="8760" w:type="dxa"/>
            <w:vAlign w:val="bottom"/>
            <w:tcBorders>
              <w:top w:val="single" w:sz="8" w:color="0000EE"/>
            </w:tcBorders>
            <w:gridSpan w:val="29"/>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10.13*</w:t>
            </w:r>
          </w:p>
        </w:tc>
        <w:tc>
          <w:tcPr>
            <w:tcW w:w="10220" w:type="dxa"/>
            <w:vAlign w:val="bottom"/>
            <w:tcBorders>
              <w:bottom w:val="single" w:sz="8" w:color="0000EE"/>
            </w:tcBorders>
            <w:gridSpan w:val="27"/>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the Registrant, Lazard Ltd and Alexander F. Stern (incorporated by reference to Exhibit 10.11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10.14*</w:t>
            </w:r>
          </w:p>
        </w:tc>
        <w:tc>
          <w:tcPr>
            <w:tcW w:w="9940" w:type="dxa"/>
            <w:vAlign w:val="bottom"/>
            <w:tcBorders>
              <w:bottom w:val="single" w:sz="8" w:color="0000EE"/>
            </w:tcBorders>
            <w:gridSpan w:val="19"/>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4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10.15*</w:t>
            </w:r>
          </w:p>
        </w:tc>
        <w:tc>
          <w:tcPr>
            <w:tcW w:w="10400" w:type="dxa"/>
            <w:vAlign w:val="bottom"/>
            <w:gridSpan w:val="31"/>
          </w:tcPr>
          <w:p>
            <w:pPr>
              <w:spacing w:after="0"/>
              <w:rPr>
                <w:rFonts w:ascii="Arial" w:cs="Arial" w:eastAsia="Arial" w:hAnsi="Arial"/>
                <w:sz w:val="18"/>
                <w:szCs w:val="18"/>
                <w:color w:val="0000EE"/>
                <w:w w:val="99"/>
              </w:rPr>
            </w:pPr>
            <w:hyperlink r:id="rId123">
              <w:r>
                <w:rPr>
                  <w:rFonts w:ascii="Arial" w:cs="Arial" w:eastAsia="Arial" w:hAnsi="Arial"/>
                  <w:sz w:val="18"/>
                  <w:szCs w:val="18"/>
                  <w:color w:val="0000EE"/>
                  <w:w w:val="99"/>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7"/>
              </w:rPr>
            </w:pPr>
            <w:hyperlink r:id="rId123">
              <w:r>
                <w:rPr>
                  <w:rFonts w:ascii="Arial" w:cs="Arial" w:eastAsia="Arial" w:hAnsi="Arial"/>
                  <w:sz w:val="18"/>
                  <w:szCs w:val="18"/>
                  <w:color w:val="0000EE"/>
                  <w:w w:val="97"/>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10.17*</w:t>
            </w:r>
          </w:p>
        </w:tc>
        <w:tc>
          <w:tcPr>
            <w:tcW w:w="10400" w:type="dxa"/>
            <w:vAlign w:val="bottom"/>
            <w:gridSpan w:val="31"/>
          </w:tcPr>
          <w:p>
            <w:pPr>
              <w:spacing w:after="0"/>
              <w:rPr>
                <w:rFonts w:ascii="Arial" w:cs="Arial" w:eastAsia="Arial" w:hAnsi="Arial"/>
                <w:sz w:val="18"/>
                <w:szCs w:val="18"/>
                <w:color w:val="0000EE"/>
                <w:w w:val="94"/>
              </w:rPr>
            </w:pPr>
            <w:hyperlink r:id="rId125">
              <w:r>
                <w:rPr>
                  <w:rFonts w:ascii="Arial" w:cs="Arial" w:eastAsia="Arial" w:hAnsi="Arial"/>
                  <w:sz w:val="18"/>
                  <w:szCs w:val="18"/>
                  <w:color w:val="0000EE"/>
                  <w:w w:val="94"/>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10-Q filed on May 11, 2006).</w:t>
              </w:r>
            </w:hyperlink>
          </w:p>
        </w:tc>
        <w:tc>
          <w:tcPr>
            <w:tcW w:w="22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10.18</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126751) on Form 10-Q filed on October 28, 2015).</w:t>
              </w:r>
            </w:hyperlink>
          </w:p>
        </w:tc>
        <w:tc>
          <w:tcPr>
            <w:tcW w:w="32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24"/>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2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the Registrant’s Quarterly Report (File No. 333-126751) on Form 10-Q filed on May 1, 2013).</w:t>
              </w:r>
            </w:hyperlink>
          </w:p>
        </w:tc>
        <w:tc>
          <w:tcPr>
            <w:tcW w:w="3580" w:type="dxa"/>
            <w:vAlign w:val="bottom"/>
            <w:gridSpan w:val="20"/>
          </w:tcPr>
          <w:p>
            <w:pPr>
              <w:spacing w:after="0"/>
              <w:rPr>
                <w:sz w:val="17"/>
                <w:szCs w:val="17"/>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10.20*</w:t>
            </w:r>
          </w:p>
        </w:tc>
        <w:tc>
          <w:tcPr>
            <w:tcW w:w="10400" w:type="dxa"/>
            <w:vAlign w:val="bottom"/>
            <w:gridSpan w:val="31"/>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10.21*</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10.22*</w:t>
            </w:r>
          </w:p>
        </w:tc>
        <w:tc>
          <w:tcPr>
            <w:tcW w:w="10240" w:type="dxa"/>
            <w:vAlign w:val="bottom"/>
            <w:tcBorders>
              <w:bottom w:val="single" w:sz="8" w:color="0000EE"/>
            </w:tcBorders>
            <w:gridSpan w:val="28"/>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Form of Agreement evidencing a grant of Restricted Stock under the 2008 Incentive Compensation Plan (incorporated by reference to Exhibit</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54</w:t>
              </w:r>
              <w:r>
                <w:rPr>
                  <w:rFonts w:ascii="Arial" w:cs="Arial" w:eastAsia="Arial" w:hAnsi="Arial"/>
                  <w:sz w:val="18"/>
                  <w:szCs w:val="18"/>
                  <w:color w:val="0000EE"/>
                </w:rPr>
                <w:t xml:space="preserve"> to the Registrant’s Quarterly Report (File No. 333-126751) on Form 10-Q filed on April 30, 2010).</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10.23*</w:t>
            </w:r>
          </w:p>
        </w:tc>
        <w:tc>
          <w:tcPr>
            <w:tcW w:w="9880" w:type="dxa"/>
            <w:vAlign w:val="bottom"/>
            <w:tcBorders>
              <w:bottom w:val="single" w:sz="8" w:color="0000EE"/>
            </w:tcBorders>
            <w:gridSpan w:val="18"/>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Form of Agreement evidencing a grant of Lazard Fund Interests (incorporated by reference to Exhibit 10.54 to the Registrant’s Quarterly</w:t>
              </w:r>
            </w:hyperlink>
          </w:p>
        </w:tc>
        <w:tc>
          <w:tcPr>
            <w:tcW w:w="52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Report (File No. 333-126751) on Form 10-Q filed on April 29, 2011).</w:t>
              </w:r>
            </w:hyperlink>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12.1</w:t>
            </w:r>
          </w:p>
        </w:tc>
        <w:tc>
          <w:tcPr>
            <w:tcW w:w="3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Computation of Ratio of Earnings to Fixed Charges.</w:t>
              </w:r>
            </w:hyperlink>
          </w:p>
        </w:tc>
        <w:tc>
          <w:tcPr>
            <w:tcW w:w="1260" w:type="dxa"/>
            <w:vAlign w:val="bottom"/>
            <w:tcBorders>
              <w:top w:val="single" w:sz="8" w:color="0000EE"/>
            </w:tcBorders>
          </w:tcPr>
          <w:p>
            <w:pPr>
              <w:spacing w:after="0"/>
              <w:rPr>
                <w:sz w:val="24"/>
                <w:szCs w:val="24"/>
                <w:color w:val="auto"/>
              </w:rPr>
            </w:pPr>
          </w:p>
        </w:tc>
        <w:tc>
          <w:tcPr>
            <w:tcW w:w="5360" w:type="dxa"/>
            <w:vAlign w:val="bottom"/>
            <w:gridSpan w:val="23"/>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Rule 13a-14(a) Certification of Kenneth M. Jacobs.</w:t>
              </w:r>
            </w:hyperlink>
          </w:p>
        </w:tc>
        <w:tc>
          <w:tcPr>
            <w:tcW w:w="6680" w:type="dxa"/>
            <w:vAlign w:val="bottom"/>
            <w:gridSpan w:val="25"/>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10400" w:type="dxa"/>
            <w:vAlign w:val="bottom"/>
            <w:gridSpan w:val="3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720" w:type="dxa"/>
            <w:vAlign w:val="bottom"/>
            <w:gridSpan w:val="26"/>
          </w:tcPr>
          <w:p>
            <w:pPr>
              <w:spacing w:after="0" w:line="20" w:lineRule="exact"/>
              <w:rPr>
                <w:sz w:val="1"/>
                <w:szCs w:val="1"/>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6">
              <w:r>
                <w:rPr>
                  <w:rFonts w:ascii="Arial" w:cs="Arial" w:eastAsia="Arial" w:hAnsi="Arial"/>
                  <w:sz w:val="18"/>
                  <w:szCs w:val="18"/>
                  <w:color w:val="0000EE"/>
                  <w:w w:val="92"/>
                </w:rPr>
                <w:t>Section 1350 Certification for Kenneth M. Jacobs.</w:t>
              </w:r>
            </w:hyperlink>
          </w:p>
        </w:tc>
        <w:tc>
          <w:tcPr>
            <w:tcW w:w="6720" w:type="dxa"/>
            <w:vAlign w:val="bottom"/>
            <w:gridSpan w:val="26"/>
          </w:tcPr>
          <w:p>
            <w:pPr>
              <w:spacing w:after="0"/>
              <w:rPr>
                <w:sz w:val="24"/>
                <w:szCs w:val="24"/>
                <w:color w:val="auto"/>
              </w:rPr>
            </w:pPr>
          </w:p>
        </w:tc>
      </w:tr>
      <w:tr>
        <w:trPr>
          <w:trHeight w:val="277"/>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10400" w:type="dxa"/>
            <w:vAlign w:val="bottom"/>
            <w:gridSpan w:val="3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Section 1350 Certification for Evan L. Russo.</w:t>
              </w:r>
            </w:hyperlink>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060" w:type="dxa"/>
            <w:vAlign w:val="bottom"/>
            <w:gridSpan w:val="28"/>
          </w:tcPr>
          <w:p>
            <w:pPr>
              <w:spacing w:after="0"/>
              <w:rPr>
                <w:sz w:val="24"/>
                <w:szCs w:val="24"/>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31"/>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3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gridSpan w:val="31"/>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675"/>
        </w:trPr>
        <w:tc>
          <w:tcPr>
            <w:tcW w:w="1040" w:type="dxa"/>
            <w:vAlign w:val="bottom"/>
          </w:tcPr>
          <w:p>
            <w:pPr>
              <w:spacing w:after="0"/>
              <w:rPr>
                <w:sz w:val="24"/>
                <w:szCs w:val="24"/>
                <w:color w:val="auto"/>
              </w:rPr>
            </w:pPr>
          </w:p>
        </w:tc>
        <w:tc>
          <w:tcPr>
            <w:tcW w:w="5040" w:type="dxa"/>
            <w:vAlign w:val="bottom"/>
            <w:gridSpan w:val="8"/>
          </w:tcPr>
          <w:p>
            <w:pPr>
              <w:ind w:left="458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209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76"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7" w:right="239" w:bottom="1440" w:gutter="0" w:footer="0" w:header="0"/>
        </w:sectPr>
      </w:pPr>
    </w:p>
    <w:bookmarkStart w:id="72" w:name="page73"/>
    <w:bookmarkEnd w:id="72"/>
    <w:p>
      <w:pPr>
        <w:ind w:left="1028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Six Months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32"/>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378,766</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633,753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521,993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530,845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Add—Fixed charges</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42,148</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420,914</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715,144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599,064</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609,671</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(b)</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3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57,254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13,158</w:t>
            </w:r>
          </w:p>
        </w:tc>
        <w:tc>
          <w:tcPr>
            <w:tcW w:w="32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24,137</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2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42,148</w:t>
            </w:r>
          </w:p>
        </w:tc>
        <w:tc>
          <w:tcPr>
            <w:tcW w:w="3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(d)</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40" w:type="dxa"/>
            <w:vAlign w:val="bottom"/>
          </w:tcPr>
          <w:p>
            <w:pPr>
              <w:ind w:left="100"/>
              <w:spacing w:after="0"/>
              <w:rPr>
                <w:sz w:val="20"/>
                <w:szCs w:val="20"/>
                <w:color w:val="auto"/>
              </w:rPr>
            </w:pPr>
            <w:r>
              <w:rPr>
                <w:rFonts w:ascii="Arial" w:cs="Arial" w:eastAsia="Arial" w:hAnsi="Arial"/>
                <w:sz w:val="18"/>
                <w:szCs w:val="18"/>
                <w:color w:val="auto"/>
                <w:w w:val="99"/>
              </w:rPr>
              <w:t>(g)</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Notes (dollars in thousands):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44" w:lineRule="exact"/>
        <w:rPr>
          <w:rFonts w:ascii="Arial" w:cs="Arial" w:eastAsia="Arial" w:hAnsi="Arial"/>
          <w:sz w:val="18"/>
          <w:szCs w:val="18"/>
          <w:color w:val="auto"/>
        </w:rPr>
      </w:pPr>
    </w:p>
    <w:p>
      <w:pPr>
        <w:ind w:left="520" w:right="16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six months ended June 30, 2018 is presented after giving effect to (i) $1,186 of acquisition-related benefits, (ii) $12,830 of expenses associated with the ERP system implementation and (iii) $2,425 of expenses related to office space reorganization. Excluding the impact of such items, the ratio of earnings to fixed charges would have been 10.47.</w:t>
      </w:r>
    </w:p>
    <w:p>
      <w:pPr>
        <w:spacing w:after="0" w:line="73" w:lineRule="exact"/>
        <w:rPr>
          <w:rFonts w:ascii="Arial" w:cs="Arial" w:eastAsia="Arial" w:hAnsi="Arial"/>
          <w:sz w:val="18"/>
          <w:szCs w:val="18"/>
          <w:color w:val="auto"/>
        </w:rPr>
      </w:pPr>
    </w:p>
    <w:p>
      <w:pPr>
        <w:ind w:left="520" w:right="40" w:hanging="512"/>
        <w:spacing w:after="0" w:line="264"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2017 is presented after giving effect to (i) $1,291 of acquisition-related costs, (ii) $25,308 of expenses associated with the ERP system implementation, and (iii) $11,354 of expenses related to office space reorganization. Excluding the impact of such items, the ratio of earnings to fixed charges would have been 9.24.</w:t>
      </w:r>
    </w:p>
    <w:p>
      <w:pPr>
        <w:spacing w:after="0" w:line="73" w:lineRule="exact"/>
        <w:rPr>
          <w:rFonts w:ascii="Arial" w:cs="Arial" w:eastAsia="Arial" w:hAnsi="Arial"/>
          <w:sz w:val="18"/>
          <w:szCs w:val="18"/>
          <w:color w:val="auto"/>
        </w:rPr>
      </w:pPr>
    </w:p>
    <w:p>
      <w:pPr>
        <w:ind w:left="520" w:right="40" w:hanging="512"/>
        <w:spacing w:after="0" w:line="297"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(i) a charge of $3,148 associated with the redemption of the remaining portion of the 6.85% senior notes due June 2017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items, the ratio of earnings to fixed charges would have been 8.11.</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(i) a charge of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items, the ratio of earnings to fixed charges would have been 4.14.</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Lazard Group LLC (the “Registrant”);</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2018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2"/>
    </w:lvl>
  </w:abstractNum>
  <w:abstractNum w:abstractNumId="8">
    <w:nsid w:val="419AC241"/>
    <w:multiLevelType w:val="hybridMultilevel"/>
    <w:lvl w:ilvl="0">
      <w:lvlJc w:val="left"/>
      <w:lvlText w:val="%1."/>
      <w:numFmt w:val="decimal"/>
      <w:start w:val="3"/>
    </w:lvl>
  </w:abstractNum>
  <w:abstractNum w:abstractNumId="9">
    <w:nsid w:val="5577F8E1"/>
    <w:multiLevelType w:val="hybridMultilevel"/>
    <w:lvl w:ilvl="0">
      <w:lvlJc w:val="left"/>
      <w:lvlText w:val="(%1)"/>
      <w:numFmt w:val="lowerLetter"/>
      <w:start w:val="1"/>
    </w:lvl>
  </w:abstractNum>
  <w:abstractNum w:abstractNumId="10">
    <w:nsid w:val="440BADFC"/>
    <w:multiLevelType w:val="hybridMultilevel"/>
    <w:lvl w:ilvl="0">
      <w:lvlJc w:val="left"/>
      <w:lvlText w:val="(%1)"/>
      <w:numFmt w:val="lowerLetter"/>
      <w:start w:val="4"/>
    </w:lvl>
  </w:abstractNum>
  <w:abstractNum w:abstractNumId="11">
    <w:nsid w:val="5072367"/>
    <w:multiLevelType w:val="hybridMultilevel"/>
    <w:lvl w:ilvl="0">
      <w:lvlJc w:val="left"/>
      <w:lvlText w:val="%1."/>
      <w:numFmt w:val="decimal"/>
      <w:start w:val="4"/>
    </w:lvl>
  </w:abstractNum>
  <w:abstractNum w:abstractNumId="12">
    <w:nsid w:val="3804823E"/>
    <w:multiLevelType w:val="hybridMultilevel"/>
    <w:lvl w:ilvl="0">
      <w:lvlJc w:val="left"/>
      <w:lvlText w:val="%1."/>
      <w:numFmt w:val="decimal"/>
      <w:start w:val="5"/>
    </w:lvl>
  </w:abstractNum>
  <w:abstractNum w:abstractNumId="13">
    <w:nsid w:val="77465F01"/>
    <w:multiLevelType w:val="hybridMultilevel"/>
    <w:lvl w:ilvl="0">
      <w:lvlJc w:val="left"/>
      <w:lvlText w:val="(%1)"/>
      <w:numFmt w:val="lowerLetter"/>
      <w:start w:val="1"/>
    </w:lvl>
  </w:abstractNum>
  <w:abstractNum w:abstractNumId="14">
    <w:nsid w:val="7724C67E"/>
    <w:multiLevelType w:val="hybridMultilevel"/>
    <w:lvl w:ilvl="0">
      <w:lvlJc w:val="left"/>
      <w:lvlText w:val="%1."/>
      <w:numFmt w:val="decimal"/>
      <w:start w:val="6"/>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decimal"/>
      <w:start w:val="7"/>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decimal"/>
      <w:start w:val="8"/>
    </w:lvl>
  </w:abstractNum>
  <w:abstractNum w:abstractNumId="21">
    <w:nsid w:val="153EA438"/>
    <w:multiLevelType w:val="hybridMultilevel"/>
    <w:lvl w:ilvl="0">
      <w:lvlJc w:val="left"/>
      <w:lvlText w:val="%1."/>
      <w:numFmt w:val="decimal"/>
      <w:start w:val="9"/>
    </w:lvl>
  </w:abstractNum>
  <w:abstractNum w:abstractNumId="22">
    <w:nsid w:val="3855585C"/>
    <w:multiLevelType w:val="hybridMultilevel"/>
    <w:lvl w:ilvl="0">
      <w:lvlJc w:val="left"/>
      <w:lvlText w:val="(%1)"/>
      <w:numFmt w:val="lowerLetter"/>
      <w:start w:val="1"/>
    </w:lvl>
  </w:abstractNum>
  <w:abstractNum w:abstractNumId="23">
    <w:nsid w:val="70A64E2A"/>
    <w:multiLevelType w:val="hybridMultilevel"/>
    <w:lvl w:ilvl="0">
      <w:lvlJc w:val="left"/>
      <w:lvlText w:val="%1."/>
      <w:numFmt w:val="decimal"/>
      <w:start w:val="10"/>
    </w:lvl>
  </w:abstractNum>
  <w:abstractNum w:abstractNumId="24">
    <w:nsid w:val="6A2342EC"/>
    <w:multiLevelType w:val="hybridMultilevel"/>
    <w:lvl w:ilvl="0">
      <w:lvlJc w:val="left"/>
      <w:lvlText w:val="(%1)"/>
      <w:numFmt w:val="lowerLetter"/>
      <w:start w:val="1"/>
    </w:lvl>
  </w:abstractNum>
  <w:abstractNum w:abstractNumId="25">
    <w:nsid w:val="2A487CB0"/>
    <w:multiLevelType w:val="hybridMultilevel"/>
    <w:lvl w:ilvl="0">
      <w:lvlJc w:val="left"/>
      <w:lvlText w:val="%1."/>
      <w:numFmt w:val="decimal"/>
      <w:start w:val="11"/>
    </w:lvl>
  </w:abstractNum>
  <w:abstractNum w:abstractNumId="26">
    <w:nsid w:val="1D4ED43B"/>
    <w:multiLevelType w:val="hybridMultilevel"/>
    <w:lvl w:ilvl="0">
      <w:lvlJc w:val="left"/>
      <w:lvlText w:val="%1."/>
      <w:numFmt w:val="decimal"/>
      <w:start w:val="1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1."/>
      <w:numFmt w:val="decimal"/>
      <w:start w:val="13"/>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4"/>
    </w:lvl>
  </w:abstractNum>
  <w:abstractNum w:abstractNumId="31">
    <w:nsid w:val="4B588F54"/>
    <w:multiLevelType w:val="hybridMultilevel"/>
    <w:lvl w:ilvl="0">
      <w:lvlJc w:val="left"/>
      <w:lvlText w:val="%1."/>
      <w:numFmt w:val="decimal"/>
      <w:start w:val="15"/>
    </w:lvl>
  </w:abstractNum>
  <w:abstractNum w:abstractNumId="32">
    <w:nsid w:val="542289EC"/>
    <w:multiLevelType w:val="hybridMultilevel"/>
    <w:lvl w:ilvl="0">
      <w:lvlJc w:val="left"/>
      <w:lvlText w:val="%1."/>
      <w:numFmt w:val="decimal"/>
      <w:start w:val="16"/>
    </w:lvl>
  </w:abstractNum>
  <w:abstractNum w:abstractNumId="33">
    <w:nsid w:val="6DE91B18"/>
    <w:multiLevelType w:val="hybridMultilevel"/>
    <w:lvl w:ilvl="0">
      <w:lvlJc w:val="left"/>
      <w:lvlText w:val="%1."/>
      <w:numFmt w:val="decimal"/>
      <w:start w:val="17"/>
    </w:lvl>
  </w:abstractNum>
  <w:abstractNum w:abstractNumId="34">
    <w:nsid w:val="38437FDB"/>
    <w:multiLevelType w:val="hybridMultilevel"/>
    <w:lvl w:ilvl="0">
      <w:lvlJc w:val="left"/>
      <w:lvlText w:val="%1."/>
      <w:numFmt w:val="decimal"/>
      <w:start w:val="18"/>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lvl w:ilvl="1">
      <w:lvlJc w:val="left"/>
      <w:lvlText w:val="(%2)"/>
      <w:numFmt w:val="lowerRoman"/>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Roman"/>
      <w:start w:val="2"/>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lowerLetter"/>
      <w:start w:val="1"/>
    </w:lvl>
    <w:lvl w:ilvl="1">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98" Type="http://schemas.openxmlformats.org/officeDocument/2006/relationships/hyperlink" Target="http://www.sec.gov/Archives/edgar/data/1326141/000119312505145683/dex31.htm" TargetMode="External"/><Relationship Id="rId99" Type="http://schemas.openxmlformats.org/officeDocument/2006/relationships/hyperlink" Target="http://www.sec.gov/Archives/edgar/data/1326141/000119312505145683/dex32.htm" TargetMode="External"/><Relationship Id="rId100" Type="http://schemas.openxmlformats.org/officeDocument/2006/relationships/hyperlink" Target="http://www.sec.gov/Archives/edgar/data/1326141/000119312515355050/d40575dex33.htm" TargetMode="External"/><Relationship Id="rId101" Type="http://schemas.openxmlformats.org/officeDocument/2006/relationships/hyperlink" Target="http://www.sec.gov/Archives/edgar/data/1326141/000156459016026508/lzd-ex34_617.htm" TargetMode="External"/><Relationship Id="rId102" Type="http://schemas.openxmlformats.org/officeDocument/2006/relationships/hyperlink" Target="http://www.sec.gov/Archives/edgar/data/1326141/000119312505145683/dex41.htm" TargetMode="External"/><Relationship Id="rId103" Type="http://schemas.openxmlformats.org/officeDocument/2006/relationships/hyperlink" Target="http://www.sec.gov/Archives/edgar/data/1326141/000119312507140250/dex41.htm" TargetMode="External"/><Relationship Id="rId104" Type="http://schemas.openxmlformats.org/officeDocument/2006/relationships/hyperlink" Target="http://www.sec.gov/Archives/edgar/data/1326141/000119312513442331/d627938dex41.htm" TargetMode="External"/><Relationship Id="rId105" Type="http://schemas.openxmlformats.org/officeDocument/2006/relationships/hyperlink" Target="http://www.sec.gov/Archives/edgar/data/1326141/000119312515050372/d871109dex41.htm" TargetMode="External"/><Relationship Id="rId106" Type="http://schemas.openxmlformats.org/officeDocument/2006/relationships/hyperlink" Target="http://www.sec.gov/Archives/edgar/data/1326141/000119312516760474/d275674dex41.htm" TargetMode="External"/><Relationship Id="rId107" Type="http://schemas.openxmlformats.org/officeDocument/2006/relationships/hyperlink" Target="http://www.sec.gov/Archives/edgar/data/1311370/000119312505025486/dex1019.htm" TargetMode="External"/><Relationship Id="rId108" Type="http://schemas.openxmlformats.org/officeDocument/2006/relationships/hyperlink" Target="http://www.sec.gov/Archives/edgar/data/1326141/000119312511117049/dex1015.htm" TargetMode="External"/><Relationship Id="rId109" Type="http://schemas.openxmlformats.org/officeDocument/2006/relationships/hyperlink" Target="http://www.sec.gov/Archives/edgar/data/1311370/000119312505091140/dex1021.htm" TargetMode="External"/><Relationship Id="rId110" Type="http://schemas.openxmlformats.org/officeDocument/2006/relationships/hyperlink" Target="http://www.sec.gov/Archives/edgar/data/1311370/000119312508063107/ddef14a.htm" TargetMode="External"/><Relationship Id="rId111" Type="http://schemas.openxmlformats.org/officeDocument/2006/relationships/hyperlink" Target="http://www.sec.gov/Archives/edgar/data/1311370/000119312516500308/d128121ddef14a.htm" TargetMode="External"/><Relationship Id="rId112" Type="http://schemas.openxmlformats.org/officeDocument/2006/relationships/hyperlink" Target="http://www.sec.gov/Archives/edgar/data/1311370/000119312518082725/d525181ddef14a.htm" TargetMode="External"/><Relationship Id="rId113" Type="http://schemas.openxmlformats.org/officeDocument/2006/relationships/hyperlink" Target="http://www.sec.gov/Archives/edgar/data/1326141/000119312516556968/d177065dex107.htm" TargetMode="External"/><Relationship Id="rId114" Type="http://schemas.openxmlformats.org/officeDocument/2006/relationships/hyperlink" Target="http://www.sec.gov/Archives/edgar/data/1326141/000119312516556968/d177065dex108.htm" TargetMode="External"/><Relationship Id="rId117" Type="http://schemas.openxmlformats.org/officeDocument/2006/relationships/hyperlink" Target="http://www.sec.gov/Archives/edgar/data/1326141/000119312516556968/d177065dex109.htm" TargetMode="External"/><Relationship Id="rId118" Type="http://schemas.openxmlformats.org/officeDocument/2006/relationships/hyperlink" Target="http://www.sec.gov/Archives/edgar/data/1326141/000119312516556968/d177065dex1010.htm" TargetMode="External"/><Relationship Id="rId119" Type="http://schemas.openxmlformats.org/officeDocument/2006/relationships/hyperlink" Target="http://www.sec.gov/Archives/edgar/data/1326141/000156459017020406/lzd-ex1011_801.htm" TargetMode="External"/><Relationship Id="rId120" Type="http://schemas.openxmlformats.org/officeDocument/2006/relationships/hyperlink" Target="http://www.sec.gov/Archives/edgar/data/1326141/000156459017020406/lzd-ex1012_802.htm" TargetMode="External"/><Relationship Id="rId121" Type="http://schemas.openxmlformats.org/officeDocument/2006/relationships/hyperlink" Target="http://www.sec.gov/Archives/edgar/data/1326141/000119312516556968/d177065dex1011.htm" TargetMode="External"/><Relationship Id="rId122" Type="http://schemas.openxmlformats.org/officeDocument/2006/relationships/hyperlink" Target="http://www.sec.gov/Archives/edgar/data/1311370/000089882205001180/sept9_exhibit.txt" TargetMode="External"/><Relationship Id="rId123" Type="http://schemas.openxmlformats.org/officeDocument/2006/relationships/hyperlink" Target="http://www.sec.gov/Archives/edgar/data/1311370/000119312509041325/dex1041.htm" TargetMode="External"/><Relationship Id="rId124" Type="http://schemas.openxmlformats.org/officeDocument/2006/relationships/hyperlink" Target="http://www.sec.gov/Archives/edgar/data/1311370/000119312509041325/dex1042.htm" TargetMode="External"/><Relationship Id="rId125" Type="http://schemas.openxmlformats.org/officeDocument/2006/relationships/hyperlink" Target="http://www.sec.gov/Archives/edgar/data/1311370/000119312506109044/dex1039.htm" TargetMode="External"/><Relationship Id="rId126" Type="http://schemas.openxmlformats.org/officeDocument/2006/relationships/hyperlink" Target="http://www.sec.gov/Archives/edgar/data/1326141/000119312515355050/d40575dex1025.htm" TargetMode="External"/><Relationship Id="rId127" Type="http://schemas.openxmlformats.org/officeDocument/2006/relationships/hyperlink" Target="http://www.sec.gov/Archives/edgar/data/1326141/000119312513188145/d507153dex1054.htm" TargetMode="External"/><Relationship Id="rId128" Type="http://schemas.openxmlformats.org/officeDocument/2006/relationships/hyperlink" Target="http://www.sec.gov/Archives/edgar/data/1326141/000119312514185018/d700862dex1054.htm" TargetMode="External"/><Relationship Id="rId129" Type="http://schemas.openxmlformats.org/officeDocument/2006/relationships/hyperlink" Target="http://www.sec.gov/Archives/edgar/data/1326141/000119312514185018/d700862dex1055.htm" TargetMode="External"/><Relationship Id="rId130" Type="http://schemas.openxmlformats.org/officeDocument/2006/relationships/hyperlink" Target="http://www.sec.gov/Archives/edgar/data/1326141/000119312510102282/dex1054.htm" TargetMode="External"/><Relationship Id="rId131" Type="http://schemas.openxmlformats.org/officeDocument/2006/relationships/hyperlink" Target="http://www.sec.gov/Archives/edgar/data/1326141/000119312511117049/dex10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2019-12-28T20:37:02Z</dcterms:created>
  <dcterms:modified xsi:type="dcterms:W3CDTF">2019-12-28T20:37:02Z</dcterms:modified>
</cp:coreProperties>
</file>