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360" w:type="dxa"/>
        <w:tblCellMar>
          <w:top w:w="0" w:type="dxa"/>
          <w:left w:w="0" w:type="dxa"/>
          <w:bottom w:w="0" w:type="dxa"/>
          <w:right w:w="0" w:type="dxa"/>
        </w:tblCellMar>
      </w:tblPr>
      <w:tr>
        <w:trPr>
          <w:trHeight w:val="530"/>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43"/>
                <w:szCs w:val="43"/>
                <w:b w:val="1"/>
                <w:bCs w:val="1"/>
                <w:color w:val="auto"/>
              </w:rPr>
              <w:t>LAZARD LTD</w:t>
            </w: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2"/>
                <w:szCs w:val="22"/>
                <w:color w:val="auto"/>
              </w:rPr>
            </w:pPr>
          </w:p>
        </w:tc>
        <w:tc>
          <w:tcPr>
            <w:tcW w:w="4960" w:type="dxa"/>
            <w:vAlign w:val="bottom"/>
            <w:gridSpan w:val="4"/>
          </w:tcPr>
          <w:p>
            <w:pPr>
              <w:jc w:val="center"/>
              <w:ind w:right="3860"/>
              <w:spacing w:after="0"/>
              <w:rPr>
                <w:sz w:val="20"/>
                <w:szCs w:val="20"/>
                <w:color w:val="auto"/>
              </w:rPr>
            </w:pPr>
            <w:r>
              <w:rPr>
                <w:rFonts w:ascii="Arial" w:cs="Arial" w:eastAsia="Arial" w:hAnsi="Arial"/>
                <w:sz w:val="18"/>
                <w:szCs w:val="18"/>
                <w:b w:val="1"/>
                <w:bCs w:val="1"/>
                <w:color w:val="auto"/>
                <w:w w:val="89"/>
              </w:rPr>
              <w:t>Bermuda</w:t>
            </w:r>
          </w:p>
        </w:tc>
        <w:tc>
          <w:tcPr>
            <w:tcW w:w="204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98-0437848</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960" w:type="dxa"/>
            <w:vAlign w:val="bottom"/>
            <w:gridSpan w:val="5"/>
          </w:tcPr>
          <w:p>
            <w:pPr>
              <w:jc w:val="center"/>
              <w:ind w:right="184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660" w:type="dxa"/>
            <w:vAlign w:val="bottom"/>
            <w:gridSpan w:val="4"/>
          </w:tcPr>
          <w:p>
            <w:pPr>
              <w:jc w:val="center"/>
              <w:ind w:left="10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4960" w:type="dxa"/>
            <w:vAlign w:val="bottom"/>
            <w:gridSpan w:val="4"/>
          </w:tcPr>
          <w:p>
            <w:pPr>
              <w:jc w:val="center"/>
              <w:ind w:right="3840"/>
              <w:spacing w:after="0"/>
              <w:rPr>
                <w:sz w:val="20"/>
                <w:szCs w:val="20"/>
                <w:color w:val="auto"/>
              </w:rPr>
            </w:pPr>
            <w:r>
              <w:rPr>
                <w:rFonts w:ascii="Arial" w:cs="Arial" w:eastAsia="Arial" w:hAnsi="Arial"/>
                <w:sz w:val="14"/>
                <w:szCs w:val="14"/>
                <w:b w:val="1"/>
                <w:bCs w:val="1"/>
                <w:color w:val="auto"/>
                <w:w w:val="88"/>
              </w:rPr>
              <w:t>or Organization)</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Clarendon House</w:t>
            </w: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2 Church Street</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Hamilton HM11, Bermuda</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60" w:type="dxa"/>
            <w:vAlign w:val="bottom"/>
            <w:gridSpan w:val="4"/>
          </w:tcPr>
          <w:p>
            <w:pPr>
              <w:jc w:val="center"/>
              <w:ind w:right="622"/>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0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4"/>
          </w:tcPr>
          <w:p>
            <w:pPr>
              <w:jc w:val="center"/>
              <w:ind w:right="62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00" w:type="dxa"/>
            <w:vAlign w:val="bottom"/>
            <w:vMerge w:val="restart"/>
          </w:tcPr>
          <w:p>
            <w:pPr>
              <w:ind w:left="660"/>
              <w:spacing w:after="0"/>
              <w:rPr>
                <w:sz w:val="20"/>
                <w:szCs w:val="20"/>
                <w:color w:val="auto"/>
              </w:rPr>
            </w:pPr>
            <w:r>
              <w:rPr>
                <w:rFonts w:ascii="Arial" w:cs="Arial" w:eastAsia="Arial" w:hAnsi="Arial"/>
                <w:sz w:val="18"/>
                <w:szCs w:val="18"/>
                <w:b w:val="1"/>
                <w:bCs w:val="1"/>
                <w:color w:val="auto"/>
                <w:w w:val="88"/>
              </w:rPr>
              <w:t>Class A Common</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3880" w:type="dxa"/>
            <w:vAlign w:val="bottom"/>
            <w:gridSpan w:val="3"/>
          </w:tcPr>
          <w:p>
            <w:pPr>
              <w:spacing w:after="0"/>
              <w:rPr>
                <w:sz w:val="22"/>
                <w:szCs w:val="22"/>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2000" w:type="dxa"/>
            <w:vAlign w:val="bottom"/>
            <w:vMerge w:val="continue"/>
          </w:tcPr>
          <w:p>
            <w:pPr>
              <w:spacing w:after="0"/>
              <w:rPr>
                <w:sz w:val="19"/>
                <w:szCs w:val="19"/>
                <w:color w:val="auto"/>
              </w:rPr>
            </w:pPr>
          </w:p>
        </w:tc>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Stock, par value $0.01 per share</w:t>
            </w:r>
          </w:p>
        </w:tc>
        <w:tc>
          <w:tcPr>
            <w:tcW w:w="2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310"/>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4"/>
          </w:tcPr>
          <w:p>
            <w:pPr>
              <w:jc w:val="center"/>
              <w:ind w:right="642"/>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34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75"/>
        </w:trPr>
        <w:tc>
          <w:tcPr>
            <w:tcW w:w="83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aggregate market value of the common stock held by non-affiliates of the Registrant as of June 30, 2012 was approximately $3,018,126,020.</w:t>
      </w:r>
    </w:p>
    <w:p>
      <w:pPr>
        <w:spacing w:after="0" w:line="86" w:lineRule="exact"/>
        <w:rPr>
          <w:sz w:val="24"/>
          <w:szCs w:val="24"/>
          <w:color w:val="auto"/>
        </w:rPr>
      </w:pPr>
    </w:p>
    <w:p>
      <w:pPr>
        <w:ind w:right="20" w:firstLine="342"/>
        <w:spacing w:after="0" w:line="268" w:lineRule="auto"/>
        <w:rPr>
          <w:sz w:val="20"/>
          <w:szCs w:val="20"/>
          <w:color w:val="auto"/>
        </w:rPr>
      </w:pPr>
      <w:r>
        <w:rPr>
          <w:rFonts w:ascii="Arial" w:cs="Arial" w:eastAsia="Arial" w:hAnsi="Arial"/>
          <w:sz w:val="18"/>
          <w:szCs w:val="18"/>
          <w:color w:val="auto"/>
        </w:rPr>
        <w:t>As of January 31, 2013, there were 128,216,423 shares of the Registrant’s Class A common stock (including 12,790,280 shares held by subsidiaries) and one share of the registrant’s Class B common stock outstanding.</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60" w:firstLine="342"/>
        <w:spacing w:after="0" w:line="268" w:lineRule="auto"/>
        <w:rPr>
          <w:sz w:val="20"/>
          <w:szCs w:val="20"/>
          <w:color w:val="auto"/>
        </w:rPr>
      </w:pPr>
      <w:r>
        <w:rPr>
          <w:rFonts w:ascii="Arial" w:cs="Arial" w:eastAsia="Arial" w:hAnsi="Arial"/>
          <w:sz w:val="18"/>
          <w:szCs w:val="18"/>
          <w:color w:val="auto"/>
        </w:rPr>
        <w:t>Portions of the Registrant’s proxy statement for its 2013 annual general meeting of shareholders are incorporated by reference in this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37">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39">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40">
              <w:r>
                <w:rPr>
                  <w:rFonts w:ascii="Arial" w:cs="Arial" w:eastAsia="Arial" w:hAnsi="Arial"/>
                  <w:sz w:val="18"/>
                  <w:szCs w:val="18"/>
                  <w:color w:val="0000EE"/>
                  <w:w w:val="87"/>
                </w:rPr>
                <w:t>Exhibits and Financial Statement Schedules</w:t>
              </w:r>
            </w:hyperlink>
          </w:p>
        </w:tc>
        <w:tc>
          <w:tcPr>
            <w:tcW w:w="63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December 31, 2012 of approximately 98.8% of the common membership interests in Lazard Group and its controlling interest in Lazard Group.</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execution.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18"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For the years ended December 31, 2012, 2011 and 2010, the Financial Advisory segment net revenue totaled $1.049 billion, $992 million and $1.120 billion, respectively, accounting for approximately 55%, 54% and 59%, respectively, of our consolidated net revenue for such years. We earned $1 million or more from 255 clients, 241 clients and 255 clients for the years ended December 31, 2012, 2011 and 2010, respectively. For the years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ended December 31, 2012, 2011 and 2010, the ten largest fee paying clients constituted approximately 18%, 14% and 16% of our Financial Advisory segment net revenue, respectively, with no client individually constituting more than 10% of segment net revenue during any of these years. For the years ended December 31, 2012, 2011 and 2010, the Financial Advisory segment reported operating income (loss) of $(9) million, $62 million and $169 million, respectively. Operating income in 2012 included a charge in the fourth quarter of $78 million associated with the cost saving initiatives (as described in Note 16 of Notes to Consolidated Financial Statements) announced by the Company in October 2012, and, in 2010, included a charge of $20 million relating to the amendment of the Company’s retirement policy with respect to restricted stock unit (“RSU”) awards that are applicable to the Financial Advisory segment (as each are described in Management’s Discussion and Analysis of Financial Condition and Results of Operations). Excluding the impact of such items, our Financial Advisory segment had operating income of $69 million and $189 million in the years ended December 31, 2012 and 2010, respectively. At December 31, 2012, 2011 and 2010, the Financial Advisory segment had total assets of $793 million, $768 million and $799 million, respectively.</w:t>
      </w:r>
    </w:p>
    <w:p>
      <w:pPr>
        <w:spacing w:after="0" w:line="12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believe that we have been pioneers in offering financial advisory services on an international basis, with the establishment of our New York, Paris and London offices dating back to the nineteenth century. We maintain a major local presence in the U.S., the United Kingdom (the “U.K.”) and France, including a network of regional branch offices in the U.S. and France, as well as a presence in Argentina, Australia, Belgium, Brazil, Chile, China, Colombia, Germany, India, Italy, Japan, the Netherlands, Panama, Peru, Saudi Arabia, Singapore, South Korea, Spain, Sweden, Switzerland, the United Arab Emirates and Uruguay.</w:t>
      </w:r>
    </w:p>
    <w:p>
      <w:pPr>
        <w:spacing w:after="0" w:line="9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Over the past several years, our Financial Advisory segment has made several business acquisitions and entered into certain other business relationships. In 2007 we acquired all of the outstanding ownership interests of Goldsmith, Agio, Helms &amp; Lynner, LLC (“GAHL”), a Minneapolis-based investment bank specializing in financial advisory services to mid-sized private companies, all of the outstanding shares of Carnegie, Wylie &amp; Company (Holdings) Pty Ltd (“CWC”), an Australia-based financial advisory and private equity firm, now known as Lazard Australia Holdings Pty Limited, and, along with the Company’s existing financial advisory business in Australia, referred to below as “Lazard Australia”, and concurrently sold such investment to Lazard Group, and we entered into a joint cooperation agreement with Raiffeisen Investment AG (“Raiffeisen”) for merger and acquisition advisory services in Russia and the Central and Eastern European (the “CEE”) region. The cooperation agreement between us and Raiffeisen, one of the CEE region’s top M&amp;A advisors, provides domestic, international and cross-border expertise within Russia and the CEE region. In 2008, we acquired a 50% interest in Merchant Bankers Asociados (“MBA”), an Argentina-based financial advisory services firm with offices across Central and South America and the parent company of MBA Banco de Inversiones. In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 In 2012, we integrated our Brazilian operations based in São Paulo, and established a Lazard Africa initiative to leverage our sovereign and corporate expertise in this rapidly growing region, for our clients in both developed and developing countries.</w:t>
      </w:r>
    </w:p>
    <w:p>
      <w:pPr>
        <w:spacing w:after="0" w:line="12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an entire company, our services include advising on the appropriate sale process for the situation, valuation issues,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financial and strategic alternatives to a sale including recapitalizations, spin-offs, carve-outs and split-offs. We frequently provide advice with respect to the structure, timing and pricing of these alternatives.</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including providing advice on dividend policy.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originating public underwritings of equity, debt and convertible securities and originating and executing private placements of partnership and similar interests in alternative investment funds such as leveraged buyout, mezzanine or real estate focused funds.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the beginning of the financial crisis that began in mid-2007, we have been at the forefront of providing independent advice to governments and governmental agencies challenged by the current troubled environment. Lazard’s Sovereign Advisory Group is highly active, advising a number of countries with respect to sovereign debt and other issues.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May 10, 2005, Lazard Group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(“LFCM Holdings”), a Delaware limited liability company. We refer to these businesses, assets and liabilities as the “separated businesses” and these transfers collectively as the “separation.” In connection with the separation, we entered into a business alliance agreement dated as of May 10, 2005 by and among Lazard Group, LAZ-MD Holdings LLC (“LAZ-MD Holdings”), an entity owned by current and former managing directors of Lazard Group, and LFCM Holdings (the “business alliance agreement”), pursuant to which a subsidiary of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staff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transaction execution services. Our managing directors have significant experience,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them are able to use this experience to advise on M&amp;A, financings, restructurings, capital structure and other transactions or financial matters,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2012, our Financial Advisory segment had 151 managing directors and 732 other professionals (which includes directors, vice presidents, associates and analysts).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quality of the advice that we can offer, which improves our ability to market our capabilities to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investment in public equities, or “PIPES,”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finance and other advisory services, including convertible exchange transactions, registered direct offerings and private placements.</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investing in our intellectual capital through senior professionals who we believe have strong client relationships and industry expertise,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developing new client relationships, including leveraging the broad geographic footprint and strong relationships in our Asset Management business,</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and Sovereign Advisory Groups, to help corporations and governments in addressing the significant deleveraging that is occurring in the developed markets,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Restructuring, Capital Markets and other professionals, and</w:t>
      </w:r>
    </w:p>
    <w:p>
      <w:pPr>
        <w:spacing w:after="0" w:line="50"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broadening our geographic presence by adding new offices, including, since the beginning of 2007, offices in Australia (Melbourne and Perth), Saudi Arabia (Riyadh), Switzerland (Zurich) and the United Arab Emirates (Dubai City), as well as new regional offices in the U.S. (Boston, Minneapolis and Charlotte), acquiring a 50% interest in a financial advisory firm with offices in Central and South America (Argentina, Chile, Colombia, Panama, Peru and Uruguay), integrating our Brazilian operations based in São Paulo and entering into a joint cooperation agreement in Eastern Europe and Russia, as well as a strategic alliance with a financial advisory firm in Mexico.</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reduction, recapitalization and related activities that are occurring in the developed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 in the current macroeconomic environment;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in recent years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since 2007, as described above, we have broadened our geographic footprint through acquisitions, investments and alliances.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Recapitalization and Relationship with Natixis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On May 10, 2005, we completed the equity public offering (the “equity public offering”) of Class A common stock of Lazard Ltd (“Class A common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stock” or “common stock”), the public offering of equity security units of Lazard Ltd, the private placements under an investment agreement with IXIS Corporate</w:t>
      </w:r>
    </w:p>
    <w:p>
      <w:pPr>
        <w:spacing w:after="0" w:line="32" w:lineRule="exact"/>
        <w:rPr>
          <w:sz w:val="20"/>
          <w:szCs w:val="20"/>
          <w:color w:val="auto"/>
        </w:rPr>
      </w:pPr>
    </w:p>
    <w:p>
      <w:pPr>
        <w:ind w:right="80" w:firstLine="8"/>
        <w:spacing w:after="0" w:line="254" w:lineRule="auto"/>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Bank (“IXIS” or, following its merger with and into its parent, “Natixis”) and the private offering of the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Lazard Group and Natixis had in place a cooperation arrangement to place and underwrite securities in the French capital markets under a common brand, “Lazard-Natixis,” and cooperate in their respective origination, syndication, placement and other activities. The cooperation arrangement primarily covered French listed companies included in the Société des Bourses Francaises (“SBF”) 120 Index and initial public offerings with an expected resulting market capitalization of at least €500 million. The term of the cooperation arrangement expired on December 31, 2012. Discussions are taking place regarding the possible renewal of the cooperation arrangement or the execution of a new form of cooperation arrangement.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union funds, financial intermediaries and private clients.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analyzing, among other things, a company’s financial position, productivity and opportunities in light of its valuation.</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2012, total assets under management (“AUM”) were $167 billion, of which approximately 83% was invested in equities, 13% in fixed income, 3% in alternative investments and 1% in private equity funds. As of the same date, approximately 31% of our AUM was invested in international (</w:t>
      </w:r>
      <w:r>
        <w:rPr>
          <w:rFonts w:ascii="Arial" w:cs="Arial" w:eastAsia="Arial" w:hAnsi="Arial"/>
          <w:sz w:val="16"/>
          <w:szCs w:val="16"/>
          <w:i w:val="1"/>
          <w:iCs w:val="1"/>
          <w:color w:val="auto"/>
        </w:rPr>
        <w:t>i.e.</w:t>
      </w:r>
      <w:r>
        <w:rPr>
          <w:rFonts w:ascii="Arial" w:cs="Arial" w:eastAsia="Arial" w:hAnsi="Arial"/>
          <w:sz w:val="16"/>
          <w:szCs w:val="16"/>
          <w:color w:val="auto"/>
        </w:rPr>
        <w:t>, non-U.S. and regional non-U.S.) investment strategies, 51% was invested in global investment strategies and 18% was invested in U.S. investment strategies. Our top ten clients accounted for 23%, 22% and 22% of our total AUM at December 31, 2012, 2011 and 2010, respectively, with no client individually constituting more than 10% of our Asset Management segment net revenue during any of the respective years. Approximately 91% of our AUM as of December 31, 2012 was managed on behalf of institutional clients, including corporations, labor unions, public pension funds, insurance companies and banks, and through sub-advisory relationships, mutual fund sponsors, broker-dealers and registered advisors, and approximately 9% of our AUM was managed on behalf of individual client relationships, which are principally with family offices and high-net worth individuals.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2012,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4905375" cy="142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537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For the years ended December 31, 2012, 2011 and 2010, our Asset Management segment net revenue totaled $896 million, $897 million and $850 million, respectively, accounting for approximately 47%, 49% and 45%, respectively, of our consolidated net revenue for such years. For the years ended December 31, 2012, 2011 and 2010, Asset Management reported operating income of $237 million, $268 million and $265 million, respectively. Operating income in 2012 included a charge of $13 million associated with the cost saving initiatives announced by the Company in October 2012, and, in 2010, included a charge of $3 million relating to the amendment of Lazard’s retirement policy with respect to RSU awards that were applicable to the Asset Management segment (as each are described in Management’s Discussion and Analysis of Financial Condition and Results of Operations). Excluding the impact of such special items, our Asset Management segment had operating income of $250 million and $268 million in the years ended December 31, 2012 and 2010, respectively. At December 31, 2012, 2011 and 2010, our Asset Management segment had total assets of $567 million, $584 million and $687 million, respectively.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largest Asset Management businesses are Lazard Asset Management LLC and its subsidiaries (“LAM”), with offices in New York, San Francisco, Boston, Chicago, Toronto, Montreal, London, Milan, Frankfurt, Hamburg, Tokyo, Hong Kong, Sydney, Seoul, Zurich and Manama (aggregating approximately $152 billion in total AUM as of December 31, 2012), and Lazard Frères Gestion SAS (“LFG”), with offices in Paris, Bordeaux, Brussels and Lyon (aggregating approximately $14 billion in total AUM as of December 31, 2012). These operations, with 71 managing directors and 352 professionals as of December 31, 2012, provide our business with both a global presence and a local identity.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a company’s financial position, productivity and opportunities in light of its valuation,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71"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validation,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Equities</w:t>
            </w:r>
          </w:p>
        </w:tc>
        <w:tc>
          <w:tcPr>
            <w:tcW w:w="16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1600" w:type="dxa"/>
            <w:vAlign w:val="bottom"/>
          </w:tcPr>
          <w:p>
            <w:pPr>
              <w:ind w:left="260"/>
              <w:spacing w:after="0" w:line="201" w:lineRule="exact"/>
              <w:rPr>
                <w:sz w:val="20"/>
                <w:szCs w:val="20"/>
                <w:color w:val="auto"/>
              </w:rPr>
            </w:pPr>
            <w:r>
              <w:rPr>
                <w:rFonts w:ascii="Arial" w:cs="Arial" w:eastAsia="Arial" w:hAnsi="Arial"/>
                <w:sz w:val="18"/>
                <w:szCs w:val="18"/>
                <w:b w:val="1"/>
                <w:bCs w:val="1"/>
                <w:i w:val="1"/>
                <w:iCs w:val="1"/>
                <w:color w:val="auto"/>
              </w:rPr>
              <w:t>Global</w:t>
            </w: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Thematic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Convertibles**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Listed Infrastructure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89"/>
              </w:rPr>
              <w:t>Emerging Markets Small</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480"/>
              <w:spacing w:after="0"/>
              <w:rPr>
                <w:sz w:val="20"/>
                <w:szCs w:val="20"/>
                <w:color w:val="auto"/>
              </w:rPr>
            </w:pPr>
            <w:r>
              <w:rPr>
                <w:rFonts w:ascii="Arial" w:cs="Arial" w:eastAsia="Arial" w:hAnsi="Arial"/>
                <w:sz w:val="18"/>
                <w:szCs w:val="18"/>
                <w:color w:val="auto"/>
              </w:rPr>
              <w:t>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Latin American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Trend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Real Estate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Multi Strategies</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EAFE (Non-U.S.)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Multi-Capitalization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Real Estate</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Global Ex</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Ex-U.K.</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Ex-Japan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Ex-Australia</w:t>
            </w:r>
          </w:p>
        </w:tc>
        <w:tc>
          <w:tcPr>
            <w:tcW w:w="0" w:type="dxa"/>
            <w:vAlign w:val="bottom"/>
          </w:tcPr>
          <w:p>
            <w:pPr>
              <w:spacing w:after="0"/>
              <w:rPr>
                <w:sz w:val="1"/>
                <w:szCs w:val="1"/>
                <w:color w:val="auto"/>
              </w:rPr>
            </w:pPr>
          </w:p>
        </w:tc>
      </w:tr>
      <w:tr>
        <w:trPr>
          <w:trHeight w:val="285"/>
        </w:trPr>
        <w:tc>
          <w:tcPr>
            <w:tcW w:w="2040" w:type="dxa"/>
            <w:vAlign w:val="bottom"/>
          </w:tcPr>
          <w:p>
            <w:pPr>
              <w:spacing w:after="0"/>
              <w:rPr>
                <w:sz w:val="20"/>
                <w:szCs w:val="20"/>
                <w:color w:val="auto"/>
              </w:rPr>
            </w:pPr>
            <w:r>
              <w:rPr>
                <w:rFonts w:ascii="Arial" w:cs="Arial" w:eastAsia="Arial" w:hAnsi="Arial"/>
                <w:sz w:val="18"/>
                <w:szCs w:val="18"/>
                <w:b w:val="1"/>
                <w:bCs w:val="1"/>
                <w:color w:val="auto"/>
              </w:rPr>
              <w:t>Fixed Income and Cash</w:t>
            </w: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Global</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Core Fixed Income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High Yield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Short Duration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480"/>
              <w:spacing w:after="0"/>
              <w:rPr>
                <w:sz w:val="20"/>
                <w:szCs w:val="20"/>
                <w:color w:val="auto"/>
              </w:rPr>
            </w:pPr>
            <w:r>
              <w:rPr>
                <w:rFonts w:ascii="Arial" w:cs="Arial" w:eastAsia="Arial" w:hAnsi="Arial"/>
                <w:sz w:val="18"/>
                <w:szCs w:val="18"/>
                <w:color w:val="auto"/>
              </w:rPr>
              <w:t>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Alternative</w:t>
      </w:r>
      <w:r>
        <w:rPr>
          <w:sz w:val="20"/>
          <w:szCs w:val="20"/>
          <w:color w:val="auto"/>
        </w:rPr>
        <w:tab/>
      </w:r>
      <w:r>
        <w:rPr>
          <w:rFonts w:ascii="Arial" w:cs="Arial" w:eastAsia="Arial" w:hAnsi="Arial"/>
          <w:sz w:val="18"/>
          <w:szCs w:val="18"/>
          <w:b w:val="1"/>
          <w:bCs w:val="1"/>
          <w:i w:val="1"/>
          <w:iCs w:val="1"/>
          <w:color w:val="auto"/>
        </w:rPr>
        <w:t>Global</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Fund of Hedge Funds</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Fund of Closed-End Funds</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(Long and Long/Short)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Convertible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Long/Short Equity</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Arbitrage/Relative Value</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Emerging Income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Regional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Continental European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Small Cap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Cap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Eurozone (</w:t>
      </w:r>
      <w:r>
        <w:rPr>
          <w:rFonts w:ascii="Arial" w:cs="Arial" w:eastAsia="Arial" w:hAnsi="Arial"/>
          <w:sz w:val="16"/>
          <w:szCs w:val="16"/>
          <w:i w:val="1"/>
          <w:iCs w:val="1"/>
          <w:color w:val="auto"/>
        </w:rPr>
        <w:t>i.e</w:t>
      </w:r>
      <w:r>
        <w:rPr>
          <w:rFonts w:ascii="Arial" w:cs="Arial" w:eastAsia="Arial" w:hAnsi="Arial"/>
          <w:sz w:val="16"/>
          <w:szCs w:val="16"/>
          <w:color w:val="auto"/>
        </w:rPr>
        <w:t>., Euro Bloc)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Euro-Trend (Thematic)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Duration Overlay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Japan (Long/Short)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Domestic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Quantitative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France (Large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 (Small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Duration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Fixed Income</w:t>
      </w:r>
    </w:p>
    <w:p>
      <w:pPr>
        <w:spacing w:after="0" w:line="2203" w:lineRule="exact"/>
        <w:rPr>
          <w:sz w:val="20"/>
          <w:szCs w:val="20"/>
          <w:color w:val="auto"/>
        </w:rPr>
      </w:pPr>
    </w:p>
    <w:p>
      <w:pPr>
        <w:sectPr>
          <w:pgSz w:w="11900" w:h="16838" w:orient="portrait"/>
          <w:cols w:equalWidth="0" w:num="3">
            <w:col w:w="5140" w:space="720"/>
            <w:col w:w="2120" w:space="720"/>
            <w:col w:w="2700"/>
          </w:cols>
          <w:pgMar w:left="240" w:top="459" w:right="25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We distribute our products through a broad array of marketing channels on a global basis. LAM’s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network, with distribution professionals located in cities including New York, Boston, Chicago, San Francisco, London, Milan, Montreal, Toronto, Frankfurt, Hamburg, Zurich, Tokyo, Sydney, Hong Kong, Manama and Seoul.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LFG markets and distributes its products through sales professionals based in France and Belgium, who directly target both individual and institutional investors.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leveraging the broad geographic footprint and strong client relationships in our Financial Advisory business,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our product platform, including the addition of a new emerging markets fixed income team, a global equity team, an asian equity team and a global real estate investment team, and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an office in Switzerland and planning to open an office in Singapore.</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In this regard, in September 2011, LAM acquired the assets of Grubb &amp; Ellis Alesco Global Advisors, LLC (“Alesco”). Alesco is an investment advisor located in San Francisco, California, focusing on real estate securities and managing three registered mutual funds.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through organic growth, acquisitions or otherwise.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Lazard has a long history of making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Since 2005, we have been engaged in a number of alternative investments and private equity activities. On July 15, 2009, we established a private equity business with The Edgewater Funds (“Edgewater”), a Chicago-based private equity firm, through the acquisition of Edgewater’s management vehicles. The acquisition of Edgewater was structured as a purchase by Lazard of interests in a holding company that owns interests in the general partner and management company entities of the current Edgewater private equity funds (the “Edgewater Acquisition”).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Australia, we operate our private equity business through Lazard Australia, which, as of December 31, 2012, had approximately $325 million of AUM and unfunded fee-earning commitments.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LFCM Holdings, through certain subsidiaries of Lazard Alternative Investments Holdings LLC (“LAI”), operates the alternative investment business (including private equity activities) that was transferred to it in the separation. We retained an investment in certain of the funds that are now operated by LAI and its subsidiaries. We are entitled to receive all or a portion of the carry attributable to our investment in certain funds managed or formed by LAI (net of compensation payable to investment professionals who manage these funds). In addition, pursuant to the business alliance agreement, we retained an option to acquire the North American and European fund management activities of LAI and have the right to participate in the governance of LAI and to consent to certain actions. On December 15, 2009, we exercised our option to acquire the right to conduct private equity activities in Europe. While the remaining option to purchase the management entities of LAI’s North American businesses (the “North American Option”) is currently exercisable at any time prior to May 10, 2014, during the fourth quarter of 2011, we determined that we are unlikely to exercise such option (see Note 19 of Notes to Consolidated Financial Statements).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February 2009, the business alliance agreement with LFCM Holdings was amended to remove certain restrictions on our ability to engage in private equity activities in North America and to reduce the price of the North American 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2012, we employed 2,513 people, which included 151 managing directors and 732 other professionals in our Financial Advisory segment and 75 managing directors and 376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October 2012 we announced a number of cost saving initiatives to reduce our expenses, which have impacted and will impact the number of people that we employ. See “Management’s Discussion and Analysis of Financial Condition — Cost Saving Initiatives”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Citigroup, Credit Suisse, Deutsche Bank AG, Evercore Partners, Goldman Sachs &amp; Co., Greenhill &amp; Co., JPMorgan Chase, Mediobanca, Morgan Stanley, Rothschild and UBS. In our Restructuring practice, our primary competitors are The Blackstone Group, Evercore Partners, Greenhill &amp; Co., Houlihan Lokey, Moelis &amp; Company and Rothschild.</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and Schroders, Alliance Bernstein, Capital Management &amp; Research, Fidelity, Franklin Templeton, Invesco, JP Morgan Asset Management, Lord Abbett, MFS and Mondrian Investment Partners,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bank holding companies or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 At the same time, demand for independent financial advice has increased and has created opportunities for new entrants, including a number of boutique financial advisory firms.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or the Financial Industry Regulatory Authority (“FINRA”)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the U.S., the SEC is the federal agency responsible for the administration of the federal securities laws. FINRA is a voluntary, self-regulatory body composed of members, such as our broker-dealer subsidiaries,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recent years. The effect of any such changes cannot be predicted and may impact the manner of operation and profitability of our company.</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effectively every aspect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new registration category that includes placement agents that solicit investments from public pension funds on behalf of investments funds. The MSRB has adopted, and is in the process of adopting, additional rules to govern municipal advisors, including “pay-to-play” rules and rules regarding professional standards, and LFNY is subject to those rules.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Services Authority (the “FSA”). We expect that the Financial Conduct Authority will assume the FSA’s regulatory oversight responsibilities relating to the U.K. subsidiaries in 2013, but we do not expect this transition alone to significantly impact the regulatory requirements applicable to the U.K. subsidiaries. We also have other subsidiaries that are registered as broker-dealers (or have similar non-U.S. registration in various jurisdictions).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for its banking activities conducted through its subsidiary, our Paris-based banking affiliate, Lazard Frères Banque SA (“LFB”). In addition, the investment services activities of the Paris group, exercised through LFB and other subsidiaries of CFLF, primarily LFG, are subject to regulation and supervision by the Autorité des Marchés Financiers.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of our Asset Management subsidiaries are registered as investment advisors with the SEC. As registered investment advisors, each is subject to the requirements of the Investment Advisers Act and the SEC’s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the underwriter or distributor for mutual funds and hedge funds managed by LAM, and as an introducing broker to Lazard Capital Markets LLC for unmanaged accounts of LAM’s private clients.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a result of certain recent changes effected by the Dodd-Frank Wall Street Reform and Consumer Protection Act (the “Dodd-Frank Act”) related to the regulation of over-the-counter swaps and other derivative instruments, LAM and certain of its subsidiaries have recently registered with the U.S. Commodity Futures Trading Commission (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the Japanese Ministry of Finance and the Financial Supervisory Agency, the Korean Financial Supervisory Commission, the Securities and Futures Commission of Hong Kong, the Monetary Authority of Singapore, the Australian Securities &amp; Investments Commission and German banking authorities, among others, regulate various of our operating entities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in censure, fine, the issuance of cease-and-desist orders or the suspension or expulsion or other disciplining of a broker-dealer or its directors, officers or employees.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Act, the SEC’s SIBHC program was eliminated on July 21, 2011. Pursuant to relevant rules in the European Union, which we continue to examine, LFB, as a European credit institution, is required to be supervised on a consolidated basis by another regulatory body, either in the U.S., by the Board of Governors of the Federal Reserve, or in the European Union. The Dodd-Frank Act and the rules and regulations that may be adopted thereunder (including regulations that have not yet been proposed) could affect us in other ways. We continue to monitor the process as such rules are proposed and adopted.</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Over the last several years, global financial markets experienced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22, 2013, all of whom have been appointed by, and serve at the pleasure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54</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53</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1,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52</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50</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Hoffman has served as General Counsel of Lazard Ltd and Lazard Group since May 2005. Mr. Hoffman has served as a Managing Director of Lazard Group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46</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public internet 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internet 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internet site,</w:t>
      </w:r>
      <w:r>
        <w:rPr>
          <w:rFonts w:ascii="Arial" w:cs="Arial" w:eastAsia="Arial" w:hAnsi="Arial"/>
          <w:sz w:val="16"/>
          <w:szCs w:val="16"/>
          <w:i w:val="1"/>
          <w:iCs w:val="1"/>
          <w:color w:val="auto"/>
        </w:rPr>
        <w:t xml:space="preserve"> </w:t>
      </w:r>
      <w:r>
        <w:rPr>
          <w:rFonts w:ascii="Arial" w:cs="Arial" w:eastAsia="Arial" w:hAnsi="Arial"/>
          <w:sz w:val="16"/>
          <w:szCs w:val="16"/>
          <w:color w:val="auto"/>
        </w:rPr>
        <w:t>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our website in the “Corporate Governance” section.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material risks of which we are aware. If any of the events or developments described below actually occurred, our business, financial condition or results of operations would likely suffer.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90" w:lineRule="exact"/>
        <w:rPr>
          <w:sz w:val="20"/>
          <w:szCs w:val="20"/>
          <w:color w:val="auto"/>
        </w:rPr>
      </w:pPr>
    </w:p>
    <w:p>
      <w:pPr>
        <w:ind w:right="220" w:firstLine="456"/>
        <w:spacing w:after="0" w:line="338" w:lineRule="auto"/>
        <w:rPr>
          <w:sz w:val="20"/>
          <w:szCs w:val="20"/>
          <w:color w:val="auto"/>
        </w:rPr>
      </w:pPr>
      <w:r>
        <w:rPr>
          <w:rFonts w:ascii="Arial" w:cs="Arial" w:eastAsia="Arial" w:hAnsi="Arial"/>
          <w:sz w:val="16"/>
          <w:szCs w:val="16"/>
          <w:b w:val="1"/>
          <w:bCs w:val="1"/>
          <w:color w:val="auto"/>
        </w:rPr>
        <w:t>In recent years, the U.S. and global capital markets and the economy experienced periods of significant disruption and volatility, which has had negative repercussions on the global economy, and any continued disruption or volatility could present challenges for our business.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recent years, certain adverse financial developments have impacted the U.S. and global capital markets and the macroeconomic climate. These developments included a general slowing of economic growth both in the U.S. and globally, periods of volatility in equity securities markets and volatility and tightening of liquidity in credit markets. In addition, concerns over sovereign debt levels, high unemployment levels, business and consumer confidence levels, volatile energy costs, geopolitical issues and a weak real estate market in the U.S. and elsewhere have contributed to increased volatility and have affected expectations for the economy and the markets going forward. Furthermore, investor concerns about the financial health of certain European countries and financial institutions caused market disruptions in recent years and may continue to cause disruption in future periods. If significant levels of market disruption and volatility continue, or if current conditions materially worsen, our business may be adversely affected, which may have a material impact on our business and results of operations.</w:t>
      </w:r>
    </w:p>
    <w:p>
      <w:pPr>
        <w:spacing w:after="0" w:line="193"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The full extent of the effects of governmental economic and regulatory involvement in the wake of disruption and volatility in global financial markets remains uncertain.</w:t>
      </w:r>
    </w:p>
    <w:p>
      <w:pPr>
        <w:spacing w:after="0" w:line="4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(including the Dodd-Frank Act) effected in connection with, and as a result of, such extraordinary disruption and volatility is uncertain, both as to the financial capital markets and participants in general, and as to us in particular.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1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share price may decline due to the large number of our common shares eligible for future sale and for exchange.</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December 31, 2012, our authorized and unissued shares of Class A common stock include (i) approximately 21.5 million and approximately 0.2 million shares of our common stock underlying RSUs and deferred stock units (“DSUs”), respectively, that have been granted pursuant to Lazard Ltd’s 2005 Equity Incentive Plan (the “2005 Plan”) and 2008 Incentive Compensation Plan (the “2008 Plan”) and (ii) approximately 1.5 million shares of our common stock underlying the outstanding LAZ-MD Holdings exchangeable membership interests. RSUs generally require future service, among other requirements, as a condition for the delivery of the underlying shares of our Class A common stock (unless the recipient is then eligible for retirement under the Company’s retirement policy) and convert into Class A common stock on a one-for-one basis after the stipulated vesting periods. Such vesting events generally occur in early March of each year. In addition, as of December 31, 2012, approximately 1.1 million shares of our common stock are issuable in connection with business acquisitions completed in prior years.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generally withheld a portion of the Class A common stock issued to our employees upon vesting of RSUs or delivery of restricted stock to comply with minimum statutory tax withholding requirements. In addition, we have historically repurchased in the open market and through privately negotiated transactions a significant number of shares of our common stock. If we were to cease to or were unable to repurchase shares of our common stock, the number of shares outstanding would increase over time, diluting the ownership of our existing stockholders. Furthermore, we cannot predict whether, when and how many shares of our common stock will be sold into the market and the effect, if any, that the possibility of market sales of shares of our common stock, the actual sale of such shares or the availability of such shares will have on the market price of our common stock or our ability to raise capital through the issuance of equity securities from time to time.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90" w:lineRule="exact"/>
        <w:rPr>
          <w:sz w:val="20"/>
          <w:szCs w:val="20"/>
          <w:color w:val="auto"/>
        </w:rPr>
      </w:pPr>
    </w:p>
    <w:p>
      <w:pPr>
        <w:jc w:val="both"/>
        <w:ind w:right="8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financial advisory and asset management engagements that generate substantially all our revenue.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experienced several significant events in recent years. In general, our industry continues to experience change and exerts competitive pressures for retaining top talent, which makes it more difficult for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retain professionals. If any of our managing directors and other key professional employees were to retire, join an existing competitor, form a competing company or otherwise leave us, some of our clients could choose to use the services of that competitor or some other competitor instead of our services. In any such event, our investment banking fees, money management fees or AUM could decline.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Certain changes to our employee compensation arrangements may result in increased compensation and benefits expense. In addition, any changes to the mix of cash and deferred compensation granted to our employees may affect certain financial measures applicable to our business, including ratios of compensation and benefits expense to revenue, and may result in increased levels of Class A common stock issued to our employees upon vesting of RSUs or grants of restricted stock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18"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 The future market and economic climate may deteriorate because of many factors, including possible increases in interest rates, inflation, corporate or sovereign defaults, terrorism or political uncertainty.</w:t>
      </w:r>
    </w:p>
    <w:p>
      <w:pPr>
        <w:spacing w:after="0" w:line="118"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 portion of our AUM (</w:t>
      </w:r>
      <w:r>
        <w:rPr>
          <w:rFonts w:ascii="Arial" w:cs="Arial" w:eastAsia="Arial" w:hAnsi="Arial"/>
          <w:sz w:val="16"/>
          <w:szCs w:val="16"/>
          <w:i w:val="1"/>
          <w:iCs w:val="1"/>
          <w:color w:val="auto"/>
        </w:rPr>
        <w:t>e.g.</w:t>
      </w:r>
      <w:r>
        <w:rPr>
          <w:rFonts w:ascii="Arial" w:cs="Arial" w:eastAsia="Arial" w:hAnsi="Arial"/>
          <w:sz w:val="16"/>
          <w:szCs w:val="16"/>
          <w:color w:val="auto"/>
        </w:rPr>
        <w:t>, our emerging markets strategies), would be expected to cause our revenue and income to decline by causing:</w:t>
      </w:r>
    </w:p>
    <w:p>
      <w:pPr>
        <w:spacing w:after="0" w:line="3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90" w:lineRule="exact"/>
        <w:rPr>
          <w:rFonts w:ascii="Arial" w:cs="Arial" w:eastAsia="Arial" w:hAnsi="Arial"/>
          <w:sz w:val="18"/>
          <w:szCs w:val="18"/>
          <w:color w:val="auto"/>
        </w:rPr>
      </w:pPr>
    </w:p>
    <w:p>
      <w:pPr>
        <w:ind w:left="900" w:right="72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32"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110"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A majority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historically have earned a majority of our revenue from advisory fees paid to us by our Financial Advisory clients, which usually are payable upon the successful completion of a particular transaction or restructuring. For example, for the year ended December 31, 2012, Financial Advisory services accounted for approximately 55%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110"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operating revenue could suffer.</w:t>
      </w:r>
    </w:p>
    <w:p>
      <w:pPr>
        <w:spacing w:after="0" w:line="12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26"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our Asset Management revenue is particularly sensitive to fluctuations in our AUM. Asset Management fees are predominantly based on average AUM as of the end of a quarter or month. As a result, a reduction in AUM at the end of a quarter or month (as a result of market depreciation, withdrawals, fluctuations in foreign currency exchange rates or otherwise) will result in a decrease in management fees. Similarly, timing of flows, contributions and withdrawals are often out of our control and may be inconsistent from quarter to quarter. As a result of quarterly fluctuations, it may be difficult for us to achieve steady earnings growth on a quarterly basis.</w:t>
      </w:r>
    </w:p>
    <w:p>
      <w:pPr>
        <w:spacing w:after="0" w:line="137"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84" w:lineRule="exact"/>
        <w:rPr>
          <w:sz w:val="20"/>
          <w:szCs w:val="20"/>
          <w:color w:val="auto"/>
        </w:rPr>
      </w:pPr>
    </w:p>
    <w:p>
      <w:pPr>
        <w:ind w:left="900" w:right="3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our financial position could be adversely affected. Loss of key employees may occur due to perceived opportunity for promotion, compensation levels, work environment or other individual reasons, some of which may be beyond our control.</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101"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comprising our AUM, may underperform other investment approaches, which may result in significant client or asset departures, or a reduction in AUM.</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advisors, consultants or third-party intermediaries.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1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1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3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34"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8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July 2009, the Company established a private equity business with Edgewater. We may expand our participation in alternative investment activities through investments in new and successor funds, including funds managed by affiliates of Lazard.</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or by LFCM Holdings, and continue to hold principal investments directly or through several funds managed by LFCM Holdings and certain affiliates of Lazard, including Edgewater and Lazard Australia.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will affect our results of operations,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2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advisory and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invest capital in various types of equity and debt securities in order to seed LAM equity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10"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b w:val="1"/>
          <w:bCs w:val="1"/>
          <w:color w:val="auto"/>
        </w:rPr>
        <w:t>We face strong competition from financial services firms, many of whom have the ability to offer clients a wider range of products and services than we can offer, which could lead to pricing pressures that could materially adversely affect our revenue and profitability.</w:t>
      </w:r>
    </w:p>
    <w:p>
      <w:pPr>
        <w:spacing w:after="0" w:line="8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advice, employees and transaction execution,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In particular, a number of factors increase the competitive risks of our Financial Advisory and Asset Management businesses:</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number of our competitors have greater financial and other resources and more personnel than we do;</w:t>
      </w:r>
    </w:p>
    <w:p>
      <w:pPr>
        <w:spacing w:after="0" w:line="90" w:lineRule="exact"/>
        <w:rPr>
          <w:rFonts w:ascii="Arial" w:cs="Arial" w:eastAsia="Arial" w:hAnsi="Arial"/>
          <w:sz w:val="18"/>
          <w:szCs w:val="18"/>
          <w:color w:val="auto"/>
        </w:rPr>
      </w:pPr>
    </w:p>
    <w:p>
      <w:pPr>
        <w:jc w:val="both"/>
        <w:ind w:left="900" w:right="1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various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competitive pressure could adversely affect our ability to attract new or retain existing clients, make successful investments, retain our personnel or maintain AUM, any of which would adversely impact our revenue and earnings.</w:t>
      </w:r>
    </w:p>
    <w:p>
      <w:pPr>
        <w:spacing w:after="0" w:line="126"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8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of December 31, 2012, Lazard Group and its subsidiaries had approximately $1.1 billion in debt (including capital lease obligations) outstanding, of which $529 million and $548 million relate to Lazard Group senior notes that mature in 2015 and 2017,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3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We may pursue acquisitions, joint ventures or cooperation agreements that may result in additional risks and uncertainties in our business and could present unforeseen integration obstacles or costs.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and during 2011, we acquired the assets of Alesco. During 2012, we integrated our Brazilian operations based in São Paulo. We expect to continue to explore acquisitions and partnership or strategic alliance opportunities that we believe to be attractive.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1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14"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2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Our Financial Advisory engagements typically include broad indemnities from our clients and provisions designed to limit our exposure to legal claims relating to our services, but these provisions may not protect us or may not be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77"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8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3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2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8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U.S. and global financial markets experienced periods of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continue to examine the potential impact of the Dodd-Frank Act and related regulations, as well as new regulations that may become applicable to us in the U.S. and in the European Union (see “Business— Regulation”), we are not able to predict the ultimate effect on us. In addition, several states and municipalities in the United States have recently adopted “pay-to-play” rules, which could limit our ability to charge fees in connection with certain of our Private Fund Advisory engagements, and could therefore affect the profitability of that portion of our business.</w:t>
      </w:r>
    </w:p>
    <w:p>
      <w:pPr>
        <w:spacing w:after="0" w:line="12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controls and procedures may result in increased costs, additional operational personnel and increased regulatory risk. Failure to adhere to these policies, controls and procedures may result in regulatory sanctions or client litigation.</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Asset Management business in the investment decision-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2012, our Asset Management business obtained research and other services through third-party soft dollar arrangements, the total cost of which we estimate to be approximately $20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65"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12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are exposed to fluctuations in foreign currencies. Our financial statements are denominated in U.S. Dollars and, for the year ended December 31, 2012, we received approximately 39%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 While this risk may be limited by foreign currency hedging, some risks cannot be hedged and some hedging activities may not be effective.</w:t>
      </w:r>
    </w:p>
    <w:p>
      <w:pPr>
        <w:spacing w:after="0" w:line="12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stockholders’ equity from currency translation adjustments.</w:t>
      </w:r>
    </w:p>
    <w:p>
      <w:pPr>
        <w:spacing w:after="0" w:line="126"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Lazard Ltd is a holding company and, accordingly, depends upon distributions from Lazard Group to pay dividends and taxes and other expenses.</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Ltd is a holding company and has no independent means of generating significant revenue. We control Lazard Group through our indirect control of both of the managing members of Lazard Group. Our wholly-owned subsidiaries incur income taxes on their proportionate share of any net taxable income of Lazard Group in their respective tax jurisdictions. We intend to continue to cause Lazard Group to make distributions to its members, including our wholly-owned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Lazard Group is restricted from making such distributions under applicable law or regulation, or is otherwise unable to provide such funds, it could materially adversely affect our business, financial condition or results of operations.</w:t>
      </w:r>
    </w:p>
    <w:p>
      <w:pPr>
        <w:spacing w:after="0" w:line="126"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 Group depends on its subsidiaries, which conduct the operations of its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117"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8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current judicial and administrative authorities interpreting those income tax laws, regulations and treaties, and upon our non-U.S. subsidiaries’ ability to qualify for benefits, including reduced withholding tax rates, among other things, under those treaties, and that a portion of their income is not subject to U.S. tax as effectively connected income. Moreover, those income tax laws, regulations and treaties, and the administrative and judicial authorities interpreting them, are subject to change at any time, and any such change may be retroactive.</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U.S. Internal Revenue Service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inability, for any reason, to achieve and maintain an overall income tax rate approximately equal to the rate used in preparing our consolidated financial statements could materially adversely affect our business and our results of operations and could materially adversely affect our financial statements.</w:t>
      </w:r>
    </w:p>
    <w:p>
      <w:pPr>
        <w:spacing w:after="0" w:line="5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2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 or payments to LFCM Holdings under the tax receivable agreement.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Executive Branch has not yet submitted its 2014 budget proposals to Congress. The 2013 budget proposals submitted on February 13, 2012 included several potential revenue generating items, including proposals to (i) limit the deduction of certain related party interest and (ii) limit or defer the deduction of interest attributable to foreign source income of foreign subsidiaries. In addition, members of Congress may propose legislation that, if enacted, would reclassify certain types of foreign corporations as U.S. corporations for U.S. tax purposes if the management and control of such entities occurs primarily within the U.S.</w:t>
      </w:r>
    </w:p>
    <w:p>
      <w:pPr>
        <w:spacing w:after="0" w:line="9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 form proposed in the 2013 budget submission, however, some of these proposals may increase Lazard’s effective tax rate during future periods.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Any reduction of our valuation allowance against our deferred tax assets could affect our effective tax rate for certain periods.</w:t>
      </w:r>
    </w:p>
    <w:p>
      <w:pPr>
        <w:spacing w:after="0" w:line="1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further discussed in “Management’s Discussion and Analysis of Financial Condition and Results of Operations – Critical Accounting Policies and Estimates – Income Taxes”, as of December 31, 2012, we recorded gross deferred tax assets of approximately $1.41 billion, and a valuation allowance against such deferred tax assets of approximately $1.24 billion. If any significant reduction of this valuation allowance were to occur, we would likely have a negative effective tax rate in the period in which such reduction occurs and,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income taxes we would pay to taxing authorities in those periods subsequent to the release of any valuation allowance.</w:t>
      </w:r>
    </w:p>
    <w:p>
      <w:pPr>
        <w:spacing w:after="0" w:line="14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Our subsidiaries will be required to pay LFCM Holdings most of the benefit relating to any additional tax depreciation or amortization deductions our subsidiaries may claim as a result of the tax basis step-up our subsidiaries receive in connection with the Company’s equity public offering and related transactions.</w:t>
      </w:r>
    </w:p>
    <w:p>
      <w:pPr>
        <w:spacing w:after="0" w:line="13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our various secondary offerings and certain other transactions, LAZ-MD Holdings exchangeable interests were, in effect, exchanged for shares of our Class A common stock. A limited number of additional exchanges are expected to take place in the future. The redemption and the exchanges may result in increases in the tax basis of the tangible and intangible assets of Lazard Group attributable to our subsidiaries’ interest in Lazard Group that otherwise would not have been available. These increases in tax basis may reduce the amount of tax that our subsidiaries would otherwise be required to pay in the future, although the IRS may challenge all or part of that tax basis increase, and a court could sustain such a challenge.</w:t>
      </w:r>
    </w:p>
    <w:p>
      <w:pPr>
        <w:spacing w:after="0" w:line="1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connection with the separation and recapitalization transactions in 2005, our subsidiaries entered into a tax receivable agreement with LFCM Holdings that provides for the payment by our subsidiaries to LFCM Holdings of 85% of the amount of cash savings, if any, in U.S. federal, state and local income tax or franchise tax that we actually realize as a result of these increases in tax basis and of certain other tax benefits related to entering into the tax receivable agreement, including tax benefits attributable to payments under the tax receivable agreement. We expect to benefit from the remaining 15% of cash savings realized. Our subsidiaries have the right to terminate the tax receivable agreement at any time for an amount based on an agreed value of certain payments remaining to be made under the tax receivable agreement at such time. While the actual amount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timing of any payments under this agreement will vary depending upon a number of factors, including the timing of exchanges, the extent to which such exchanges are taxable, the allocation of the step-up among the Lazard Group assets, and the amount and timing of our income, we expect that, as a result of the size of the increases in the tax basis of the tangible and intangible assets of Lazard Group attributable to our subsidiaries’ interest in Lazard Group, during the 24-year term of the tax receivable agreement, the payments that our subsidiaries may make to LFCM Holdings could be substantial. As of December 31, 2012, the aggregate increase in tax basis attributable to our subsidiaries’ interest in Lazard Group was approximately $3.07 billion. The aggregate amount, including those interests not yet exchanged, would have been approximately $3.13 billion as of that date (based on the then closing price per share of our Class A common stock on the NYSE of $29.84), including the increase in tax basis associated with the redemption and recapitalization in 2005. The potential future increase in tax basis will depend on the price of our Class A common stock at the time of the limited number of remaining exchanges. The cash savings that our subsidiaries would actually realize as a result of this increase in tax basis likely would be significantly less than this amount multiplied by our statutory tax rate due to a number of factors, including insufficient taxable income to absorb the increase in tax basis, the allocation of the increase in tax basis to foreign or non-amortizable assets, the impact of the increase in the tax basis on our ability to use foreign tax credits and the rules relating to the amortization of intangible assets. Our ability to achieve benefits from any such increase, and the payments to be made under the tax receivable agreement, will depend upon a number of factors, as discussed above, including the timing and amount of our future income.</w:t>
      </w:r>
    </w:p>
    <w:p>
      <w:pPr>
        <w:spacing w:after="0" w:line="12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addition, if the IRS successfully challenges the tax basis increase, under certain circumstances, our subsidiaries could make payments to LFCM Holdings under the tax receivable agreement in excess of our subsidiaries’ cash tax savings.</w:t>
      </w:r>
    </w:p>
    <w:p>
      <w:pPr>
        <w:spacing w:after="0" w:line="126"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2012.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1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3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or, as a result of the use of the Lazard name by subsidiaries of LFCM Holdings, for certain actions of LFCM Holdings or its subsidiaries. If these liabilities are significant and we are held liable for them, we may not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 able to recover any or all of the amount of those losses from LAZ-MD Holdings or LFCM Holdings should either be financially unable to perform under their indemnification obligations.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w:t>
      </w:r>
    </w:p>
    <w:p>
      <w:pPr>
        <w:spacing w:after="0" w:line="114" w:lineRule="exact"/>
        <w:rPr>
          <w:sz w:val="20"/>
          <w:szCs w:val="20"/>
          <w:color w:val="auto"/>
        </w:rPr>
      </w:pPr>
    </w:p>
    <w:p>
      <w:pPr>
        <w:ind w:right="86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Several employees of Lazard provide services to LFCM Holdings. Conflicts of interest may arise between LFCM Holdings and us in a number of areas relating to our past and ongoing relationships, including: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intellectual property and real property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our managing directors provide services to LFCM Holdings,</w:t>
      </w:r>
    </w:p>
    <w:p>
      <w:pPr>
        <w:spacing w:after="0" w:line="59" w:lineRule="exact"/>
        <w:rPr>
          <w:rFonts w:ascii="Arial" w:cs="Arial" w:eastAsia="Arial" w:hAnsi="Arial"/>
          <w:sz w:val="18"/>
          <w:szCs w:val="18"/>
          <w:color w:val="auto"/>
        </w:rPr>
      </w:pPr>
    </w:p>
    <w:p>
      <w:pPr>
        <w:ind w:left="900" w:righ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We may not be able to resolve any potential conflicts and, even if we do, the resolution may be less favorable to us than if we were dealing with a different party.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the year relating to our periodic or current reports under the Exchange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lists the properties used for the entire Lazard organization as of December 31, 2012, including properties used by the separated businesses. As a general matter, one or both of our Financial Advisory and Asset Management segments (as well as our Corporate segment) uses the following properties. We sublease to affiliates of LFCM Holdings certain office space, including office space that is used by the separated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businesses. This includes subleasing 55,424 square feet principally relating to our lease in New York City located at 30 Rockefeller Plaza to affiliates of LFCM Holdings. Additionally, our London and other offices sublease 55,676 and 9,248 square feet, respectively, to third parties. We remain fully liable for the subleased space to the extent that affiliates of LFCM Holdings, or the third parties, fail to perform their obligations under the subleases for any reason.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400" w:type="dxa"/>
            <w:vAlign w:val="bottom"/>
            <w:gridSpan w:val="2"/>
          </w:tcPr>
          <w:p>
            <w:pPr>
              <w:ind w:left="640"/>
              <w:spacing w:after="0"/>
              <w:rPr>
                <w:sz w:val="20"/>
                <w:szCs w:val="20"/>
                <w:color w:val="auto"/>
              </w:rPr>
            </w:pPr>
            <w:r>
              <w:rPr>
                <w:rFonts w:ascii="Arial" w:cs="Arial" w:eastAsia="Arial" w:hAnsi="Arial"/>
                <w:sz w:val="14"/>
                <w:szCs w:val="14"/>
                <w:b w:val="1"/>
                <w:bCs w:val="1"/>
                <w:color w:val="auto"/>
              </w:rPr>
              <w:t>Square Footage</w:t>
            </w:r>
          </w:p>
        </w:tc>
        <w:tc>
          <w:tcPr>
            <w:tcW w:w="5920" w:type="dxa"/>
            <w:vAlign w:val="bottom"/>
          </w:tcPr>
          <w:p>
            <w:pPr>
              <w:ind w:left="2760"/>
              <w:spacing w:after="0"/>
              <w:rPr>
                <w:sz w:val="20"/>
                <w:szCs w:val="20"/>
                <w:color w:val="auto"/>
              </w:rPr>
            </w:pPr>
            <w:r>
              <w:rPr>
                <w:rFonts w:ascii="Arial" w:cs="Arial" w:eastAsia="Arial" w:hAnsi="Arial"/>
                <w:sz w:val="14"/>
                <w:szCs w:val="14"/>
                <w:b w:val="1"/>
                <w:bCs w:val="1"/>
                <w:color w:val="auto"/>
              </w:rPr>
              <w:t>Offices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448,764 square feet of</w:t>
            </w:r>
          </w:p>
        </w:tc>
        <w:tc>
          <w:tcPr>
            <w:tcW w:w="220" w:type="dxa"/>
            <w:vAlign w:val="bottom"/>
          </w:tcPr>
          <w:p>
            <w:pPr>
              <w:spacing w:after="0"/>
              <w:rPr>
                <w:sz w:val="17"/>
                <w:szCs w:val="17"/>
                <w:color w:val="auto"/>
              </w:rPr>
            </w:pPr>
          </w:p>
        </w:tc>
        <w:tc>
          <w:tcPr>
            <w:tcW w:w="5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Principal office located at 30 Rockefeller Plaza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North America</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149,806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3"/>
              </w:rPr>
              <w:t>Boston, Charlotte, Chicago, Houston, Los Angeles, Minneapolis, Montreal, San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Francisco and Washington D.C.</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Paris</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168,923 square feet of owned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121 Boulevard Haussmann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and 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London</w:t>
            </w:r>
          </w:p>
        </w:tc>
        <w:tc>
          <w:tcPr>
            <w:tcW w:w="2400" w:type="dxa"/>
            <w:vAlign w:val="bottom"/>
            <w:gridSpan w:val="2"/>
          </w:tcPr>
          <w:p>
            <w:pPr>
              <w:spacing w:after="0"/>
              <w:rPr>
                <w:sz w:val="20"/>
                <w:szCs w:val="20"/>
                <w:color w:val="auto"/>
              </w:rPr>
            </w:pPr>
            <w:r>
              <w:rPr>
                <w:rFonts w:ascii="Arial" w:cs="Arial" w:eastAsia="Arial" w:hAnsi="Arial"/>
                <w:sz w:val="18"/>
                <w:szCs w:val="18"/>
                <w:color w:val="auto"/>
              </w:rPr>
              <w:t>86,695 square feet of leased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Europe</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116,340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3100" w:type="dxa"/>
            <w:vAlign w:val="bottom"/>
            <w:gridSpan w:val="3"/>
            <w:vMerge w:val="restart"/>
          </w:tcPr>
          <w:p>
            <w:pPr>
              <w:spacing w:after="0"/>
              <w:rPr>
                <w:sz w:val="20"/>
                <w:szCs w:val="20"/>
                <w:color w:val="auto"/>
              </w:rPr>
            </w:pPr>
            <w:r>
              <w:rPr>
                <w:rFonts w:ascii="Arial" w:cs="Arial" w:eastAsia="Arial" w:hAnsi="Arial"/>
                <w:sz w:val="18"/>
                <w:szCs w:val="18"/>
                <w:color w:val="auto"/>
              </w:rPr>
              <w:t>Asia, Australia and</w:t>
            </w: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Stockholm and Zurich</w:t>
            </w:r>
          </w:p>
        </w:tc>
        <w:tc>
          <w:tcPr>
            <w:tcW w:w="0" w:type="dxa"/>
            <w:vAlign w:val="bottom"/>
          </w:tcPr>
          <w:p>
            <w:pPr>
              <w:spacing w:after="0"/>
              <w:rPr>
                <w:sz w:val="1"/>
                <w:szCs w:val="1"/>
                <w:color w:val="auto"/>
              </w:rPr>
            </w:pPr>
          </w:p>
        </w:tc>
      </w:tr>
      <w:tr>
        <w:trPr>
          <w:trHeight w:val="210"/>
        </w:trPr>
        <w:tc>
          <w:tcPr>
            <w:tcW w:w="310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88,555 square feet of leased</w:t>
            </w:r>
          </w:p>
        </w:tc>
        <w:tc>
          <w:tcPr>
            <w:tcW w:w="5920" w:type="dxa"/>
            <w:vAlign w:val="bottom"/>
            <w:vMerge w:val="restart"/>
          </w:tcPr>
          <w:p>
            <w:pPr>
              <w:spacing w:after="0"/>
              <w:rPr>
                <w:sz w:val="20"/>
                <w:szCs w:val="20"/>
                <w:color w:val="auto"/>
              </w:rPr>
            </w:pPr>
            <w:r>
              <w:rPr>
                <w:rFonts w:ascii="Arial" w:cs="Arial" w:eastAsia="Arial" w:hAnsi="Arial"/>
                <w:sz w:val="18"/>
                <w:szCs w:val="18"/>
                <w:color w:val="auto"/>
                <w:w w:val="94"/>
              </w:rPr>
              <w:t>Beijing, Dubai City, Hong Kong, Melbourne, Mumbai, Perth, Riyadh, So Paulo,</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Seoul, Singapore, Sydney and Tokyo</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common stock is traded on The New York Stock Exchange under the symbol “LAZ.” There is no publicly traded market for our Class B common stock, which is held by LAZ-MD Holdings. The following table sets forth, for the fiscal quarters indicated, the high and low sales prices per share of our Class A common stock, as reported in the consolidated transaction reporting system, and the quarterly dividends declared during 2012 and 2011.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Sales Price</w:t>
            </w:r>
          </w:p>
        </w:tc>
        <w:tc>
          <w:tcPr>
            <w:tcW w:w="7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21"/>
        </w:trPr>
        <w:tc>
          <w:tcPr>
            <w:tcW w:w="36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per Share of</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High</w:t>
            </w:r>
          </w:p>
        </w:tc>
        <w:tc>
          <w:tcPr>
            <w:tcW w:w="7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7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Fourth quarter</w:t>
            </w:r>
          </w:p>
        </w:tc>
        <w:tc>
          <w:tcPr>
            <w:tcW w:w="3080" w:type="dxa"/>
            <w:vAlign w:val="bottom"/>
            <w:gridSpan w:val="3"/>
          </w:tcPr>
          <w:p>
            <w:pPr>
              <w:jc w:val="center"/>
              <w:ind w:left="2452"/>
              <w:spacing w:after="0"/>
              <w:rPr>
                <w:sz w:val="20"/>
                <w:szCs w:val="20"/>
                <w:color w:val="auto"/>
              </w:rPr>
            </w:pPr>
            <w:r>
              <w:rPr>
                <w:rFonts w:ascii="Arial" w:cs="Arial" w:eastAsia="Arial" w:hAnsi="Arial"/>
                <w:sz w:val="18"/>
                <w:szCs w:val="18"/>
                <w:color w:val="auto"/>
                <w:w w:val="90"/>
              </w:rPr>
              <w:t>$31.90</w:t>
            </w:r>
          </w:p>
        </w:tc>
        <w:tc>
          <w:tcPr>
            <w:tcW w:w="1240" w:type="dxa"/>
            <w:vAlign w:val="bottom"/>
            <w:gridSpan w:val="2"/>
          </w:tcPr>
          <w:p>
            <w:pPr>
              <w:jc w:val="center"/>
              <w:ind w:left="654"/>
              <w:spacing w:after="0"/>
              <w:rPr>
                <w:sz w:val="20"/>
                <w:szCs w:val="20"/>
                <w:color w:val="auto"/>
              </w:rPr>
            </w:pPr>
            <w:r>
              <w:rPr>
                <w:rFonts w:ascii="Arial" w:cs="Arial" w:eastAsia="Arial" w:hAnsi="Arial"/>
                <w:sz w:val="18"/>
                <w:szCs w:val="18"/>
                <w:color w:val="auto"/>
                <w:w w:val="90"/>
              </w:rPr>
              <w:t>$26.15</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080" w:type="dxa"/>
            <w:vAlign w:val="bottom"/>
            <w:gridSpan w:val="3"/>
            <w:shd w:val="clear" w:color="auto" w:fill="CCEEFF"/>
          </w:tcPr>
          <w:p>
            <w:pPr>
              <w:jc w:val="center"/>
              <w:ind w:left="2452"/>
              <w:spacing w:after="0"/>
              <w:rPr>
                <w:sz w:val="20"/>
                <w:szCs w:val="20"/>
                <w:color w:val="auto"/>
              </w:rPr>
            </w:pPr>
            <w:r>
              <w:rPr>
                <w:rFonts w:ascii="Arial" w:cs="Arial" w:eastAsia="Arial" w:hAnsi="Arial"/>
                <w:sz w:val="18"/>
                <w:szCs w:val="18"/>
                <w:color w:val="auto"/>
                <w:w w:val="90"/>
              </w:rPr>
              <w:t>$31.23</w:t>
            </w:r>
          </w:p>
        </w:tc>
        <w:tc>
          <w:tcPr>
            <w:tcW w:w="1240" w:type="dxa"/>
            <w:vAlign w:val="bottom"/>
            <w:gridSpan w:val="2"/>
            <w:shd w:val="clear" w:color="auto" w:fill="CCEEFF"/>
          </w:tcPr>
          <w:p>
            <w:pPr>
              <w:jc w:val="center"/>
              <w:ind w:left="654"/>
              <w:spacing w:after="0"/>
              <w:rPr>
                <w:sz w:val="20"/>
                <w:szCs w:val="20"/>
                <w:color w:val="auto"/>
              </w:rPr>
            </w:pPr>
            <w:r>
              <w:rPr>
                <w:rFonts w:ascii="Arial" w:cs="Arial" w:eastAsia="Arial" w:hAnsi="Arial"/>
                <w:sz w:val="18"/>
                <w:szCs w:val="18"/>
                <w:color w:val="auto"/>
                <w:w w:val="90"/>
              </w:rPr>
              <w:t>$23.58</w:t>
            </w:r>
          </w:p>
        </w:tc>
        <w:tc>
          <w:tcPr>
            <w:tcW w:w="1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Second quarter</w:t>
            </w:r>
          </w:p>
        </w:tc>
        <w:tc>
          <w:tcPr>
            <w:tcW w:w="3080" w:type="dxa"/>
            <w:vAlign w:val="bottom"/>
            <w:gridSpan w:val="3"/>
          </w:tcPr>
          <w:p>
            <w:pPr>
              <w:jc w:val="center"/>
              <w:ind w:left="2452"/>
              <w:spacing w:after="0"/>
              <w:rPr>
                <w:sz w:val="20"/>
                <w:szCs w:val="20"/>
                <w:color w:val="auto"/>
              </w:rPr>
            </w:pPr>
            <w:r>
              <w:rPr>
                <w:rFonts w:ascii="Arial" w:cs="Arial" w:eastAsia="Arial" w:hAnsi="Arial"/>
                <w:sz w:val="18"/>
                <w:szCs w:val="18"/>
                <w:color w:val="auto"/>
                <w:w w:val="90"/>
              </w:rPr>
              <w:t>$29.34</w:t>
            </w:r>
          </w:p>
        </w:tc>
        <w:tc>
          <w:tcPr>
            <w:tcW w:w="1240" w:type="dxa"/>
            <w:vAlign w:val="bottom"/>
            <w:gridSpan w:val="2"/>
          </w:tcPr>
          <w:p>
            <w:pPr>
              <w:jc w:val="center"/>
              <w:ind w:left="654"/>
              <w:spacing w:after="0"/>
              <w:rPr>
                <w:sz w:val="20"/>
                <w:szCs w:val="20"/>
                <w:color w:val="auto"/>
              </w:rPr>
            </w:pPr>
            <w:r>
              <w:rPr>
                <w:rFonts w:ascii="Arial" w:cs="Arial" w:eastAsia="Arial" w:hAnsi="Arial"/>
                <w:sz w:val="18"/>
                <w:szCs w:val="18"/>
                <w:color w:val="auto"/>
                <w:w w:val="90"/>
              </w:rPr>
              <w:t>$22.21</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80" w:type="dxa"/>
            <w:vAlign w:val="bottom"/>
            <w:gridSpan w:val="3"/>
            <w:shd w:val="clear" w:color="auto" w:fill="CCEEFF"/>
          </w:tcPr>
          <w:p>
            <w:pPr>
              <w:jc w:val="center"/>
              <w:ind w:left="2452"/>
              <w:spacing w:after="0"/>
              <w:rPr>
                <w:sz w:val="20"/>
                <w:szCs w:val="20"/>
                <w:color w:val="auto"/>
              </w:rPr>
            </w:pPr>
            <w:r>
              <w:rPr>
                <w:rFonts w:ascii="Arial" w:cs="Arial" w:eastAsia="Arial" w:hAnsi="Arial"/>
                <w:sz w:val="18"/>
                <w:szCs w:val="18"/>
                <w:color w:val="auto"/>
                <w:w w:val="90"/>
              </w:rPr>
              <w:t>$31.08</w:t>
            </w:r>
          </w:p>
        </w:tc>
        <w:tc>
          <w:tcPr>
            <w:tcW w:w="1240" w:type="dxa"/>
            <w:vAlign w:val="bottom"/>
            <w:gridSpan w:val="2"/>
            <w:shd w:val="clear" w:color="auto" w:fill="CCEEFF"/>
          </w:tcPr>
          <w:p>
            <w:pPr>
              <w:jc w:val="center"/>
              <w:ind w:left="654"/>
              <w:spacing w:after="0"/>
              <w:rPr>
                <w:sz w:val="20"/>
                <w:szCs w:val="20"/>
                <w:color w:val="auto"/>
              </w:rPr>
            </w:pPr>
            <w:r>
              <w:rPr>
                <w:rFonts w:ascii="Arial" w:cs="Arial" w:eastAsia="Arial" w:hAnsi="Arial"/>
                <w:sz w:val="18"/>
                <w:szCs w:val="18"/>
                <w:color w:val="auto"/>
                <w:w w:val="90"/>
              </w:rPr>
              <w:t>$26.16</w:t>
            </w:r>
          </w:p>
        </w:tc>
        <w:tc>
          <w:tcPr>
            <w:tcW w:w="1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323"/>
        </w:trPr>
        <w:tc>
          <w:tcPr>
            <w:tcW w:w="36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080" w:type="dxa"/>
            <w:vAlign w:val="bottom"/>
            <w:gridSpan w:val="3"/>
            <w:shd w:val="clear" w:color="auto" w:fill="CCEEFF"/>
          </w:tcPr>
          <w:p>
            <w:pPr>
              <w:jc w:val="center"/>
              <w:ind w:left="2452"/>
              <w:spacing w:after="0"/>
              <w:rPr>
                <w:sz w:val="20"/>
                <w:szCs w:val="20"/>
                <w:color w:val="auto"/>
              </w:rPr>
            </w:pPr>
            <w:r>
              <w:rPr>
                <w:rFonts w:ascii="Arial" w:cs="Arial" w:eastAsia="Arial" w:hAnsi="Arial"/>
                <w:sz w:val="18"/>
                <w:szCs w:val="18"/>
                <w:color w:val="auto"/>
                <w:w w:val="90"/>
              </w:rPr>
              <w:t>$31.15</w:t>
            </w:r>
          </w:p>
        </w:tc>
        <w:tc>
          <w:tcPr>
            <w:tcW w:w="1240" w:type="dxa"/>
            <w:vAlign w:val="bottom"/>
            <w:gridSpan w:val="2"/>
            <w:shd w:val="clear" w:color="auto" w:fill="CCEEFF"/>
          </w:tcPr>
          <w:p>
            <w:pPr>
              <w:jc w:val="center"/>
              <w:ind w:left="654"/>
              <w:spacing w:after="0"/>
              <w:rPr>
                <w:sz w:val="20"/>
                <w:szCs w:val="20"/>
                <w:color w:val="auto"/>
              </w:rPr>
            </w:pPr>
            <w:r>
              <w:rPr>
                <w:rFonts w:ascii="Arial" w:cs="Arial" w:eastAsia="Arial" w:hAnsi="Arial"/>
                <w:sz w:val="18"/>
                <w:szCs w:val="18"/>
                <w:color w:val="auto"/>
                <w:w w:val="90"/>
              </w:rPr>
              <w:t>$19.04</w:t>
            </w:r>
          </w:p>
        </w:tc>
        <w:tc>
          <w:tcPr>
            <w:tcW w:w="1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Third quarter</w:t>
            </w:r>
          </w:p>
        </w:tc>
        <w:tc>
          <w:tcPr>
            <w:tcW w:w="3080" w:type="dxa"/>
            <w:vAlign w:val="bottom"/>
            <w:gridSpan w:val="3"/>
          </w:tcPr>
          <w:p>
            <w:pPr>
              <w:jc w:val="center"/>
              <w:ind w:left="2452"/>
              <w:spacing w:after="0"/>
              <w:rPr>
                <w:sz w:val="20"/>
                <w:szCs w:val="20"/>
                <w:color w:val="auto"/>
              </w:rPr>
            </w:pPr>
            <w:r>
              <w:rPr>
                <w:rFonts w:ascii="Arial" w:cs="Arial" w:eastAsia="Arial" w:hAnsi="Arial"/>
                <w:sz w:val="18"/>
                <w:szCs w:val="18"/>
                <w:color w:val="auto"/>
                <w:w w:val="90"/>
              </w:rPr>
              <w:t>$37.99</w:t>
            </w:r>
          </w:p>
        </w:tc>
        <w:tc>
          <w:tcPr>
            <w:tcW w:w="1240" w:type="dxa"/>
            <w:vAlign w:val="bottom"/>
            <w:gridSpan w:val="2"/>
          </w:tcPr>
          <w:p>
            <w:pPr>
              <w:jc w:val="center"/>
              <w:ind w:left="654"/>
              <w:spacing w:after="0"/>
              <w:rPr>
                <w:sz w:val="20"/>
                <w:szCs w:val="20"/>
                <w:color w:val="auto"/>
              </w:rPr>
            </w:pPr>
            <w:r>
              <w:rPr>
                <w:rFonts w:ascii="Arial" w:cs="Arial" w:eastAsia="Arial" w:hAnsi="Arial"/>
                <w:sz w:val="18"/>
                <w:szCs w:val="18"/>
                <w:color w:val="auto"/>
                <w:w w:val="90"/>
              </w:rPr>
              <w:t>$20.90</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080" w:type="dxa"/>
            <w:vAlign w:val="bottom"/>
            <w:gridSpan w:val="3"/>
            <w:shd w:val="clear" w:color="auto" w:fill="CCEEFF"/>
          </w:tcPr>
          <w:p>
            <w:pPr>
              <w:jc w:val="center"/>
              <w:ind w:left="2452"/>
              <w:spacing w:after="0"/>
              <w:rPr>
                <w:sz w:val="20"/>
                <w:szCs w:val="20"/>
                <w:color w:val="auto"/>
              </w:rPr>
            </w:pPr>
            <w:r>
              <w:rPr>
                <w:rFonts w:ascii="Arial" w:cs="Arial" w:eastAsia="Arial" w:hAnsi="Arial"/>
                <w:sz w:val="18"/>
                <w:szCs w:val="18"/>
                <w:color w:val="auto"/>
                <w:w w:val="90"/>
              </w:rPr>
              <w:t>$43.54</w:t>
            </w:r>
          </w:p>
        </w:tc>
        <w:tc>
          <w:tcPr>
            <w:tcW w:w="1240" w:type="dxa"/>
            <w:vAlign w:val="bottom"/>
            <w:gridSpan w:val="2"/>
            <w:shd w:val="clear" w:color="auto" w:fill="CCEEFF"/>
          </w:tcPr>
          <w:p>
            <w:pPr>
              <w:jc w:val="center"/>
              <w:ind w:left="654"/>
              <w:spacing w:after="0"/>
              <w:rPr>
                <w:sz w:val="20"/>
                <w:szCs w:val="20"/>
                <w:color w:val="auto"/>
              </w:rPr>
            </w:pPr>
            <w:r>
              <w:rPr>
                <w:rFonts w:ascii="Arial" w:cs="Arial" w:eastAsia="Arial" w:hAnsi="Arial"/>
                <w:sz w:val="18"/>
                <w:szCs w:val="18"/>
                <w:color w:val="auto"/>
                <w:w w:val="90"/>
              </w:rPr>
              <w:t>$35.30</w:t>
            </w:r>
          </w:p>
        </w:tc>
        <w:tc>
          <w:tcPr>
            <w:tcW w:w="1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First quarter</w:t>
            </w:r>
          </w:p>
        </w:tc>
        <w:tc>
          <w:tcPr>
            <w:tcW w:w="3080" w:type="dxa"/>
            <w:vAlign w:val="bottom"/>
            <w:gridSpan w:val="3"/>
          </w:tcPr>
          <w:p>
            <w:pPr>
              <w:jc w:val="center"/>
              <w:ind w:left="2452"/>
              <w:spacing w:after="0"/>
              <w:rPr>
                <w:sz w:val="20"/>
                <w:szCs w:val="20"/>
                <w:color w:val="auto"/>
              </w:rPr>
            </w:pPr>
            <w:r>
              <w:rPr>
                <w:rFonts w:ascii="Arial" w:cs="Arial" w:eastAsia="Arial" w:hAnsi="Arial"/>
                <w:sz w:val="18"/>
                <w:szCs w:val="18"/>
                <w:color w:val="auto"/>
                <w:w w:val="90"/>
              </w:rPr>
              <w:t>$46.54</w:t>
            </w:r>
          </w:p>
        </w:tc>
        <w:tc>
          <w:tcPr>
            <w:tcW w:w="1240" w:type="dxa"/>
            <w:vAlign w:val="bottom"/>
            <w:gridSpan w:val="2"/>
          </w:tcPr>
          <w:p>
            <w:pPr>
              <w:jc w:val="center"/>
              <w:ind w:left="654"/>
              <w:spacing w:after="0"/>
              <w:rPr>
                <w:sz w:val="20"/>
                <w:szCs w:val="20"/>
                <w:color w:val="auto"/>
              </w:rPr>
            </w:pPr>
            <w:r>
              <w:rPr>
                <w:rFonts w:ascii="Arial" w:cs="Arial" w:eastAsia="Arial" w:hAnsi="Arial"/>
                <w:sz w:val="18"/>
                <w:szCs w:val="18"/>
                <w:color w:val="auto"/>
                <w:w w:val="90"/>
              </w:rPr>
              <w:t>$39.09</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11, 2012, the Board of Directors of Lazard Ltd (i) declared a special dividend of $0.20 per share on our Class A common stock, payable on December 27, 2012 to stockholders of record on December 21, 2012 and (ii) accelerated the payment and record dates of Lazard’s fourth quarter dividend of $0.20 per share on its Class A common stock, which ordinarily would have been payable in February 2013. The accelerated dividend was also payable on December 27, 2012, to stockholders of record on December 21, 2012.</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February 8, 2013, there were approximately 48 holders of record of our Class A common stock. This does not include the number of shareholders that hold shares in “street-name” through banks or broker-dealers.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8, 2013, the last reported sales price for our Class A common stock on the New York Stock Exchange was $37.37 per share.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in the Fourth Quarter of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fourth quarter of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Total Number</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Paid</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per</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Plans or</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48"/>
        </w:trPr>
        <w:tc>
          <w:tcPr>
            <w:tcW w:w="564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3"/>
              </w:rPr>
              <w:t>Purchased</w:t>
            </w:r>
          </w:p>
        </w:tc>
        <w:tc>
          <w:tcPr>
            <w:tcW w:w="260" w:type="dxa"/>
            <w:vAlign w:val="bottom"/>
          </w:tcPr>
          <w:p>
            <w:pPr>
              <w:spacing w:after="0"/>
              <w:rPr>
                <w:sz w:val="12"/>
                <w:szCs w:val="12"/>
                <w:color w:val="auto"/>
              </w:rPr>
            </w:pPr>
          </w:p>
        </w:tc>
        <w:tc>
          <w:tcPr>
            <w:tcW w:w="10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Share</w:t>
            </w:r>
          </w:p>
        </w:tc>
        <w:tc>
          <w:tcPr>
            <w:tcW w:w="14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Programs</w:t>
            </w: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October 1, 2012 – October 31, 2012</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3,374,308</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$29.00</w:t>
            </w:r>
          </w:p>
        </w:tc>
        <w:tc>
          <w:tcPr>
            <w:tcW w:w="920" w:type="dxa"/>
            <w:vAlign w:val="bottom"/>
          </w:tcPr>
          <w:p>
            <w:pPr>
              <w:jc w:val="right"/>
              <w:spacing w:after="0"/>
              <w:rPr>
                <w:sz w:val="20"/>
                <w:szCs w:val="20"/>
                <w:color w:val="auto"/>
              </w:rPr>
            </w:pPr>
            <w:r>
              <w:rPr>
                <w:rFonts w:ascii="Arial" w:cs="Arial" w:eastAsia="Arial" w:hAnsi="Arial"/>
                <w:sz w:val="18"/>
                <w:szCs w:val="18"/>
                <w:color w:val="auto"/>
              </w:rPr>
              <w:t>3,374,308</w:t>
            </w:r>
          </w:p>
        </w:tc>
        <w:tc>
          <w:tcPr>
            <w:tcW w:w="5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$ 216.6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$29.23</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November 1, 2012 – November 30, 2012</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594,557</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3"/>
              </w:rPr>
              <w:t>$ 28.11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594,557</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$ 199.9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89,899</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$30.03</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1, 2012 – December 31, 2012</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613,025</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$28.08</w:t>
            </w:r>
          </w:p>
        </w:tc>
        <w:tc>
          <w:tcPr>
            <w:tcW w:w="920" w:type="dxa"/>
            <w:vAlign w:val="bottom"/>
          </w:tcPr>
          <w:p>
            <w:pPr>
              <w:jc w:val="right"/>
              <w:spacing w:after="0"/>
              <w:rPr>
                <w:sz w:val="20"/>
                <w:szCs w:val="20"/>
                <w:color w:val="auto"/>
              </w:rPr>
            </w:pPr>
            <w:r>
              <w:rPr>
                <w:rFonts w:ascii="Arial" w:cs="Arial" w:eastAsia="Arial" w:hAnsi="Arial"/>
                <w:sz w:val="18"/>
                <w:szCs w:val="18"/>
                <w:color w:val="auto"/>
              </w:rPr>
              <w:t>613,025</w:t>
            </w:r>
          </w:p>
        </w:tc>
        <w:tc>
          <w:tcPr>
            <w:tcW w:w="5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$ 182.7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purchase agreements (3)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958,213</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$29.86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958,213</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$ 154.1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49,840</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$29.87</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4,581,890</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$28.76</w:t>
            </w:r>
          </w:p>
        </w:tc>
        <w:tc>
          <w:tcPr>
            <w:tcW w:w="920" w:type="dxa"/>
            <w:vAlign w:val="bottom"/>
          </w:tcPr>
          <w:p>
            <w:pPr>
              <w:jc w:val="right"/>
              <w:spacing w:after="0"/>
              <w:rPr>
                <w:sz w:val="20"/>
                <w:szCs w:val="20"/>
                <w:color w:val="auto"/>
              </w:rPr>
            </w:pPr>
            <w:r>
              <w:rPr>
                <w:rFonts w:ascii="Arial" w:cs="Arial" w:eastAsia="Arial" w:hAnsi="Arial"/>
                <w:sz w:val="18"/>
                <w:szCs w:val="18"/>
                <w:color w:val="auto"/>
              </w:rPr>
              <w:t>4,581,890</w:t>
            </w:r>
          </w:p>
        </w:tc>
        <w:tc>
          <w:tcPr>
            <w:tcW w:w="5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$ 182.7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purchase agreements (3)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958,213</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$29.86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958,213</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$ 154.1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140,002</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$29.97</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60"/>
          </w:cols>
          <w:pgMar w:left="240" w:top="459" w:right="2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0" w:hanging="452"/>
        <w:spacing w:after="0" w:line="28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disclosed in more detail in Note 13 of Notes to Consolidated Financial Statements, in February 2011, October 2011, April 2012 and October 2012, the Board of Directors of Lazard Ltd authorized, on a cumulative basis, the repurchase of up to an additional $250 million, $125 million, $125 million and $200 million, respectively, in aggregate cost of Lazard Ltd Class A common stock and Lazard Group common membership interests through December 31, 2012, December 31, 2013, December 31, 2013 and December 31, 2014, respectively. The share repurchase program is used primarily to offset a portion of the shares to be issued under the 2005 Plan and the 2008 Plan. Purchases under the share repurchase program may be made in the open market or through privately negotiated transactions. Amounts shown in this line item include repurchases of Class A common stock (no Lazard Group common membership interests were purchased during the fourth quarter of 2012) and exclude the shares of Class A common stock withheld by the Company to meet the minimum statutory tax withholding requirements as described below.</w:t>
      </w:r>
    </w:p>
    <w:p>
      <w:pPr>
        <w:spacing w:after="0" w:line="5" w:lineRule="exact"/>
        <w:rPr>
          <w:rFonts w:ascii="Arial" w:cs="Arial" w:eastAsia="Arial" w:hAnsi="Arial"/>
          <w:sz w:val="16"/>
          <w:szCs w:val="16"/>
          <w:color w:val="auto"/>
        </w:rPr>
      </w:pPr>
    </w:p>
    <w:p>
      <w:pPr>
        <w:ind w:left="460" w:right="40" w:hanging="452"/>
        <w:spacing w:after="0" w:line="300"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Under the terms of the 2005 Plan and the 2008 Plan, upon the vesting of RSUs and delivery of restricted Class A common stock, shares of Class A common stock may be withheld by the Company to meet the minimum statutory tax withholding requirements. During the three month period ended December 31, 2012, the Company satisfied such obligations in lieu of issuing 140,002 shares of Class A common stock upon the vesting of 376,642 RSUs.</w:t>
      </w:r>
    </w:p>
    <w:p>
      <w:pPr>
        <w:spacing w:after="0" w:line="1" w:lineRule="exact"/>
        <w:rPr>
          <w:rFonts w:ascii="Arial" w:cs="Arial" w:eastAsia="Arial" w:hAnsi="Arial"/>
          <w:sz w:val="15"/>
          <w:szCs w:val="15"/>
          <w:color w:val="auto"/>
        </w:rPr>
      </w:pPr>
    </w:p>
    <w:p>
      <w:pPr>
        <w:ind w:left="460" w:right="4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connection with the forward purchase agreements described in more detail in Note 14 of Notes to Consolidated Financial Statements, in December 2012 the Company contractually agreed to purchase 958,213 shares of restricted Class A common stock, at an aggregate purchase price of $28.6 million. After taking such forward purchase agreements into account, $154.1 million of the amount authorized as of December 31, 2012 remains available for purchase under the share repurchase program, all of which expires on December 31,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On October 12, 2012, November 15, 2012 and December 13, 2012, Lazard Ltd issued 2,456,408, 1,989,978 and 569,025 shares of Class A common stock, respectively, in reliance on Section 4(2) of the Securities Act of 1933 in connection with the exchange of 2,456,408, 1,989,978 and 569,025 common membership interests of Lazard Group, respectively, held by certain members of LAZ-MD Holdings as provided for in the Master Separation Agreement, dated as of May 10, 2005, by and among Lazard Ltd, Lazard Group, LAZ-MD Holdings and LFCM Holdings and other related documents.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selected consolidated financial data for the Company for all years presented.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statements of financial condition and operations data as of and for each of the years in the five-year period ended December 31, 2012 have been derived from Lazard Ltd’s consolidated financial statements. The audited consolidated statements of financial condition as of December 31, 2012 and 2011 and audited consolidated statements of operations for each of the years in the three year period ended December 31, 2012 are included in this Form 10-K. The audited consolidated statements of financial condition as of December 31, 2010, 2009 and 2008, and the audited consolidated statements of operations for the years ended December 31, 2009 and 2008, are not included in this Form 10-K. Historical results are not necessarily indicative of results for any future period.</w:t>
      </w:r>
    </w:p>
    <w:p>
      <w:pPr>
        <w:spacing w:after="0" w:line="1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As Of Or For The Year Ended December 31,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11"/>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(dollars in thousands, except for per share amounts)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1,049,090</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1,119,867</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986,820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1,022,913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896,260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897,401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849,662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601,652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614,781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(32,902)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(59,996)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(64,161)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(57,954)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(80,487)</w:t>
            </w:r>
          </w:p>
        </w:tc>
        <w:tc>
          <w:tcPr>
            <w:tcW w:w="0" w:type="dxa"/>
            <w:vAlign w:val="bottom"/>
          </w:tcPr>
          <w:p>
            <w:pPr>
              <w:spacing w:after="0"/>
              <w:rPr>
                <w:sz w:val="1"/>
                <w:szCs w:val="1"/>
                <w:color w:val="auto"/>
              </w:rPr>
            </w:pPr>
          </w:p>
        </w:tc>
      </w:tr>
      <w:tr>
        <w:trPr>
          <w:trHeight w:val="163"/>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1,912,448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1,829,512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1,905,368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1,530,518</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1,557,207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1,351,129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1,168,945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1,194,168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1,309,240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1,128,253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437,434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425,068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467,550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403,512</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403,814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1,788,563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1,594,013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1,661,718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1,712,752</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1,532,067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123,885</w:t>
            </w: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235,499</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243,650</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(182,234)</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25,140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92,785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190,559</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194,423</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(188,245)</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Ltd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3"/>
            <w:vMerge w:val="continue"/>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84,309</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174,917</w:t>
            </w:r>
          </w:p>
        </w:tc>
        <w:tc>
          <w:tcPr>
            <w:tcW w:w="220" w:type="dxa"/>
            <w:vAlign w:val="bottom"/>
          </w:tcPr>
          <w:p>
            <w:pPr>
              <w:spacing w:after="0"/>
              <w:rPr>
                <w:sz w:val="12"/>
                <w:szCs w:val="12"/>
                <w:color w:val="auto"/>
              </w:rPr>
            </w:pP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174,979</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3" w:lineRule="exact"/>
              <w:rPr>
                <w:sz w:val="20"/>
                <w:szCs w:val="20"/>
                <w:color w:val="auto"/>
              </w:rPr>
            </w:pPr>
            <w:r>
              <w:rPr>
                <w:rFonts w:ascii="Arial" w:cs="Arial" w:eastAsia="Arial" w:hAnsi="Arial"/>
                <w:sz w:val="14"/>
                <w:szCs w:val="14"/>
                <w:color w:val="auto"/>
              </w:rPr>
              <w:t>(130,242)</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 Per Share of Class A Common Stock:</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$0.72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$(1.68)</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$ 0.06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$ 0.06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Dividends Declared Per Share of Class A Common Stock</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$ 0.45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$ 0.40</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6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2,986,893</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3,081,936</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3,422,532</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3,147,762</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2,862,931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1,094,713</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1,096,934</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1,249,753</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1,261,478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1,264,575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Ltd Stockholders’ Equity</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569,656</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726,143</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652,398</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355,391</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651,540</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866,856</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796,117</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523,097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311,752</w:t>
            </w:r>
          </w:p>
        </w:tc>
        <w:tc>
          <w:tcPr>
            <w:tcW w:w="0" w:type="dxa"/>
            <w:vAlign w:val="bottom"/>
          </w:tcPr>
          <w:p>
            <w:pPr>
              <w:spacing w:after="0"/>
              <w:rPr>
                <w:sz w:val="1"/>
                <w:szCs w:val="1"/>
                <w:color w:val="auto"/>
              </w:rPr>
            </w:pPr>
          </w:p>
        </w:tc>
      </w:tr>
      <w:tr>
        <w:trPr>
          <w:trHeight w:val="230"/>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w w:val="84"/>
              </w:rPr>
              <w:t>$167,060,000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$141,039,000</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$155,337,000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$129,543,000</w:t>
            </w:r>
          </w:p>
        </w:tc>
        <w:tc>
          <w:tcPr>
            <w:tcW w:w="4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w w:val="88"/>
              </w:rPr>
              <w:t>$ 91,109,000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4"/>
              </w:rPr>
              <w:t>$155,549,000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$152,072,000</w:t>
            </w:r>
          </w:p>
        </w:tc>
        <w:tc>
          <w:tcPr>
            <w:tcW w:w="2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$137,381,000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$103,988,000</w:t>
            </w:r>
          </w:p>
        </w:tc>
        <w:tc>
          <w:tcPr>
            <w:tcW w:w="4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4"/>
              </w:rPr>
              <w:t>$122,828,000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2,513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2,332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2,294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2,434</w:t>
            </w:r>
          </w:p>
        </w:tc>
        <w:tc>
          <w:tcPr>
            <w:tcW w:w="0" w:type="dxa"/>
            <w:vAlign w:val="bottom"/>
          </w:tcPr>
          <w:p>
            <w:pPr>
              <w:spacing w:after="0"/>
              <w:rPr>
                <w:sz w:val="1"/>
                <w:szCs w:val="1"/>
                <w:color w:val="auto"/>
              </w:rPr>
            </w:pPr>
          </w:p>
        </w:tc>
      </w:tr>
      <w:tr>
        <w:trPr>
          <w:trHeight w:val="84"/>
        </w:trPr>
        <w:tc>
          <w:tcPr>
            <w:tcW w:w="580" w:type="dxa"/>
            <w:vAlign w:val="bottom"/>
            <w:tcBorders>
              <w:bottom w:val="single" w:sz="8" w:color="auto"/>
            </w:tcBorders>
            <w:gridSpan w:val="2"/>
          </w:tcPr>
          <w:p>
            <w:pPr>
              <w:spacing w:after="0"/>
              <w:rPr>
                <w:sz w:val="7"/>
                <w:szCs w:val="7"/>
                <w:color w:val="auto"/>
              </w:rPr>
            </w:pPr>
          </w:p>
        </w:tc>
        <w:tc>
          <w:tcPr>
            <w:tcW w:w="5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10"/>
            <w:vMerge w:val="restart"/>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10"/>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Other Advisory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792,928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714,059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814,660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Capital Raising</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111,933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83,885</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Strategic Advisory</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866,331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794,364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825,992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610,110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903,630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Restructuring</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182,759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197,743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293,875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376,710</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119,283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Financial Advisory Net Revenue</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1,049,090</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1,119,867</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986,820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1,022,913</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806,044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715,885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486,810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568,436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43,661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26,245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86,298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74,795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46,555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53,118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47,479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40,047</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80" w:type="dxa"/>
            <w:vAlign w:val="bottom"/>
          </w:tcPr>
          <w:p>
            <w:pPr>
              <w:ind w:left="300"/>
              <w:spacing w:after="0" w:line="155" w:lineRule="exact"/>
              <w:rPr>
                <w:sz w:val="20"/>
                <w:szCs w:val="20"/>
                <w:color w:val="auto"/>
              </w:rPr>
            </w:pPr>
            <w:r>
              <w:rPr>
                <w:rFonts w:ascii="Arial" w:cs="Arial" w:eastAsia="Arial" w:hAnsi="Arial"/>
                <w:sz w:val="14"/>
                <w:szCs w:val="14"/>
                <w:color w:val="auto"/>
              </w:rPr>
              <w:t>Asset Management Net Revenue</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896,260</w:t>
            </w: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897,401</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849,662</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601,652</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614,781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line="23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“Corporate” includes interest expense (net of interest income), investment income (losses) from certain investments and net revenue earned by LFB through its money market desk and commercial banking operations, as well as any gains or losses from the extinguishment of debt.</w:t>
      </w:r>
    </w:p>
    <w:p>
      <w:pPr>
        <w:ind w:left="340" w:right="40" w:hanging="332"/>
        <w:spacing w:after="0" w:line="25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Includes (i)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 (ii) in 2010, charges of $24,860 relating to the acceleration of amortization expense pertaining to the amendment of Lazard’s retirement policy with respect to RSU awards; (iii) in 2009, charges of $86,514 related to the acceleration of amortization expense relating to the vesting of RSUs held by Lazard’s former Chairman and Chief Executive Officer as the result of his death in October 2009 and $60,512 related to the accelerated vesting of the then unamortized portion of previously awarded deferred cash incentive awards; and (iv) in 2008, $197,550 relating to the compensation portion of the LAM Merger charge.</w:t>
      </w:r>
    </w:p>
    <w:p>
      <w:pPr>
        <w:spacing w:after="0" w:line="1" w:lineRule="exact"/>
        <w:rPr>
          <w:rFonts w:ascii="Arial" w:cs="Arial" w:eastAsia="Arial" w:hAnsi="Arial"/>
          <w:sz w:val="12"/>
          <w:szCs w:val="12"/>
          <w:color w:val="auto"/>
        </w:rPr>
      </w:pPr>
    </w:p>
    <w:p>
      <w:pPr>
        <w:ind w:left="340" w:right="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(i) in 2012, non-compensation costs of $2,905 recorded in the first quarter associated with staff reductions and $2,589 recorded in the fourth quarter relating to the cost saving initiatives announced by the Company in October 2012, (ii) in 2010, restructuring expense of $87,108 related to the restructuring plan announced in the first quarter of 2010 and (iii) in 2009, restructuring expense of $62,550 related to the restructuring plan announced in the first quarter of 2009.</w:t>
      </w:r>
    </w:p>
    <w:p>
      <w:pPr>
        <w:ind w:left="340" w:hanging="332"/>
        <w:spacing w:after="0"/>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the aggregate amount reflected in the Company’s consolidated statements of financial condition relating to senior debt, capital lease obligations and subordinated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2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38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Management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8" w:lineRule="auto"/>
        <w:tabs>
          <w:tab w:leader="none" w:pos="21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12 of Notes to Consolidated Financial Statements), (ii) Lazard Australia Corporate Opportunities Fund 2 (“COF2”), a Lazard-managed Australian private equity fund targeting Australasian mid-market investments, (iii) a mezzanine fund, which invests in mezzanine debt of a diversified selection of small-to mid cap European companies and (iv) a private equity fund targeting significant non-controlling investments in established public and private companies.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Overall, equity market indices at December 31, 2012 increased in both the U.S., and outside the U.S., when compared to such indices at December 31, 2011, with periods of significant volatility during the year. On an industry-wide basis, during 2012 M&amp;A activity generally decreased as compared to 2011. Restructuring volume also declined in 2012, as compared to 2011, despite an increase in the number of corporate defaults.</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Entering 2013, interest rates remain low and corporate cash balances remain high. Global macroeconomic conditions appear to be improving but remain uncertain, especially with respect to Europe. The breadth of our businesses has mitigated the impact of the European financial crisis. Although completed European M&amp;A activity declined in 2012 and moderately affected our Financial Advisory business, we believe other advisory opportunities, including opportunities for our Sovereign Advisory and Capital Raising businesses, have offset the slowdown. In our Asset Management business, most of LAM’s European clients are invested with LAM primarily outside of Europe. Those who are invested in Europe are invested primarily in European fixed income, which has not had a significant impact on our Asset Management business. Nonetheless, the business situation in Europe remains challenging.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announced a number of cost saving initiatives (the “cost saving initiatives”) relating to our operations. See “Cost Saving Initiatives” below and Note 16 of Notes to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20" w:hanging="345"/>
        <w:spacing w:after="0" w:line="289"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likely will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Europe, we believe our Sovereign Advisory, Restructuring and Capital Raising businesses have positive growth prospects.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established the Lazard Africa initiative, to leverage our sovereign and corporate expertise in the rapidly growing region, for our clients in both developed and developing countries.</w:t>
      </w:r>
    </w:p>
    <w:p>
      <w:pPr>
        <w:spacing w:after="0" w:line="37" w:lineRule="exact"/>
        <w:rPr>
          <w:rFonts w:ascii="Arial" w:cs="Arial" w:eastAsia="Arial" w:hAnsi="Arial"/>
          <w:sz w:val="16"/>
          <w:szCs w:val="16"/>
          <w:color w:val="auto"/>
        </w:rPr>
      </w:pPr>
    </w:p>
    <w:p>
      <w:pPr>
        <w:ind w:left="920" w:right="40" w:hanging="345"/>
        <w:spacing w:after="0" w:line="287"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Despite turbulent markets, we have recently seen investor demand across regions and investment platforms. In the short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intermediate term, 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a new office in Zurich, and we are planning to open a new office in Singapore. We are continually developing and seeding new investment strategies that extend our existing platforms. Recent examples of growth initiatives include the following investment strategies: Emerging Market Debt, Core Emerging Markets, Real Estate, Managed Volatility Strategies, Asian Equities and Global Trend.</w:t>
      </w:r>
    </w:p>
    <w:p>
      <w:pPr>
        <w:spacing w:after="0" w:line="12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and earnings growth and stockholder returns, the prudent management of our costs and expenses, the efficient use of our assets and the return of capital to our stockholders.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are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reflected in the following table, which sets forth industry statistics for 2012 and 2011 regarding the value and number of completed and announced Global and Trans-Atlantic M&amp;A transactions, the value and number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completed transactions in 2012 decreased compared to 2011, and reflected transactions with lower average values. However, Global and Trans-Atlantic announced M&amp;A transactions increased in value during 2012 compared to 2011, but the number of transactions decreased in 2012 from 2011.</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4"/>
                <w:szCs w:val="14"/>
                <w:color w:val="auto"/>
              </w:rPr>
            </w:pPr>
          </w:p>
        </w:tc>
        <w:tc>
          <w:tcPr>
            <w:tcW w:w="1160" w:type="dxa"/>
            <w:vAlign w:val="bottom"/>
          </w:tcPr>
          <w:p>
            <w:pPr>
              <w:jc w:val="right"/>
              <w:ind w:right="754"/>
              <w:spacing w:after="0"/>
              <w:rPr>
                <w:sz w:val="20"/>
                <w:szCs w:val="20"/>
                <w:color w:val="auto"/>
              </w:rPr>
            </w:pPr>
            <w:r>
              <w:rPr>
                <w:rFonts w:ascii="Arial" w:cs="Arial" w:eastAsia="Arial" w:hAnsi="Arial"/>
                <w:sz w:val="14"/>
                <w:szCs w:val="14"/>
                <w:b w:val="1"/>
                <w:bCs w:val="1"/>
                <w:color w:val="auto"/>
                <w:w w:val="96"/>
              </w:rPr>
              <w:t>2011</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Arial" w:cs="Arial" w:eastAsia="Arial" w:hAnsi="Arial"/>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Global: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2,034</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2,360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100" w:type="dxa"/>
            <w:vAlign w:val="bottom"/>
          </w:tcPr>
          <w:p>
            <w:pPr>
              <w:ind w:left="880"/>
              <w:spacing w:after="0"/>
              <w:rPr>
                <w:sz w:val="20"/>
                <w:szCs w:val="20"/>
                <w:color w:val="auto"/>
              </w:rPr>
            </w:pPr>
            <w:r>
              <w:rPr>
                <w:rFonts w:ascii="Arial" w:cs="Arial" w:eastAsia="Arial" w:hAnsi="Arial"/>
                <w:sz w:val="18"/>
                <w:szCs w:val="18"/>
                <w:color w:val="auto"/>
              </w:rPr>
              <w:t>Number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28,861</w:t>
            </w:r>
          </w:p>
        </w:tc>
        <w:tc>
          <w:tcPr>
            <w:tcW w:w="700" w:type="dxa"/>
            <w:vAlign w:val="bottom"/>
          </w:tcPr>
          <w:p>
            <w:pPr>
              <w:spacing w:after="0"/>
              <w:rPr>
                <w:sz w:val="18"/>
                <w:szCs w:val="18"/>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w w:val="83"/>
              </w:rPr>
              <w:t>31,705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100" w:type="dxa"/>
            <w:vAlign w:val="bottom"/>
          </w:tcPr>
          <w:p>
            <w:pPr>
              <w:ind w:left="880"/>
              <w:spacing w:after="0"/>
              <w:rPr>
                <w:sz w:val="20"/>
                <w:szCs w:val="20"/>
                <w:color w:val="auto"/>
              </w:rPr>
            </w:pPr>
            <w:r>
              <w:rPr>
                <w:rFonts w:ascii="Arial" w:cs="Arial" w:eastAsia="Arial" w:hAnsi="Arial"/>
                <w:sz w:val="18"/>
                <w:szCs w:val="18"/>
                <w:color w:val="auto"/>
              </w:rPr>
              <w:t>Value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158</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199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1,152</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1,329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100" w:type="dxa"/>
            <w:vAlign w:val="bottom"/>
          </w:tcPr>
          <w:p>
            <w:pPr>
              <w:ind w:left="880"/>
              <w:spacing w:after="0"/>
              <w:rPr>
                <w:sz w:val="20"/>
                <w:szCs w:val="20"/>
                <w:color w:val="auto"/>
              </w:rPr>
            </w:pPr>
            <w:r>
              <w:rPr>
                <w:rFonts w:ascii="Arial" w:cs="Arial" w:eastAsia="Arial" w:hAnsi="Arial"/>
                <w:sz w:val="18"/>
                <w:szCs w:val="18"/>
                <w:color w:val="auto"/>
              </w:rPr>
              <w:t>Value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2,544</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2,467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r>
      <w:tr>
        <w:trPr>
          <w:trHeight w:val="216"/>
        </w:trPr>
        <w:tc>
          <w:tcPr>
            <w:tcW w:w="4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3"/>
              </w:rPr>
              <w:t>38,249</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3"/>
              </w:rPr>
              <w:t>41,782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209</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169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24 %</w:t>
            </w:r>
          </w:p>
        </w:tc>
      </w:tr>
      <w:tr>
        <w:trPr>
          <w:trHeight w:val="222"/>
        </w:trPr>
        <w:tc>
          <w:tcPr>
            <w:tcW w:w="4100" w:type="dxa"/>
            <w:vAlign w:val="bottom"/>
          </w:tcPr>
          <w:p>
            <w:pPr>
              <w:ind w:left="880"/>
              <w:spacing w:after="0"/>
              <w:rPr>
                <w:sz w:val="20"/>
                <w:szCs w:val="20"/>
                <w:color w:val="auto"/>
              </w:rPr>
            </w:pPr>
            <w:r>
              <w:rPr>
                <w:rFonts w:ascii="Arial" w:cs="Arial" w:eastAsia="Arial" w:hAnsi="Arial"/>
                <w:sz w:val="18"/>
                <w:szCs w:val="18"/>
                <w:color w:val="auto"/>
              </w:rPr>
              <w:t>Number</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1,378</w:t>
            </w:r>
          </w:p>
        </w:tc>
        <w:tc>
          <w:tcPr>
            <w:tcW w:w="700" w:type="dxa"/>
            <w:vAlign w:val="bottom"/>
          </w:tcPr>
          <w:p>
            <w:pPr>
              <w:spacing w:after="0"/>
              <w:rPr>
                <w:sz w:val="19"/>
                <w:szCs w:val="19"/>
                <w:color w:val="auto"/>
              </w:rPr>
            </w:pPr>
          </w:p>
        </w:tc>
        <w:tc>
          <w:tcPr>
            <w:tcW w:w="1160" w:type="dxa"/>
            <w:vAlign w:val="bottom"/>
          </w:tcPr>
          <w:p>
            <w:pPr>
              <w:jc w:val="right"/>
              <w:ind w:right="594"/>
              <w:spacing w:after="0"/>
              <w:rPr>
                <w:sz w:val="20"/>
                <w:szCs w:val="20"/>
                <w:color w:val="auto"/>
              </w:rPr>
            </w:pPr>
            <w:r>
              <w:rPr>
                <w:rFonts w:ascii="Arial" w:cs="Arial" w:eastAsia="Arial" w:hAnsi="Arial"/>
                <w:sz w:val="18"/>
                <w:szCs w:val="18"/>
                <w:color w:val="auto"/>
              </w:rPr>
              <w:t>1,558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January 11, 2013.</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Global restructuring activity during 2012, as measured by the value of debt defaults, decreased in 2012 from 2011. However, the number of issuers defaulting increased to 58 in 2012, according to Moody’s Investors Service, Inc., as compared to 38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shown in the table below, major equity market indices at December 31, 2012 increased when compared to such indices at December 31, 2011. Global market indices at December 31, 2011 were mixed in the U.S., but declined outside the U.S., versus the corresponding indices at December 31, 2010.</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3"/>
              </w:rPr>
              <w:t>Percentage Changes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940" w:type="dxa"/>
            <w:vAlign w:val="bottom"/>
            <w:gridSpan w:val="2"/>
          </w:tcPr>
          <w:p>
            <w:pPr>
              <w:jc w:val="right"/>
              <w:ind w:right="1132"/>
              <w:spacing w:after="0" w:line="142" w:lineRule="exact"/>
              <w:rPr>
                <w:sz w:val="20"/>
                <w:szCs w:val="20"/>
                <w:color w:val="auto"/>
              </w:rPr>
            </w:pPr>
            <w:r>
              <w:rPr>
                <w:rFonts w:ascii="Arial" w:cs="Arial" w:eastAsia="Arial" w:hAnsi="Arial"/>
                <w:sz w:val="14"/>
                <w:szCs w:val="14"/>
                <w:b w:val="1"/>
                <w:bCs w:val="1"/>
                <w:color w:val="auto"/>
                <w:w w:val="80"/>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74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shd w:val="clear" w:color="auto" w:fill="CCEEFF"/>
          </w:tcPr>
          <w:p>
            <w:pPr>
              <w:spacing w:after="0"/>
              <w:rPr>
                <w:sz w:val="18"/>
                <w:szCs w:val="18"/>
                <w:color w:val="auto"/>
              </w:rPr>
            </w:pP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CAC 40</w:t>
            </w:r>
          </w:p>
        </w:tc>
        <w:tc>
          <w:tcPr>
            <w:tcW w:w="1940" w:type="dxa"/>
            <w:vAlign w:val="bottom"/>
            <w:gridSpan w:val="2"/>
          </w:tcPr>
          <w:p>
            <w:pPr>
              <w:jc w:val="right"/>
              <w:ind w:right="972"/>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FTSE 100</w:t>
            </w:r>
          </w:p>
        </w:tc>
        <w:tc>
          <w:tcPr>
            <w:tcW w:w="1940" w:type="dxa"/>
            <w:vAlign w:val="bottom"/>
            <w:gridSpan w:val="2"/>
          </w:tcPr>
          <w:p>
            <w:pPr>
              <w:jc w:val="right"/>
              <w:ind w:right="972"/>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MSCI Emerging Market</w:t>
            </w:r>
          </w:p>
        </w:tc>
        <w:tc>
          <w:tcPr>
            <w:tcW w:w="1940" w:type="dxa"/>
            <w:vAlign w:val="bottom"/>
            <w:gridSpan w:val="2"/>
          </w:tcPr>
          <w:p>
            <w:pPr>
              <w:jc w:val="right"/>
              <w:ind w:right="972"/>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NASDAQ</w:t>
            </w:r>
          </w:p>
        </w:tc>
        <w:tc>
          <w:tcPr>
            <w:tcW w:w="1940" w:type="dxa"/>
            <w:vAlign w:val="bottom"/>
            <w:gridSpan w:val="2"/>
          </w:tcPr>
          <w:p>
            <w:pPr>
              <w:jc w:val="right"/>
              <w:ind w:right="972"/>
              <w:spacing w:after="0"/>
              <w:rPr>
                <w:sz w:val="20"/>
                <w:szCs w:val="20"/>
                <w:color w:val="auto"/>
              </w:rPr>
            </w:pPr>
            <w:r>
              <w:rPr>
                <w:rFonts w:ascii="Arial" w:cs="Arial" w:eastAsia="Arial" w:hAnsi="Arial"/>
                <w:sz w:val="18"/>
                <w:szCs w:val="18"/>
                <w:color w:val="auto"/>
              </w:rPr>
              <w:t>16%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94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and market movements reflected in the changes in Lazard’s AUM during the period generally correspond to the changes in global equity market indices. While our AUM at December 31, 2012 increased 18% versus AUM at December 31, 2011 (primarily reflecting market appreciation), our average AUM for 2012 increased 2% as compared to our average AUM in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October 25, 2012, we announced a number of cost saving initiatives to reduce our expenses. These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 We expect these initiatives will result in improved profitability with minimal impact on revenue growth. A majority of these initiatives were implemented during the fourth quarter of 2012. Our objective is to realize approximately $125 million in annual savings from our existing cost base, with approximately $85 million relating to compensation and benefits expense, and approximately $40 million relating to non-compensation expense. We expect at least two-thirds of the expense savings to be realized in 2013, and we expect the full impact of the expense savings to be realized in 2014. We expect pre-tax implementation expenses to range between $110 million and $130 million and to primarily consist of compensation expense. We incurred $103 million of these expenses in the fourth quarter of 2012, and expect to incur the remainder of these expenses in the first half of 2013. Approximately 75% of the implementation expenses are expected to be paid in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 funds, such as hedge funds and private equity funds, and lower fees earned on fixed income and cash management products.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Corporate segment net revenue consists primarily of investment gains and losses on the Company’s “seed investments” in LAM equity and fixed income funds, principal investments in equities and alternative investment funds and “equity method” investments, net hedging activities, as well as gains and losses on investments held in connection with Lazard Fund Interests and on the extinguishment of debt (to the extent applicable), interest income and interest expense.</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Although Corporate segment net revenue during 2012 represented (2)% of Lazard’s net revenue, total assets in the Corporate segment represented 54% of Lazard’s consolidated total assets as of December 31, 2012, which is attributable to investments in government bonds and money market funds, fixed income funds, alternative investment funds and other securities, private equity investments and cash.</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“awarded compensation and benefits expense” and related ratios to “operating revenue,” see the table under “Consolidated Results of Operations” below.</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While we have begun to implement initiatives, including the cost saving initiatives announced in October 2012 (see “Cost Saving Initiatives” above and Note 16 of Notes to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changes in the mix of revenues from our businesses or various other factors could prevent us from attaining this goal.</w:t>
      </w:r>
    </w:p>
    <w:p>
      <w:pPr>
        <w:spacing w:after="0" w:line="12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the provisions pursuant to the tax receivable agreement with LFCM Holdings, amortization of intangible assets related to acquisitions and, in 2012, the relevant portion of the expense relating to the first quarter 2012 staff reductions and the implementation of the cost saving initiatives in the fourth quarter of 2012 and, in 2010, restructuring expense (see Note 16 of Notes to Consolidated Financial Statements”). Amortization of intangible assets relates primarily to the acquisition of Edgewater.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the amount attributable to LAZ-MD Holdings’ ownership interest in the net income of Lazard Group. See Note 13 of Notes to Consolidated Financial Statements for information regarding the Company’s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Selected financial data from the Company’s reported consolidated results of operations is set forth below, followed by a more detailed discussion of both consolidated and business segment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1,912,448</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1,829,512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1,905,368</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1,351,129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1,168,945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1,194,168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429,075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412,724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11,915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1,788,563</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1,594,013</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1,661,718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235,499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190,559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174,917</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0" w:type="dxa"/>
            <w:vAlign w:val="bottom"/>
            <w:vMerge w:val="restart"/>
          </w:tcPr>
          <w:p>
            <w:pPr>
              <w:jc w:val="right"/>
              <w:ind w:right="1692"/>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59"/>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$1,912,448</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$ 1,829,512</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$ 1,905,368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Other interest expense (a)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80,029</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86,200</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89,432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(14,104)</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(16,696)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(16,277)</w:t>
            </w: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Gain on the repurchase of subordinated promissory note (c)</w:t>
            </w:r>
          </w:p>
        </w:tc>
        <w:tc>
          <w:tcPr>
            <w:tcW w:w="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(18,171)</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Lazard Fund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Interests (d)</w:t>
            </w: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1,970,816</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1,883,869</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1,978,523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revenues of our business.</w:t>
      </w:r>
    </w:p>
    <w:p>
      <w:pPr>
        <w:ind w:left="460" w:right="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Gain related to the repurchase of the Company’s subordinated promissory note is excluded because of the non-operating nature of such transaction.</w:t>
      </w:r>
    </w:p>
    <w:p>
      <w:pPr>
        <w:spacing w:after="0" w:line="32" w:lineRule="exact"/>
        <w:rPr>
          <w:rFonts w:ascii="Arial" w:cs="Arial" w:eastAsia="Arial" w:hAnsi="Arial"/>
          <w:sz w:val="16"/>
          <w:szCs w:val="16"/>
          <w:color w:val="auto"/>
        </w:rPr>
      </w:pPr>
    </w:p>
    <w:p>
      <w:pPr>
        <w:jc w:val="both"/>
        <w:ind w:left="460" w:right="660" w:hanging="452"/>
        <w:spacing w:after="0" w:line="361"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 expense, are excluded.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2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compensation and benefits expense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$1,351,129</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$1,168,945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$1,194,168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2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Amendment of retirement policy (a)</w:t>
            </w:r>
          </w:p>
        </w:tc>
        <w:tc>
          <w:tcPr>
            <w:tcW w:w="25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(21,754)</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Cost saving initiatives (b)</w:t>
            </w:r>
          </w:p>
        </w:tc>
        <w:tc>
          <w:tcPr>
            <w:tcW w:w="3560" w:type="dxa"/>
            <w:vAlign w:val="bottom"/>
            <w:gridSpan w:val="3"/>
          </w:tcPr>
          <w:p>
            <w:pPr>
              <w:jc w:val="right"/>
              <w:ind w:right="140"/>
              <w:spacing w:after="0"/>
              <w:rPr>
                <w:sz w:val="20"/>
                <w:szCs w:val="20"/>
                <w:color w:val="auto"/>
              </w:rPr>
            </w:pPr>
            <w:r>
              <w:rPr>
                <w:rFonts w:ascii="Arial" w:cs="Arial" w:eastAsia="Arial" w:hAnsi="Arial"/>
                <w:sz w:val="18"/>
                <w:szCs w:val="18"/>
                <w:color w:val="auto"/>
              </w:rPr>
              <w:t>(99,987)</w:t>
            </w:r>
          </w:p>
        </w:tc>
        <w:tc>
          <w:tcPr>
            <w:tcW w:w="42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 (c)</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(4,040)</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(3,740)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(Charges) credits pertaining to Lazard Fund Interests (d)</w:t>
            </w:r>
          </w:p>
        </w:tc>
        <w:tc>
          <w:tcPr>
            <w:tcW w:w="25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(7,557)</w:t>
            </w: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3,024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2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1,217,791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1,168,229</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1,166,210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Deduct – amortization of incentive compensation awards</w:t>
            </w:r>
          </w:p>
        </w:tc>
        <w:tc>
          <w:tcPr>
            <w:tcW w:w="25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(334,796)</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(289,366)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cash compensation and benefits expense (e)</w:t>
            </w:r>
          </w:p>
        </w:tc>
        <w:tc>
          <w:tcPr>
            <w:tcW w:w="2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882,995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878,863</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Add:</w:t>
            </w:r>
          </w:p>
        </w:tc>
        <w:tc>
          <w:tcPr>
            <w:tcW w:w="2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Year-end deferred incentive compensation awards (f)</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272,391</w:t>
            </w:r>
          </w:p>
        </w:tc>
        <w:tc>
          <w:tcPr>
            <w:tcW w:w="2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282,418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Sign-on and other special incentive awards (g)</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42,088</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39,941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Deduct – adjustment for estimated forfeitures (h)</w:t>
            </w:r>
          </w:p>
        </w:tc>
        <w:tc>
          <w:tcPr>
            <w:tcW w:w="3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(27,360)</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(28,045)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adjustments (i)</w:t>
            </w:r>
          </w:p>
        </w:tc>
        <w:tc>
          <w:tcPr>
            <w:tcW w:w="2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(4,620)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Awarded compensation and benefits expense</w:t>
            </w:r>
          </w:p>
        </w:tc>
        <w:tc>
          <w:tcPr>
            <w:tcW w:w="25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1,171,468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1,168,557</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1,221,127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2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20" w:type="dxa"/>
            <w:vAlign w:val="bottom"/>
            <w:gridSpan w:val="2"/>
            <w:vMerge w:val="continue"/>
          </w:tcPr>
          <w:p>
            <w:pPr>
              <w:spacing w:after="0"/>
              <w:rPr>
                <w:sz w:val="17"/>
                <w:szCs w:val="17"/>
                <w:color w:val="auto"/>
              </w:rPr>
            </w:pPr>
          </w:p>
        </w:tc>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as a % of Operating Revenue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61.8%</w:t>
            </w:r>
          </w:p>
        </w:tc>
        <w:tc>
          <w:tcPr>
            <w:tcW w:w="1840" w:type="dxa"/>
            <w:vAlign w:val="bottom"/>
            <w:gridSpan w:val="3"/>
          </w:tcPr>
          <w:p>
            <w:pPr>
              <w:jc w:val="right"/>
              <w:ind w:right="480"/>
              <w:spacing w:after="0"/>
              <w:rPr>
                <w:sz w:val="20"/>
                <w:szCs w:val="20"/>
                <w:color w:val="auto"/>
              </w:rPr>
            </w:pPr>
            <w:r>
              <w:rPr>
                <w:rFonts w:ascii="Arial" w:cs="Arial" w:eastAsia="Arial" w:hAnsi="Arial"/>
                <w:sz w:val="18"/>
                <w:szCs w:val="18"/>
                <w:color w:val="auto"/>
              </w:rPr>
              <w:t>62.0%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Awarded compensation and benefits expense,</w:t>
            </w:r>
          </w:p>
        </w:tc>
        <w:tc>
          <w:tcPr>
            <w:tcW w:w="2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a % of Operating Revenue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59.4%</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60" w:type="dxa"/>
            <w:vAlign w:val="bottom"/>
            <w:vMerge w:val="restart"/>
          </w:tcPr>
          <w:p>
            <w:pPr>
              <w:jc w:val="right"/>
              <w:ind w:right="1692"/>
              <w:spacing w:after="0"/>
              <w:rPr>
                <w:sz w:val="20"/>
                <w:szCs w:val="20"/>
                <w:color w:val="auto"/>
              </w:rPr>
            </w:pPr>
            <w:r>
              <w:rPr>
                <w:rFonts w:ascii="Arial" w:cs="Arial" w:eastAsia="Arial" w:hAnsi="Arial"/>
                <w:sz w:val="18"/>
                <w:szCs w:val="18"/>
                <w:color w:val="auto"/>
              </w:rPr>
              <w:t>45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acceleration of amortization expense in connection with the vesting of share-based incentive compensation awards related to the amendment of the Company’s retirement policy.</w:t>
      </w:r>
    </w:p>
    <w:p>
      <w:pPr>
        <w:ind w:left="460" w:right="22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expenses related to the first quarter 2012 staff reductions and the fourth quarter 2012 cost saving initiatives for (i) severance costs and benefit payments and (ii) the acceleration of unrecognized amortization expense of deferred incentive compensation previously granted to individuals whose employment is being terminated.</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base salaries and benefits of $515,822, $506,490 and $452,893 for 2012, 2011 and 2010, respectively, and cash incentive compensation of $367,173, $372,373 and $472,784 for the respective years.</w:t>
      </w:r>
    </w:p>
    <w:p>
      <w:pPr>
        <w:ind w:left="460" w:right="40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Grant date fair value of deferred incentive compensation awards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w:t>
      </w:r>
    </w:p>
    <w:p>
      <w:pPr>
        <w:ind w:left="460" w:right="2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 end incentive compensation awards.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8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7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Non-Compensation Expense</w:t>
            </w: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$429,075</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$412,724</w:t>
            </w: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$370,214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960" w:type="dxa"/>
            <w:vAlign w:val="bottom"/>
            <w:gridSpan w:val="2"/>
          </w:tcPr>
          <w:p>
            <w:pPr>
              <w:jc w:val="right"/>
              <w:ind w:right="132"/>
              <w:spacing w:after="0"/>
              <w:rPr>
                <w:sz w:val="20"/>
                <w:szCs w:val="20"/>
                <w:color w:val="auto"/>
              </w:rPr>
            </w:pPr>
            <w:r>
              <w:rPr>
                <w:rFonts w:ascii="Arial" w:cs="Arial" w:eastAsia="Arial" w:hAnsi="Arial"/>
                <w:sz w:val="18"/>
                <w:szCs w:val="18"/>
                <w:color w:val="auto"/>
              </w:rPr>
              <w:t>(2,558)</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(2,008)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(2,905)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(b)</w:t>
            </w:r>
          </w:p>
        </w:tc>
        <w:tc>
          <w:tcPr>
            <w:tcW w:w="960" w:type="dxa"/>
            <w:vAlign w:val="bottom"/>
            <w:gridSpan w:val="2"/>
          </w:tcPr>
          <w:p>
            <w:pPr>
              <w:jc w:val="right"/>
              <w:ind w:right="132"/>
              <w:spacing w:after="0"/>
              <w:rPr>
                <w:sz w:val="20"/>
                <w:szCs w:val="20"/>
                <w:color w:val="auto"/>
              </w:rPr>
            </w:pPr>
            <w:r>
              <w:rPr>
                <w:rFonts w:ascii="Arial" w:cs="Arial" w:eastAsia="Arial" w:hAnsi="Arial"/>
                <w:sz w:val="18"/>
                <w:szCs w:val="18"/>
                <w:color w:val="auto"/>
              </w:rPr>
              <w:t>(2,589)</w:t>
            </w: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relating to U.K. lease (c)</w:t>
            </w:r>
          </w:p>
        </w:tc>
        <w:tc>
          <w:tcPr>
            <w:tcW w:w="9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(5,539)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Provision relating to LAI option (c)</w:t>
            </w:r>
          </w:p>
        </w:tc>
        <w:tc>
          <w:tcPr>
            <w:tcW w:w="9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(5,500)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421,023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399,677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368,210</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3"/>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2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Non-compensation costs associated with the first quarter 2012 staff reductions and the fourth quarter 2012 cost saving initiatives are excluded to enhance comparability of adjusted non-compensation expense between present, historical and future periods.</w:t>
      </w:r>
    </w:p>
    <w:p>
      <w:pPr>
        <w:ind w:left="460" w:right="320" w:hanging="452"/>
        <w:spacing w:after="0" w:line="323"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charges are excluded due to the non-recurring nature of such items and to enhance comparability of adjusted non-compensation expense between present, historical and future periods (see Notes 12 and 19 of Notes to Consolidated Financial Statements).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center"/>
              <w:ind w:left="39"/>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From Operations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12"/>
              <w:spacing w:after="0"/>
              <w:rPr>
                <w:sz w:val="20"/>
                <w:szCs w:val="20"/>
                <w:color w:val="auto"/>
              </w:rPr>
            </w:pPr>
            <w:r>
              <w:rPr>
                <w:rFonts w:ascii="Arial" w:cs="Arial" w:eastAsia="Arial" w:hAnsi="Arial"/>
                <w:sz w:val="18"/>
                <w:szCs w:val="18"/>
                <w:color w:val="auto"/>
                <w:w w:val="94"/>
              </w:rPr>
              <w:t>1,970,816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1,883,869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1,978,523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w w:val="89"/>
              </w:rPr>
              <w:t>(1,217,791)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(1,168,229)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w w:val="89"/>
              </w:rPr>
              <w:t>(1,166,210)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(421,023)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(399,677)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(368,210)</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12"/>
              <w:spacing w:after="0"/>
              <w:rPr>
                <w:sz w:val="20"/>
                <w:szCs w:val="20"/>
                <w:color w:val="auto"/>
              </w:rPr>
            </w:pPr>
            <w:r>
              <w:rPr>
                <w:rFonts w:ascii="Arial" w:cs="Arial" w:eastAsia="Arial" w:hAnsi="Arial"/>
                <w:sz w:val="18"/>
                <w:szCs w:val="18"/>
                <w:color w:val="auto"/>
              </w:rPr>
              <w:t>332,002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315,963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444,103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5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11"/>
          </w:tcPr>
          <w:p>
            <w:pPr>
              <w:jc w:val="right"/>
              <w:ind w:right="9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21 of Notes to Consolidated Financial Statements for additional financial information on a geographic basis.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4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2012(a)</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6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1,108</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1,092</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1,165</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1,197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1,131</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2,513</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2,511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2,332</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full impact of recent headcount reductions will not be reflected until some time during 2013, which impact could be offset in part by investments.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2012 of $84 million, as compared to net income of $175 million in 2011. The changes in the Company’s operating results during these years are described below.</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Net revenue in 2012 increased $83 million, or 5%, with operating revenue increasing $87 million, or 5%, respectively, as compared to 2011. Fee revenue from investment banking and other advisory activities increased $69 million, or 7%, primarily due to an increase in M&amp;A and Other Advisory fees, partially offset by a decrease in Restructuring fees. The increase in M&amp;A and Other Advisory fee revenue was primarily driven by the strong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performance of Lazard Middle Market and the overall breadth and volume of our global M&amp;A and Sovereign Advisory businesses. Higher fees were earned from our top 10 clients during 2012, reflecting the closing of several significant M&amp;A and Sovereign Advisory transactions. The decrease in Restructuring fee revenue was generally in line with the industry-wide low level of corporate restructuring activity. Money management fees decreased $1 million during 2012. In the aggregate, interest income, other revenue and interest expense reflected an increase in net revenue of $15 million as compared to 2011. Such increase was principally due to increases in investment income (including a gain relating to the increase in market value of investments underlying Lazard Fund Interests, which are equally offset by a corresponding increase in compensation and benefits expense), that was partially offset by decreases in other revenue due to the $18 million gain on the repurchase of the Company’s subordinated promissory note in 2011, as well as decreases in referral fees from LFCM Holdings and commissions.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Compensation and benefits expense in 2012 increased $182 million, or 16%, compared to 2011, which, in part, reflected a $22 million first quarter 2012 charge associated with staff reductions and a fourth quarter 2012 charge of $100 million related to the cost saving initiatives. Such charges primarily relate to severance costs and benefit payments, with $8 million and $22 million of the respective charges relating to the acceleration of unrecognized amortization expense of deferred incentive compensation previously granted to individuals being terminated. Amortization expense of previously granted deferred incentive compensation awards related to 2008 deferred compensation (the “2008 grant”), which had a comparatively longer, four year vesting period, also contributed to the increase.</w:t>
      </w:r>
    </w:p>
    <w:p>
      <w:pPr>
        <w:spacing w:after="0" w:line="14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Adjusted compensation and benefits expense (which excludes certain items which we believe allows for improved comparability between years, as described above), was $1.218 billion in 2012, an increase of $50 million, or 4%, when compared to $1.168 billion in 2011. The ratio of adjusted compensation and benefits expense to operating revenue was reduced to 61.8% for 2012 as compared to 62.0% for 2011, despite the 5% increase in operating revenue during the same period. In 2012, amortization expense relating to the 2008 Grant represented approximately 2.0% of operating revenue. As described above, when analyzing compensation and benefits expense on a full year basis, we believe that awarded compensation and benefits expense provides the most meaningful basis for comparison of compensation and benefits expense between present, historical and future years. Awarded compensation and benefits expense in 2012 of $1.171 billion remained substantially unchanged when compared to $1.169 billion for 2011, despite the 5% increase in operating revenue during the same period. The ratio of awarded compensation and benefits expense to operating revenue was reduced to 59.4% in 2012 as compared to 62.0% for 2011. The grant date fair value of year-end deferred incentive compensation awards for 2012 was $272 million, representing a $10 million, or 4%, decrease compared to 2011.</w:t>
      </w:r>
    </w:p>
    <w:p>
      <w:pPr>
        <w:spacing w:after="0" w:line="10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Amortization of deferred incentive compensation awards, excluding the above-mentioned charges of $8 million and $22 million relating to the first quarter 2012 staff reductions and fourth quarter 2012 cost saving initiatives, respectively, was $335 million in 2012, as compared to $289 million in 2011. Amortization expense during 2012 included approximately $40 million related to the 2008 grant, which had a four year vesting period, and is the only outstanding grant with a vesting period in excess of three years. For the full year of 2013, we currently expect that amortization expense will approximate $300 million, a decrease of $35 million as compared to 2012. The expected reduction is primarily related to the full vesting of the 2008 grant in early 2013.</w:t>
      </w:r>
    </w:p>
    <w:p>
      <w:pPr>
        <w:spacing w:after="0" w:line="11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Non-compensation expense in 2012 increased $16 million, or 4%, as compared to 2011. Non-compensation expense in 2012 included a first quarter charge of $3 million associated with the staff reductions and a fourth quarter charge of an additional $3 million related to the cost saving initiatives, while the fourth quarter of 2011 included aggregate charges of $11 million related to the Company’s leased facilities in the U.K. and the write-off of the capitalized costs related to the Company’s option to acquire the fund management activities of Lazard Alternative Investment Holdings LLC (“LAI”). When excluding such charges, as well as non-compensation costs relating to noncontrolling interests, adjusted non-compensation expense in 2012 increased $21 million, or 5%, primarily attributable to</w:t>
      </w:r>
    </w:p>
    <w:p>
      <w:pPr>
        <w:spacing w:after="0" w:line="2" w:lineRule="exact"/>
        <w:rPr>
          <w:sz w:val="20"/>
          <w:szCs w:val="20"/>
          <w:color w:val="auto"/>
        </w:rPr>
      </w:pPr>
    </w:p>
    <w:p>
      <w:pPr>
        <w:ind w:right="600" w:firstLine="8"/>
        <w:spacing w:after="0" w:line="261"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occupancy costs in 2012 as a result of our amended lease and associated build-out costs of our Rockefeller Center facility, (ii) deal-related costs specifically related to transactions that closed in 2012 and (iii)</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investments in technology, with such increased costs partially offset by decreased professional fees, mutual fund servicing fees, travel and other expenses. The ratio of adjusted non-compensation expense to operating revenue was 21.4% in 2012 versus 21.2% for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$4 million, or 30%, as compared to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provision pursuant to the tax receivable agreement in 2012 was required, as compared to $0.4 million for 2011.</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income in 2012 (including the charges that are described above relating to staff reductions and cost saving initiatives aggregating $25 million and $103 million, respectively) decreased $112 million, or 47%, as compared to operating income in 2011. Operating income, as a percentage of net revenue, was 6.5%, as compared to 12.9% in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Earnings from operations increased $16 million, or 5%, when compared to 2011, and, as a percentage of operating revenue, was 16.8% in both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provision for income taxes decreased $14 million, or 31%, when compared to 2011, and reflected an effective tax rate of 25.1% as compared to 19.1% for 2011. The increase in the effective tax rate is primarily reflective of the geographic mix of earnings.</w:t>
      </w:r>
    </w:p>
    <w:p>
      <w:pPr>
        <w:spacing w:after="0" w:line="132"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$7 million in 2012 due to a lower level of income and a decrease in the level of noncontrolling ownership interest.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both 2011 and 2010 of $175 million. The changes in the Company’s operating results during these years are described below.</w:t>
      </w:r>
    </w:p>
    <w:p>
      <w:pPr>
        <w:spacing w:after="0" w:line="132"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Net revenue decreased by $76 million, or 4%, with operating revenue decreasing by $95 million, or 5%, as compared to 2010. Fees from investment banking and other advisory activities decreased $135 million, or 12%, reflecting the continued cyclical decline in restructuring activity and the number of corporate debt defaults, as well as a slowdown in overall M&amp;A activity. Money management fees, including incentive fees, increased $47 million, or 6%, principally reflecting a $15 billion, or 11%, increase in average AUM for 2011, partially offset by a $60 million, or 70%, decline in incentive fees earned. In the aggregate, interest income, other revenue and interest expense reflected an increase in net revenue of $12 million as compared to 2010. The increase was primarily due to a gain of $18 million related to the repurchase of the Company’s subordinated promissory note in 2011, as well as decreases in interest expense reflecting the repurchase of the subordinated promissory note. Such increases were partially offset by decreases in referral fees from LFCM Holdings, foreign exchange gains, commission revenue and net investment losses in 2011 (including a loss related to the decline in market value of investments underlying Lazard Fund Interests, which was equally offset by a corresponding reduction in compensation and benefits expense), as compared to net investment gains in 2010.</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Compensation and benefits expense in 2011 was $1.169 billion, as compared to $1.194 billion in 2010. The decrease of $25 million in 2011 was principally due to the costs associated with the acceleration of amortization expense recognized in the first quarter of 2010 in connection with the vesting of share-based incentive compensation awards related to the amendment of the Company’s retirement policy. Adjusted compensation and benefits expense (which excludes certain items, and which we believe allows for improved comparability between years as described above) was $1.168 billion in 2011, substantially unchanged when compared to $1.166 billion in 2010. The resulting ratios of adjusted compensation and benefits expense to operating revenue were 62.0% and 58.9% for 2011 and 2010, respectively. The increase in the 2011 ratio reflects increases in base salaries of $53 million, or 11%, and amortization expense for deferred incentive compensation of $49 million, or 20%, which in the aggregate were offset by a decrease in cash incentive compensation of $100 million, or 21%.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described above, when analyzing compensation and benefits expense on a full year basis, we believe that awarded compensation and benefits expense provides the most meaningful basis for comparison of compensation and benefits expense between present, historical and future years. Awarded compensation and benefits expense in 2011 of $1.169 billion decreased $52 million, or 4.3%, when compared to $1.221 billion for 2010, roughly in line with the 5% decline in operating revenue, despite significant investments in new hires in both of our businesses. The resulting ratio of awarded compensation and benefits expense to operating revenue was substantially unchanged when comparing 2011 to 2010 at 62.0% and 61.7%, respectively. The grant date fair value of year-end deferred incentive compensation awards for 2011 was $282 million, representing a $10 million, or 4%, decrease compared to 2010.</w:t>
      </w:r>
    </w:p>
    <w:p>
      <w:pPr>
        <w:spacing w:after="0" w:line="120" w:lineRule="exact"/>
        <w:rPr>
          <w:sz w:val="20"/>
          <w:szCs w:val="20"/>
          <w:color w:val="auto"/>
        </w:rPr>
      </w:pPr>
    </w:p>
    <w:p>
      <w:pPr>
        <w:ind w:right="300" w:firstLine="456"/>
        <w:spacing w:after="0" w:line="302" w:lineRule="auto"/>
        <w:rPr>
          <w:sz w:val="20"/>
          <w:szCs w:val="20"/>
          <w:color w:val="auto"/>
        </w:rPr>
      </w:pPr>
      <w:r>
        <w:rPr>
          <w:rFonts w:ascii="Arial" w:cs="Arial" w:eastAsia="Arial" w:hAnsi="Arial"/>
          <w:sz w:val="15"/>
          <w:szCs w:val="15"/>
          <w:color w:val="auto"/>
        </w:rPr>
        <w:t>Non-compensation expense in 2011 was $413 million, an increase of $43 million, or 11%, as compared to $370 million in 2010. Non-compensation expense in the fourth quarter of 2011 included aggregate charges of $11 million relating to the Company’s leased facilities in the U.K. and the write-off of the capitalized costs related to the Company’s option to acquire the fund management activities of LAI (see Notes 12 and 19 of Notes to Consolidated Financial Statements). When excluding such charges, as well as non-compensation costs relating to noncontrolling interests, non-compensation expense increased by</w:t>
      </w:r>
    </w:p>
    <w:p>
      <w:pPr>
        <w:spacing w:after="0" w:line="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$31 million, or 9%, primarily reflecting (i) higher costs associated with investments in the business, including technology and related consulting, recruitment fees and, to a lesser extent, occupancy-related costs related to new and amended leases and (ii) increased costs related to a higher level of business activity, including transactional and AUM-based costs within our Asset Management business and travel expenditures in both our Financial Advisory and Asset Management businesses. The ratio of adjusted non-compensation expense to operating revenue was 21.2% in 2011 versus 18.6% for 2010.</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in 2011 increased by $4 million, primarily due to increased amortization relating to the Edgewater acquisition.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pursuant to the tax receivable agreement in 2011 was $0.4 million, as compared to $2 million for 2010.</w:t>
      </w:r>
    </w:p>
    <w:p>
      <w:pPr>
        <w:spacing w:after="0" w:line="17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Operating income in 2011 was $236 million, a decrease of $8 million, or 3%, as compared to operating income of $244 million in 2010 and, as a percentage of net revenue, was 12.9% and 12.8% in 2011 and 2010, respectively.</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Earnings from operations decreased $128 million, or 29%, when compared to 2010, and, as a percentage of operating revenue, was 16.8% as compared to 22.4% in 2010.</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provision for income taxes was $45 million and $49 million in 2011 and 2010, respectively, representing effective tax rates of 19.1% and 20.2% in 2011 and 2010, respectively.</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Net income attributable to noncontrolling interests was $16 million and $19 million in 2011 and 2010, respectively. The decrease of $3 million in 2011 principally reflects LAZ-MD Holdings’ reduced ownership interest in Lazard Group and a decrease in the noncontrolling interest relating to Edgewater.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792,928</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$700,539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73,403</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93,825</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866,331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794,364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182,759</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197,743</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1,049,090</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992,107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1,119,867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1,057,620</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929,688</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$ 62,419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168,899</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gridSpan w:val="3"/>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in 2012, $77,532 associated with the implementation of the cost saving initiatives and, in 2010, $19,571 associated with the amendment of the Company’s retirement policy. All years include indirect support costs (including compensation and benefits expense and other operating expenses related thereto).</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volume of completed industry-wide M&amp;A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While the industry statistics for global completed M&amp;A transactions described above reflect a 14% decrease in M&amp;A activity in 2012 as compared to 2011, our M&amp;A and Other Advisory revenue (which includes Sovereign and Government Advisory revenue) increased 13% in 2012 as compared to 2011.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196"/>
        </w:trPr>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 (a)</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(b)</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2012, 2011 or 2010.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Thomson Reuters as of January 11, 2013.</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increased $72 million, or 9%, and Restructuring revenue decreased $15 million, or 8%, as compared to 2011.</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M&amp;A and Other Advisory revenue increased $92 million, or 13%, as compared to 2011. Capital Raising revenue decreased $20 million, or 22%. The increase in M&amp;A and Other Advisory revenue was primarily due to the strong performance of Lazard Middle Market and a higher level of fees earned from our top 10 clients, reflecting the closing of several significant M&amp;A and Sovereign Advisory transactions. Our major clients, which in the aggregate represented 25% of our M&amp;A and Other Advisory revenue for the year, included Aeroporti di Roma, Azur Pharm, BTA Bank JSC, Caisse des Dépôts, Delphi Financial Group, GlaxoSmithKline, Google, Government of Greece, Medco Health Solutions, Pireaus Bank and Progress Energy. The decrease in Capital Raising revenue in 2012 was primarily attributable to a decrease in referral fees from LFCM Holdings and a decrease in private placement activity.</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in 2012 was generally in line with the industry-wide low level of corporate restructuring activity. Notable assignments completed in 2012 included assignments for Cemex, Eastman Kodak, Lehman Brothers, NewPage Corporation and Tribune Company.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Operating expenses increased $128 million, or 14%, as compared to 2011. The primary contributors to the increase were a fourth quarter 2012 charge aggregating $78 million related to the cost saving initiatives, as well as higher levels of compensation and benefits expense (see the discussion regarding compensation and benefits expense described above under “Operating Results–Year Ended December 31, 2012 versus December 31, 2011”), transaction-related third party fees specifically related to transactions that closed in 2012 and occupancy costs as a result of our amended lease and associated buildout costs of our Rockefeller Center facility.</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Financial Advisory operating loss in 2012 was $9 million (with such amount including the impact of the $78 million charge related to the cost saving initiatives), a decrease of $71 million as compared to operating income of $62 million in 2011 and, as a percentage of net revenue, was (0.8)% as compared to 6.3% in 2011. Excluding the impact of such charge in 2012, operating income in 2012 was $69 million, an increase of $7 million, or 11%, as compared to operating income of $62 million in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Strategic Advisory net revenue in 2011, representing fees from M&amp;A and Other Advisory and Capital Raising businesses, decreased $32 million, or 4%, and Restructuring revenue declined $96 million, or 33%, as compared to 2010.</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M&amp;A and Other Advisory revenue in 2011 decreased $14 million, or 2%. Capital Raising revenue in 2011 decreased $18 million, or 16%. The decrease in M&amp;A and Other Advisory revenue in 2011 was principally due to a general slowdown in activity and resulted in lower average fees per M&amp;A and Other Advisory transaction. Our major clients, which in the aggregate represented 25% of our M&amp;A and Other Advisory revenue for the year, included Atria Senior Living Group, Clayton Dubilier &amp; Rice, IBM, Landis + Gyr, Parmalat Spa, Progress Energy, Qwest Communications International, Royalty Pharmaceuticals, Smurfit Stone Container and Weather Investments. The decrease in Capital Raising revenue in 2011 was primarily attributable to a lower level of closings by our Private Fund Advisory group.</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decline in Restructuring revenue was driven by a cyclical decline in global restructuring activity, resulting in a lower number of active assignments in 2011, as compared to the prior year, and a corresponding decrease in completion fees. Notable assignments completed in 2011 included Energy Alloys, Nortel Networks, Station Casinos and Westgate Resorts.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Operating expenses decreased $21 million, or 2%, as compared to 2010, primarily due to a $20 million charge relating to the acceleration of amortization expense recognized in the first quarter of 2010 in connection with the vesting of share-based incentive compensation awards related to the amendment of the Company’s retirement policy. Excluding such item, operating expenses were substantially unchanged when compared to 2010. Declines in compensation and benefits expense in 2011 were offset by higher costs principally related to travel and recruiting expenses.</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Financial Advisory operating income in 2011 was $62 million, a decrease of $107 million, as compared to operating income of $169 million in 2010 (with such latter amount including the impact of the $20 million charge described above) and, as a percentage of net revenue, was 6.3% as compared to 15.1% in 2010. Excluding the impact of such charge in 2010, operating income in 2011 decreased $126 million, as compared to operating income of $188 million in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International Equities</w:t>
            </w:r>
          </w:p>
        </w:tc>
        <w:tc>
          <w:tcPr>
            <w:tcW w:w="4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35,919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27,599</w:t>
            </w:r>
          </w:p>
        </w:tc>
        <w:tc>
          <w:tcPr>
            <w:tcW w:w="2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32,037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77,965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Equities</w:t>
            </w:r>
          </w:p>
        </w:tc>
        <w:tc>
          <w:tcPr>
            <w:tcW w:w="4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4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138,171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116,362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12,293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U.S. Fixed Income</w:t>
            </w:r>
          </w:p>
        </w:tc>
        <w:tc>
          <w:tcPr>
            <w:tcW w:w="4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4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Cash Management</w:t>
            </w:r>
          </w:p>
        </w:tc>
        <w:tc>
          <w:tcPr>
            <w:tcW w:w="4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4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167,060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141,039</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155,337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260" w:type="dxa"/>
            <w:vAlign w:val="bottom"/>
            <w:vMerge w:val="restart"/>
          </w:tcPr>
          <w:p>
            <w:pPr>
              <w:jc w:val="right"/>
              <w:ind w:right="2652"/>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Average AUM for the years ended December 31, 2012, 2011 and 2010 is set forth below. Average AUM is generally based on an average of quarterly ending balances for the respective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3"/>
          </w:tcPr>
          <w:p>
            <w:pPr>
              <w:jc w:val="center"/>
              <w:ind w:left="6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$ 155,549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$ 152,072</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$ 137,381</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Total AUM at December 31, 2012 increased $26 billion, or 18%, as compared to total AUM of $141 billion at December 31, 2011, primarily due to market appreciation. Average AUM for the year ended December 31, 2012 was 2% higher than that for 2011. International, Global and U.S. equities represented 22%, 49% and 12% of total AUM at December 31, 2012, substantially unchanged from the respective percentages at December 31, 2011.</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Total AUM at December 31, 2011 decreased $14 billion, or 9%, as compared to total AUM of $155 billion at December 31, 2010, primarily due to market depreciation and, to a lesser extent, the negative impact of the stronger U.S. Dollar versus foreign currencies. However, average AUM for the year ended December 31, 2011 was 11% higher than that for 2010. International, Global and U.S. equities represented 20%, 49% and 14% of total AUM at December 31, 2011, substantially unchanged from the respective percentages at December 31, 2010.</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As of December 31, 2012, approximately 91% of our AUM was managed on behalf of institutional clients, including corporations, labor unions, public pension funds, insurance companies and banks, and through sub-advisory relationships, mutual fund sponsors, broker-dealers and registered advisors, and approximately 9% of our AUM was managed on behalf of individual client relationships, which are principally with family offices and individuals, with such percentages substantially unchanged from the corresponding percentages at December 31, 2011.</w:t>
      </w:r>
    </w:p>
    <w:p>
      <w:pPr>
        <w:spacing w:after="0" w:line="11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December 31, 2012, AUM denominated in foreign currencies represented approximately 62% of our total AUM, as compared to 61% at December 31, 2011. Foreign denominated AUM generally declines in value with the strengthening of the U.S. Dollar and increases in value as the U.S. Dollar weakens.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years ended December 31, 2012,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bottom w:val="single" w:sz="8" w:color="auto"/>
            </w:tcBorders>
            <w:gridSpan w:val="2"/>
          </w:tcPr>
          <w:p>
            <w:pPr>
              <w:jc w:val="center"/>
              <w:ind w:left="364"/>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$141,039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$129,543</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680" w:type="dxa"/>
            <w:vAlign w:val="bottom"/>
          </w:tcPr>
          <w:p>
            <w:pPr>
              <w:jc w:val="right"/>
              <w:spacing w:after="0"/>
              <w:rPr>
                <w:sz w:val="20"/>
                <w:szCs w:val="20"/>
                <w:color w:val="auto"/>
              </w:rPr>
            </w:pPr>
            <w:r>
              <w:rPr>
                <w:rFonts w:ascii="Arial" w:cs="Arial" w:eastAsia="Arial" w:hAnsi="Arial"/>
                <w:sz w:val="18"/>
                <w:szCs w:val="18"/>
                <w:color w:val="auto"/>
              </w:rPr>
              <w:t>2,741</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(1,048)</w:t>
            </w:r>
          </w:p>
        </w:tc>
        <w:tc>
          <w:tcPr>
            <w:tcW w:w="660" w:type="dxa"/>
            <w:vAlign w:val="bottom"/>
          </w:tcPr>
          <w:p>
            <w:pPr>
              <w:jc w:val="right"/>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18"/>
                <w:szCs w:val="18"/>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16,448</w:t>
            </w:r>
          </w:p>
        </w:tc>
        <w:tc>
          <w:tcPr>
            <w:tcW w:w="100" w:type="dxa"/>
            <w:vAlign w:val="bottom"/>
            <w:shd w:val="clear" w:color="auto" w:fill="CCEEFF"/>
          </w:tcPr>
          <w:p>
            <w:pPr>
              <w:spacing w:after="0"/>
              <w:rPr>
                <w:sz w:val="18"/>
                <w:szCs w:val="18"/>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AUM—End of Year</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167,060</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141,039</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155,337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inflows of $27,343, $24,114 and $34,161 and outflows of $24,602, $25,162 and $24,815 for the years ended December 31, 2012, 2011 and 2010, respectively.</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year ended December 31, 2012, most of the inflows were attributable to International Equities and Emerging Markets Debt products, primarily due to increased investments in existing accounts, as well as new accounts. Most of the outflows in 2012 were attributable to Emerging Markets, U.S. and Global Thematic Equity products, due to withdrawals from existing accounts.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year ended December 31, 2011, most of the inflows were attributable to Global Equities and resulted from increased investments in existing accounts, as well as new accounts gained. Most of the outflows in 2011 were attributable to Global and International Equities and, to a lesser extent, International and U.S. Fixed Income products.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February 17, 2013, AUM was $172.6 billion, a $5.5 billion increase since December 31, 2012. The increase in AUM was due to market and foreign exchange appreciation of $6.0 billion, partially offset by net outflows of $0.5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421"/>
              <w:spacing w:after="0" w:line="142"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2940" w:type="dxa"/>
            <w:vAlign w:val="bottom"/>
            <w:gridSpan w:val="3"/>
          </w:tcPr>
          <w:p>
            <w:pPr>
              <w:jc w:val="right"/>
              <w:ind w:right="220"/>
              <w:spacing w:after="0"/>
              <w:rPr>
                <w:sz w:val="20"/>
                <w:szCs w:val="20"/>
                <w:color w:val="auto"/>
              </w:rPr>
            </w:pPr>
            <w:r>
              <w:rPr>
                <w:rFonts w:ascii="Arial" w:cs="Arial" w:eastAsia="Arial" w:hAnsi="Arial"/>
                <w:sz w:val="18"/>
                <w:szCs w:val="18"/>
                <w:color w:val="auto"/>
              </w:rPr>
              <w:t>$806,044</w:t>
            </w:r>
          </w:p>
        </w:tc>
        <w:tc>
          <w:tcPr>
            <w:tcW w:w="1880" w:type="dxa"/>
            <w:vAlign w:val="bottom"/>
            <w:gridSpan w:val="3"/>
          </w:tcPr>
          <w:p>
            <w:pPr>
              <w:jc w:val="right"/>
              <w:ind w:right="720"/>
              <w:spacing w:after="0"/>
              <w:rPr>
                <w:sz w:val="20"/>
                <w:szCs w:val="20"/>
                <w:color w:val="auto"/>
              </w:rPr>
            </w:pPr>
            <w:r>
              <w:rPr>
                <w:rFonts w:ascii="Arial" w:cs="Arial" w:eastAsia="Arial" w:hAnsi="Arial"/>
                <w:sz w:val="18"/>
                <w:szCs w:val="18"/>
                <w:color w:val="auto"/>
              </w:rPr>
              <w:t>$818,038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$715,885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43,661</w:t>
            </w: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26,245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2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46,555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53,118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896,260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897,401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659,502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w w:val="98"/>
              </w:rPr>
              <w:t>628,945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584,348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236,758</w:t>
            </w:r>
          </w:p>
        </w:tc>
        <w:tc>
          <w:tcPr>
            <w:tcW w:w="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268,456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265,314</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3"/>
            <w:vMerge w:val="continue"/>
          </w:tcPr>
          <w:p>
            <w:pPr>
              <w:spacing w:after="0"/>
              <w:rPr>
                <w:sz w:val="18"/>
                <w:szCs w:val="18"/>
                <w:color w:val="auto"/>
              </w:rPr>
            </w:pPr>
          </w:p>
        </w:tc>
        <w:tc>
          <w:tcPr>
            <w:tcW w:w="2940" w:type="dxa"/>
            <w:vAlign w:val="bottom"/>
            <w:gridSpan w:val="3"/>
          </w:tcPr>
          <w:p>
            <w:pPr>
              <w:jc w:val="right"/>
              <w:ind w:right="80"/>
              <w:spacing w:after="0"/>
              <w:rPr>
                <w:sz w:val="20"/>
                <w:szCs w:val="20"/>
                <w:color w:val="auto"/>
              </w:rPr>
            </w:pPr>
            <w:r>
              <w:rPr>
                <w:rFonts w:ascii="Arial" w:cs="Arial" w:eastAsia="Arial" w:hAnsi="Arial"/>
                <w:sz w:val="18"/>
                <w:szCs w:val="18"/>
                <w:color w:val="auto"/>
              </w:rPr>
              <w:t>26.4%</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29.9%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2012, includes $12,789 associated with the implementation of the cost saving initiatives and, in 2010, $2,902 associated with the amendment of the Company’s retirement policy. All years include indirect support costs (including compensation and benefits expense and other operating expenses related thereto).</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top ten clients accounted for 23%, 22% and 22% of our total AUM at December 31, 2012, 2011 and 2010, respectively, and no individual client constituted more than 10% of our Asset Management segment net revenue during any of the respective years.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Asset Management net revenue decreased $1 million as compared to 2011. Management fees decreased $12 million, or 1%, as compared to 2011, primarily driven by a change in the product mix of average AUM, partially offset by a 2% increase in average AUM. Incentive fees increased $17 million, or 66%, as compared to 2011, primarily due to fees related to alternative investment products. Other revenue decreased $7 million, or 12%, as compared to 2011, primarily due to a decline in commissions from an unusually strong 2011.</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Operating expenses increased $31 million, or 5%, as compared to 2011, due to a fourth quarter 2012 charge aggregating $13 million related to the cost saving initiatives, as well as an increase in compensation and benefits expense (see the discussion regarding compensation and benefits expense described above under “Operating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Results—Year Ended December 31, 2012 versus December 31, 2011”) and higher occupancy costs in 2012 associated with our amended lease and build-out costs of our Rockefeller Center facility. These increases were partially offset by lower professional fees and fees for fund administration.</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Asset Management operating income in 2012 was $237 million (including the impact of the $13 million charge related to the cost saving initiatives), a decrease of $31 million, or 12%, as compared to operating income of $268 million in 2011 and, as a percentage of net revenue, was 26.4% as compared to 29.9% in 2011. Excluding the impact of such charge in 2012, operating income in 2012 was $250 million, a decrease of $18 million, or 7%, as compared to operating income of $268 million in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Asset Management net revenue in 2011 increased $48 million, or 6%, as compared to 2010. Management fees increased $102 million, or 14%, as compared to 2010, driven primarily by an 11% increase in average AUM, as well as a favorable change in the mix of average AUM into higher margin equity products. Incentive fees, consisting of traditional long-only and alternative investment strategies, decreased $60 million, or 70%, as compared to 2010, principally due to difficult market conditions. Other income increased $6 million, or 12%, as compared to 2010, primarily due to increased interest, commission and custody fee income.</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Operating expenses in 2011 increased $45 million, or 8%, as compared to 2010. The principal contributors to the increase were higher fees for fund administration and outsourced services and increased business development expenses for travel and market related data due to the increased level of business activity, transactions and average AUM and higher compensation expense.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Asset Management operating income in 2011 was $268 million, an increase of $3 million, as compared to operating income of $265 million in 2010 (with such latter amount including a $3 million charge related to the acceleration of amortization expense recognized in the first quarter of 2010 in connection with the vesting of share-based incentive compensation awards related to the amendment of the Company’s retirement policy) and, as a percentage of net revenue, was 29.9%, as compared to 31.2% in 2010. Excluding the impact of the $3 million charge described above, operating income in 2011 was substantially unchanged from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(81,515)</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(87,981)</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(95,756)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(77,801)</w:t>
            </w:r>
          </w:p>
        </w:tc>
        <w:tc>
          <w:tcPr>
            <w:tcW w:w="1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(81,662)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Revenue</w:t>
            </w:r>
          </w:p>
        </w:tc>
        <w:tc>
          <w:tcPr>
            <w:tcW w:w="3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44,899</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(32,902)</w:t>
            </w:r>
          </w:p>
        </w:tc>
        <w:tc>
          <w:tcPr>
            <w:tcW w:w="1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(59,996)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3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71,441</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(104,343)</w:t>
            </w:r>
          </w:p>
        </w:tc>
        <w:tc>
          <w:tcPr>
            <w:tcW w:w="1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(95,376)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(190,563)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80" w:type="dxa"/>
            <w:vAlign w:val="bottom"/>
            <w:vMerge w:val="restart"/>
          </w:tcPr>
          <w:p>
            <w:pPr>
              <w:jc w:val="right"/>
              <w:ind w:right="1852"/>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versus December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$4 million, or 5%, as compared to 2011.</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Other revenue increased $23 million, primarily due to increased net investment gains in 2012, including an increase in the gain in the value of investments held in connection with Lazard Fund Interests of $11 million, partially offset by an $18 million gain in 2011 on the repurchase of the Company’s subordinated promissory note.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expenses in 2012 (including the above-mentioned $25 million charge in the first quarter of 2012 relating to staff reductions and a fourth quarter 2012 charge aggregating $12 million related to the cost saving initiatives) increased $36 million. Excluding the impact of such charges, as well as aggregate charges of $11 million in 2011 relating to the Company’s leased facilities in the U.K. and the write-off of the capitalized costs relating to the Company’s option to acquire the fund management activities of LAI, operating expenses in 2012 increased $11 million, or 42%, as compared to 2011, primarily relating to (i) occupancy costs, as a result of our amended lease and associated build-out costs of our Rockefeller Center facility, (ii) compensation and benefits expense, including an increase in expense associated with Lazard Fund Interests and (iii) technology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increased $2 million, or 2%, as compared to 2010.</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revenue in 2011 increased $6 million, or 36%, and includes a pre-tax gain of $18 million related to the Company’s repurchase of its subordinated promissory note, partially offset by investment losses of $12 million.</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Operating expenses in 2011 decreased $91 million, primarily related to the net adverse impact of an aggregate $81 million of charges in 2010 regarding (i) the acceleration of amortization expense of $2 million in 2010 in connection with the vesting of share-based incentive compensation awards related to the amendment of the Company’s retirement policy and (ii) an $87 million restructuring charge in 2010, with items (i) and (ii) partially offset by a benefit pursuant to the tax receivable agreement. When excluding such 2010 charges, operating expenses in 2011 decreased $10 million, or 23%, primarily due to lower compensation, lower expenses related to secondary offerings in 2010 and a lower provision related to the tax receivable agreement. Such decreases were partially offset by expenses in the fourth quarter of 2011 related to the U.K. lease write-off and the write-off of the capitalized costs related to our option to acquire the fund management activities of LAI.</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and, in 2011, repurchases of debt.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the fourth quarter of 2012, the Company (i) made cash payments, including severance payments, associated with the cost saving initiatives announced in October 2012 (see “Cost Saving Initiatives” above and Note 16 of Notes to Consolidated Financial Statements), with additional cash payments expected to be paid during the first half of 2013, (ii) paid a special dividend and accelerated the payment of its fourth quarter dividend (see Note 13 of Notes to Consolidated Financial Statements) and (iii) made certain incentive compensation payments with respect to the 2012 operating results.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8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395.6</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(84.9)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80" w:type="dxa"/>
            <w:vAlign w:val="bottom"/>
          </w:tcPr>
          <w:p>
            <w:pPr>
              <w:spacing w:after="0"/>
              <w:rPr>
                <w:sz w:val="18"/>
                <w:szCs w:val="18"/>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(563.2)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8"/>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1,003.8</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8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84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share based incentive compensation and interest rate hedge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provision (benefit)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on extinguishment of debt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2"/>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8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net changes in operating assets and liabilities, including, in 2011, outflows of approximately $90 million associated with the obligation under the 2008 LAM Merger transaction and approximately $57 million in aggregate for LAM seed and private equity investments.</w:t>
      </w:r>
    </w:p>
    <w:p>
      <w:pPr>
        <w:ind w:left="460" w:right="6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 awards (“RSUs”), Class A common stock dividends and distributions to noncontrolling interest holders, and activity relating to borrowings, including, in 2011, the repurchase of the Company’s 3.25% subordinated promissory note.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advances during the year on behalf of our managing directors, which serve to reduce their respective incentive compensation payments. We expect this seasonal pattern of cash flow to continue. We expect liquidity also to be impacted by cash payments, including severance payments, associated with the cost saving initiatives announced in October 2012 (see “Cost Saving Initiatives” above and Note 16 of Notes to Consolidated Financial Statements), the remaining portion of which we expect will be paid during the first half of 2013.</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December 31, 2012, Lazard had approximately $850 million of cash, with such amount including approximately $392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December 31, 2012, Lazard had approximately $301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$92 million (at December 31, 2012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corporate indebtedness as of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Maturity</w:t>
            </w:r>
          </w:p>
        </w:tc>
        <w:tc>
          <w:tcPr>
            <w:tcW w:w="20" w:type="dxa"/>
            <w:vAlign w:val="bottom"/>
          </w:tcPr>
          <w:p>
            <w:pPr>
              <w:spacing w:after="0"/>
              <w:rPr>
                <w:sz w:val="14"/>
                <w:szCs w:val="14"/>
                <w:color w:val="auto"/>
              </w:rPr>
            </w:pPr>
          </w:p>
        </w:tc>
        <w:tc>
          <w:tcPr>
            <w:tcW w:w="24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18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2"/>
                <w:szCs w:val="12"/>
                <w:color w:val="auto"/>
              </w:rPr>
            </w:pPr>
          </w:p>
        </w:tc>
        <w:tc>
          <w:tcPr>
            <w:tcW w:w="600" w:type="dxa"/>
            <w:vAlign w:val="bottom"/>
            <w:tcBorders>
              <w:top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2012</w:t>
            </w:r>
          </w:p>
        </w:tc>
        <w:tc>
          <w:tcPr>
            <w:tcW w:w="13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 in millions)</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  528.5</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  528.5</w:t>
            </w:r>
          </w:p>
        </w:tc>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1,076.9</w:t>
            </w:r>
          </w:p>
        </w:tc>
        <w:tc>
          <w:tcPr>
            <w:tcW w:w="6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2012, Lazard Group was in compliance with such ratios, with its Consolidated Leverage Ratio being 1.90 to 1.00 and its Consolidated Interest Coverage Ratio being 8.04 to 1.00. In any event, no amounts were outstanding under the Credit Facility as of December 31, 2012.</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December 31, 2012,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and subordinated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At December 31, 2012, total stockholders’ equity was $652 million, as compared to $867 million and $796 million at December 31, 2011 and 2010, respectively, including $570 million, $726 million and $652 million attributable to Lazard Ltd on the respective dates. The net activity in stockholders’ equity during the years ended December 31, 2012 and 2011 is reflected in the table below (in millions of dollars):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2012</w:t>
            </w:r>
          </w:p>
        </w:tc>
        <w:tc>
          <w:tcPr>
            <w:tcW w:w="9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Equity—Beginning of Year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4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Delivery of Class A common stock in connection with share-based incentive compensation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Class A common stock dividends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Modification of equity incentive compensation award</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net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Deconsolidation of investment companies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AOCI (including noncontrolling interests’ portion thereof)(*)</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Stockholders’ Equity—End of Year</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2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5160"/>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February 2011, October 2011, April 2012 and October 2012 the Board of Directors of Lazard Ltd authorized the repurchase of up to $250 million, $125 million, $125 million and $200 million,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respectively. During the year ended December 31, 2012 the Company repurchased 12,817,196 shares of Class A common stock, at an aggregate cost of $354 million (no Lazard Group common membership interests were purchased during the year). Furthermore, in order to help offset the dilutive effect of our share-based incentive compensation plans, during a given year Lazard intends to repurchase at least as many shares as it expects to ultimately issue pursuant to such plans in respect of year-end incentive compensation attributable to the prior year</w:t>
      </w:r>
      <w:r>
        <w:rPr>
          <w:rFonts w:ascii="Arial" w:cs="Arial" w:eastAsia="Arial" w:hAnsi="Arial"/>
          <w:sz w:val="16"/>
          <w:szCs w:val="16"/>
          <w:i w:val="1"/>
          <w:iCs w:val="1"/>
          <w:color w:val="auto"/>
        </w:rPr>
        <w:t>.</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2012, after giving effect to the forward purchase agreements described in more detail in Note 14 of Notes to Consolidated Financial Statements, $154 million of the current share repurchase amount authorized as of such date remained available under the share repurchase program, all of which expires on December 31, 2014.</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Under the terms of the 2005 Plan and the 2008 Plan, upon the vesting of RSUs and delivery of restricted Class A common stock, shares of Class A common stock may be withheld by the Company to meet the minimum statutory tax withholding requirements. In that regard, during the year ended December 31, 2012, the Company withheld $45 million to satisfy its withholding tax obligations for certain employees on vested RSUs and delivery of restricted Class A common stock in lieu of issuing 1,499,943 shares of Class A common stock.</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year ended December 31, 2012, the Company had in place trading plans under Rule 10b5-1 of the Securities Exchange Act of 1934, pursuant to which it effected stock repurchases through the open market.</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paying dividends to stockholders and repurchasing its outstanding debt.</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11, 2012, the Board of Directors of Lazard Ltd (i) declared a special dividend of $0.20 per share on our Class A common stock, payable on December 27, 2012, to stockholders of record on December 21, 2012, and (ii) accelerated the payment and record dates of Lazard’s fourth quarter dividend of $0.20 per share on its Class A common stock, which ordinarily would have been payable in February 2013. The accelerated dividend was also payable on December 27, 2012, to stockholders of record on December 21, 2012.</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Note 13 and 14 of Notes to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20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this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$ 1,340,018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$ 660,107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$ 604,693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Operating Leases (exclusive of $163,302 of sublease income) (b)</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1,058,309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74,036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148,333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136,418</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699,522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 (b)</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21,091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1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31,482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31,482</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$ 2,450,900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$ 184,373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$ 814,351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$ 752,654</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$ 699,522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12 of Notes to Consolidated Financial Statements.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6 of Notes to Consolidated Financial Statements. These amounts are generally due on demand and therefore are presented in the “less than 1 year” category.</w:t>
      </w:r>
    </w:p>
    <w:p>
      <w:pPr>
        <w:ind w:left="460" w:right="8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12, 14, 15 and 17 of Notes to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2012 and 2011, the Company had receivables past due of approximately $26 million and $23 million, respectively, and its allowance for doubtful accounts was $23 million and $19 million at such respective dates.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These temporary differences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2012, on a consolidated basis, we recorded gross deferred tax assets of approximately $1.41 billion.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in the last three years, certain of our tax-paying entities have individually experienced minimal profits on a cumulative three-year basis and losses in 2012, primarily due to permanent differences between net income and taxable income at such entities. Considering the recent operating results of such entities and the other factors listed below, we recorded a valuation allowance of approximately $1.24 billion on our deferred tax assets as of December 31, 2012.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nature, frequency and magnitude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table below sets forth our deferred tax assets and liabilities, and the valuation allowance recorded against our deferred tax assets, as of December 31,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20" w:type="dxa"/>
            <w:vAlign w:val="bottom"/>
          </w:tcPr>
          <w:p>
            <w:pPr>
              <w:ind w:left="440"/>
              <w:spacing w:after="0"/>
              <w:rPr>
                <w:sz w:val="20"/>
                <w:szCs w:val="20"/>
                <w:color w:val="auto"/>
              </w:rPr>
            </w:pPr>
            <w:r>
              <w:rPr>
                <w:rFonts w:ascii="Arial" w:cs="Arial" w:eastAsia="Arial" w:hAnsi="Arial"/>
                <w:sz w:val="18"/>
                <w:szCs w:val="18"/>
                <w:color w:val="auto"/>
                <w:w w:val="91"/>
              </w:rPr>
              <w:t>Basis adjustments (primarily as a result of the separation and recapitalization transactions that occurred during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660"/>
              <w:spacing w:after="0"/>
              <w:rPr>
                <w:sz w:val="20"/>
                <w:szCs w:val="20"/>
                <w:color w:val="auto"/>
              </w:rPr>
            </w:pPr>
            <w:r>
              <w:rPr>
                <w:rFonts w:ascii="Arial" w:cs="Arial" w:eastAsia="Arial" w:hAnsi="Arial"/>
                <w:sz w:val="18"/>
                <w:szCs w:val="18"/>
                <w:color w:val="auto"/>
              </w:rPr>
              <w:t>2005 and from secondary offerings)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820,229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846,252</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243,564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196,133</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308,233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209,781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30,626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25,410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1,406,056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1,279,095</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(1,238,765)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(1,145,257)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167,291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133,838</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33,715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16,240</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10,729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15,843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50,648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41,581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104,498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83,581</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mentioned previously, certain of our tax-paying entities have individually experienced minimal profits on a cumulative basis over the past several years and losses in 2012. If these entities achieve sustainable levels of profitability in the future, we believe that the valuation allowance recorded against our deferred tax assets at such entities could be reduced significantly. If any significant valuation allowance reduction were to occur, we would likely have a negative effective tax rate in the period in which such reduction occurs. Included in our deferred tax assets as of December 31, 2012 are approximately $705 million related to certain basis step-ups and approximately $196 million of net operating losses generated by the amortization of such step-up assets. Under our tax receivable agreement, Lazard Group will retain 15% of the actual cash tax savings relating to such assets and will pay 85% of such savings to the owners of Lazard prior to the separation.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cash income taxes we would pay in those periods subsequent to the release of any valuation allowance.</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and the ultimate resolution of such matters may be materially different from our estimates.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see Note 17 of Notes to Consolidated Financial Statements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 primarily of debt and equity securities, and interests in alternative investment, debt, equity and private equity funds.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“accumulated other comprehensive income (loss), net of tax”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The Company holds no “available-for-sale” or “held-to-maturity” securities.</w:t>
      </w:r>
    </w:p>
    <w:p>
      <w:pPr>
        <w:spacing w:after="0" w:line="12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w w:val="87"/>
              </w:rPr>
              <w:t>December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2012(a)</w:t>
            </w:r>
          </w:p>
        </w:tc>
        <w:tc>
          <w:tcPr>
            <w:tcW w:w="32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2011(a)</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7220" w:type="dxa"/>
            <w:vAlign w:val="bottom"/>
            <w:gridSpan w:val="2"/>
          </w:tcPr>
          <w:p>
            <w:pPr>
              <w:spacing w:after="0"/>
              <w:rPr>
                <w:sz w:val="20"/>
                <w:szCs w:val="20"/>
                <w:color w:val="auto"/>
              </w:rPr>
            </w:pPr>
            <w:r>
              <w:rPr>
                <w:rFonts w:ascii="Arial" w:cs="Arial" w:eastAsia="Arial" w:hAnsi="Arial"/>
                <w:sz w:val="18"/>
                <w:szCs w:val="18"/>
                <w:color w:val="auto"/>
                <w:w w:val="91"/>
              </w:rPr>
              <w:t>Equity securities (net of $3 and $4 of securities sold, not yet purchased, at December 31, 2012 and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2011, respectively) (c)</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10</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investment funds (d)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Debt funds (e)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 (f)</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154</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Private equity funds owned (g)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25</w:t>
            </w: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(h)</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412</w:t>
            </w:r>
          </w:p>
        </w:tc>
        <w:tc>
          <w:tcPr>
            <w:tcW w:w="920" w:type="dxa"/>
            <w:vAlign w:val="bottom"/>
            <w:gridSpan w:val="2"/>
          </w:tcPr>
          <w:p>
            <w:pPr>
              <w:jc w:val="right"/>
              <w:ind w:right="372"/>
              <w:spacing w:after="0"/>
              <w:rPr>
                <w:sz w:val="20"/>
                <w:szCs w:val="20"/>
                <w:color w:val="auto"/>
              </w:rPr>
            </w:pPr>
            <w:r>
              <w:rPr>
                <w:rFonts w:ascii="Arial" w:cs="Arial" w:eastAsia="Arial" w:hAnsi="Arial"/>
                <w:sz w:val="18"/>
                <w:szCs w:val="18"/>
                <w:color w:val="auto"/>
                <w:w w:val="99"/>
              </w:rPr>
              <w:t>100%</w:t>
            </w:r>
          </w:p>
        </w:tc>
        <w:tc>
          <w:tcPr>
            <w:tcW w:w="500" w:type="dxa"/>
            <w:vAlign w:val="bottom"/>
          </w:tcPr>
          <w:p>
            <w:pPr>
              <w:jc w:val="right"/>
              <w:spacing w:after="0"/>
              <w:rPr>
                <w:sz w:val="20"/>
                <w:szCs w:val="20"/>
                <w:color w:val="auto"/>
              </w:rPr>
            </w:pPr>
            <w:r>
              <w:rPr>
                <w:rFonts w:ascii="Arial" w:cs="Arial" w:eastAsia="Arial" w:hAnsi="Arial"/>
                <w:sz w:val="18"/>
                <w:szCs w:val="18"/>
                <w:color w:val="auto"/>
              </w:rPr>
              <w:t>$374</w:t>
            </w:r>
          </w:p>
        </w:tc>
        <w:tc>
          <w:tcPr>
            <w:tcW w:w="6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3,082</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60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granted, with an aggregate fair value of $101 million and $27 million at December 31, 2012 and 2011,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Equity securities primarily consist of seed investments invested in marketable equity securities of large-, mid- and small-cap domestic, international and global companies held within separately managed accounts related to our Asset Management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2012 and 2011, investments in marketable equity securities were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380" w:type="dxa"/>
            <w:vAlign w:val="bottom"/>
            <w:gridSpan w:val="2"/>
          </w:tcPr>
          <w:p>
            <w:pPr>
              <w:jc w:val="right"/>
              <w:ind w:right="772"/>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Energy</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8600" w:type="dxa"/>
            <w:vAlign w:val="bottom"/>
          </w:tcPr>
          <w:p>
            <w:pPr>
              <w:ind w:left="190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r>
        <w:trPr>
          <w:trHeight w:val="20"/>
        </w:trPr>
        <w:tc>
          <w:tcPr>
            <w:tcW w:w="8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relating to Lazard Fund Interests discussed above.</w:t>
      </w:r>
    </w:p>
    <w:p>
      <w:pPr>
        <w:spacing w:after="0" w:line="50" w:lineRule="exact"/>
        <w:rPr>
          <w:rFonts w:ascii="Arial" w:cs="Arial" w:eastAsia="Arial" w:hAnsi="Arial"/>
          <w:sz w:val="18"/>
          <w:szCs w:val="18"/>
          <w:color w:val="auto"/>
        </w:rPr>
      </w:pPr>
    </w:p>
    <w:p>
      <w:pPr>
        <w:ind w:left="460" w:right="2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Comprised primarily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a private equity fund targeting significant noncontrolling investments in established public and private companies; (iii) Edgewater Growth Capital Partners III, L.P. a private equity fund primarily making growth equity and buyout investments in high-quality, lower middle market companies (iv) COF 2, a Lazard-managed Australian private equity fund targeting Australasian mid-market investments and (v) at December 31, 2011, Lazard Senior Housing Partners LP, which targets controlling interests in companies and assets in senior housing, extended stay and shopping center sectors.</w:t>
      </w:r>
    </w:p>
    <w:p>
      <w:pPr>
        <w:spacing w:after="0" w:line="66"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December 31, 2012 and 2011, $116 million and $133 million, respectively, of our total investments at a fair value of $412 million and $374 million, respectively, or 28% and 36%, respectively, were classified as Level 3 assets. Substantially all of our Level 3 investments at both dates are priced based on a NAV or its equivalent. During the years ended December 31, 2012 and 2011, gains of approximately $16 million and losses of $3 million, respectively, were recognized in “revenue-other” on the consolidated statement of operations pertaining to Level 3 investments.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Item 1A, “Risk Factors—Other Business Risks—Our results of operations may be affected by fluctuations in the fair value of positions held in our investment portfolios”.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primarily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9 of Notes to Consolidated Financial Statements for additional information regarding goodwill.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or a variable interest entity (“VIE”) under U.S. GAAP.</w:t>
      </w:r>
    </w:p>
    <w:p>
      <w:pPr>
        <w:spacing w:after="0" w:line="4" w:lineRule="exact"/>
        <w:rPr>
          <w:sz w:val="20"/>
          <w:szCs w:val="20"/>
          <w:color w:val="auto"/>
        </w:rPr>
      </w:pPr>
    </w:p>
    <w:p>
      <w:pPr>
        <w:ind w:left="1480" w:right="20" w:hanging="446"/>
        <w:spacing w:after="0" w:line="256"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80" w:hanging="446"/>
        <w:spacing w:after="0" w:line="332"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December 31, 2012, total receivables amounted to $478 million, net of an allowance for doubtful accounts of $23 million. As of that date, Financial Advisory and Asset Management fees, and customer and related party receivables comprised 84%, 11% and 5% of total receivables, respectively. At December 31, 2011, total receivables amounted to $504 million, net of an allowance for doubtful accounts of $19 million. As of that date, Financial Advisory and Asset Management fees, and customer and related party receivables comprised 80%, 16% and 4% of total receivables, respectively. At December 31, 2012 and 2011, the Company had receivables past due of approximately $26 million and $23 million, respectively. See also “Critical Accounting Policies and Estimates—Revenue Recognition” above and Note 4 of Notes to Consolidated Financial Statements for additional information regarding receivables.</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December 31, 2012 and 2011, customer receivables included $14 million and $29 million of LFB loans, respectively. Such loans are closely monitored for counterparty creditworthiness to help minimize exposure. In addition, as of December 31, 2012, LFB had commitments to lend totaling $23 million, which are fully collateralized and generally contain requirements for the counterparty to maintain a minimum collateral level.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December 31, 2012, excluding inter-bank counterparties, LFB had no exposure to an individual counterparty that exceeded $23 million, with such amount being fully collateralized. With respect to activities outside LFB, as of December 31, 2012 the Company’s largest individual counterparty exposure was a Financial Advisory fee receivable of $17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$1 million and $7 million at December 31, 2012 and 2011, respectively, and derivative liabilities, excluding the derivative liability arising from the Company’s obligation pertaining to Lazard Fund Interests and other similar deferred compensation arrangements, amounted to $5 million and $1 million at such respective dates.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$98 million and $30 million at December 31, 2012 and 2011, respectively.</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December 31, 2012, the impact of potential significant movements in either the currency or interest rate markets on LFB’s positions would not materially affect the Company’s annual operating income.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December 31, 2012, Lazard estimates that its annual operating income relating to cash and short-term investments and corporate indebtedness would increase by approximately $9 million in the event interest rates were to increase by 1% and decrease by approximately $1 million if rates were to decrease by 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2012, the Company’s cash and cash equivalents totaled approximately $850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7"/>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8"/>
          </w:tcPr>
          <w:p>
            <w:pPr>
              <w:spacing w:after="0" w:line="136" w:lineRule="exact"/>
              <w:rPr>
                <w:rFonts w:ascii="Arial" w:cs="Arial" w:eastAsia="Arial" w:hAnsi="Arial"/>
                <w:sz w:val="15"/>
                <w:szCs w:val="15"/>
                <w:color w:val="0000EE"/>
              </w:rPr>
            </w:pPr>
            <w:hyperlink w:anchor="page74">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Reports of Independent Registered Public Accounting Firm</w:t>
              </w:r>
            </w:hyperlink>
          </w:p>
        </w:tc>
        <w:tc>
          <w:tcPr>
            <w:tcW w:w="556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73-74</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Financial Condition as of December 31, 2012 and 2011</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79">
              <w:r>
                <w:rPr>
                  <w:rFonts w:ascii="Arial" w:cs="Arial" w:eastAsia="Arial" w:hAnsi="Arial"/>
                  <w:sz w:val="18"/>
                  <w:szCs w:val="18"/>
                  <w:color w:val="0000EE"/>
                  <w:w w:val="86"/>
                </w:rPr>
                <w:t>Consolidated Statements of Operations for the years ended December 31, 2012, 2011 and 2010</w:t>
              </w:r>
            </w:hyperlink>
          </w:p>
        </w:tc>
        <w:tc>
          <w:tcPr>
            <w:tcW w:w="3700" w:type="dxa"/>
            <w:vAlign w:val="bottom"/>
            <w:gridSpan w:val="6"/>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Income for the years ended December 31, 2012, 2011 and 2010</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81">
              <w:r>
                <w:rPr>
                  <w:rFonts w:ascii="Arial" w:cs="Arial" w:eastAsia="Arial" w:hAnsi="Arial"/>
                  <w:sz w:val="18"/>
                  <w:szCs w:val="18"/>
                  <w:color w:val="0000EE"/>
                  <w:w w:val="86"/>
                </w:rPr>
                <w:t>Consolidated Statements of Cash Flows for the years ended December 31, 2012, 2011 and 2010</w:t>
              </w:r>
            </w:hyperlink>
          </w:p>
        </w:tc>
        <w:tc>
          <w:tcPr>
            <w:tcW w:w="840" w:type="dxa"/>
            <w:vAlign w:val="bottom"/>
            <w:tcBorders>
              <w:top w:val="single" w:sz="8" w:color="0000EE"/>
            </w:tcBorders>
            <w:gridSpan w:val="2"/>
          </w:tcPr>
          <w:p>
            <w:pPr>
              <w:spacing w:after="0"/>
              <w:rPr>
                <w:sz w:val="24"/>
                <w:szCs w:val="24"/>
                <w:color w:val="auto"/>
              </w:rPr>
            </w:pPr>
          </w:p>
        </w:tc>
        <w:tc>
          <w:tcPr>
            <w:tcW w:w="2800" w:type="dxa"/>
            <w:vAlign w:val="bottom"/>
            <w:gridSpan w:val="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Changes in Stockholders’ Equity for the years ended December 31, 2012, 2011 and 2010</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304"/>
        </w:trPr>
        <w:tc>
          <w:tcPr>
            <w:tcW w:w="44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85">
              <w:r>
                <w:rPr>
                  <w:rFonts w:ascii="Arial" w:cs="Arial" w:eastAsia="Arial" w:hAnsi="Arial"/>
                  <w:sz w:val="18"/>
                  <w:szCs w:val="18"/>
                  <w:color w:val="0000EE"/>
                  <w:w w:val="87"/>
                </w:rPr>
                <w:t>Notes to Consolidated Financial Statements</w:t>
              </w:r>
            </w:hyperlink>
          </w:p>
        </w:tc>
        <w:tc>
          <w:tcPr>
            <w:tcW w:w="5180" w:type="dxa"/>
            <w:vAlign w:val="bottom"/>
            <w:tcBorders>
              <w:top w:val="single" w:sz="8" w:color="0000EE"/>
            </w:tcBorders>
            <w:gridSpan w:val="12"/>
          </w:tcPr>
          <w:p>
            <w:pPr>
              <w:spacing w:after="0"/>
              <w:rPr>
                <w:sz w:val="24"/>
                <w:szCs w:val="24"/>
                <w:color w:val="auto"/>
              </w:rPr>
            </w:pPr>
          </w:p>
        </w:tc>
        <w:tc>
          <w:tcPr>
            <w:tcW w:w="21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64"/>
        </w:trPr>
        <w:tc>
          <w:tcPr>
            <w:tcW w:w="10820" w:type="dxa"/>
            <w:vAlign w:val="bottom"/>
            <w:gridSpan w:val="19"/>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5"/>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r>
      <w:tr>
        <w:trPr>
          <w:trHeight w:val="302"/>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7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47">
              <w:r>
                <w:rPr>
                  <w:rFonts w:ascii="Arial" w:cs="Arial" w:eastAsia="Arial" w:hAnsi="Arial"/>
                  <w:sz w:val="18"/>
                  <w:szCs w:val="18"/>
                  <w:color w:val="0000EE"/>
                  <w:w w:val="87"/>
                </w:rPr>
                <w:t>Condensed Statements of Financial Condition as of December 31, 2012 and 2011</w:t>
              </w:r>
            </w:hyperlink>
          </w:p>
        </w:tc>
        <w:tc>
          <w:tcPr>
            <w:tcW w:w="4660" w:type="dxa"/>
            <w:vAlign w:val="bottom"/>
            <w:gridSpan w:val="10"/>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Condensed Statements of Operations for the years ended December 31, 2012, 2011 and 2010</w:t>
              </w:r>
            </w:hyperlink>
          </w:p>
        </w:tc>
        <w:tc>
          <w:tcPr>
            <w:tcW w:w="3840" w:type="dxa"/>
            <w:vAlign w:val="bottom"/>
            <w:gridSpan w:val="8"/>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74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Condensed Statements of Comprehensive Income for the years ended December 31, 2012, 2011 and 2010</w:t>
              </w:r>
            </w:hyperlink>
          </w:p>
        </w:tc>
        <w:tc>
          <w:tcPr>
            <w:tcW w:w="2940" w:type="dxa"/>
            <w:vAlign w:val="bottom"/>
            <w:gridSpan w:val="4"/>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Statements of Cash Flows for the years ended December 31, 2012, 2011 and 2010</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3660" w:type="dxa"/>
            <w:vAlign w:val="bottom"/>
            <w:gridSpan w:val="7"/>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Condensed Statements of Changes in Stockholders’ Equity for the years ended December 31, 2012, 2011 and 2010</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r>
      <w:tr>
        <w:trPr>
          <w:trHeight w:val="304"/>
        </w:trPr>
        <w:tc>
          <w:tcPr>
            <w:tcW w:w="440" w:type="dxa"/>
            <w:vAlign w:val="bottom"/>
          </w:tcPr>
          <w:p>
            <w:pPr>
              <w:spacing w:after="0"/>
              <w:rPr>
                <w:sz w:val="24"/>
                <w:szCs w:val="24"/>
                <w:color w:val="auto"/>
              </w:rPr>
            </w:pPr>
          </w:p>
        </w:tc>
        <w:tc>
          <w:tcPr>
            <w:tcW w:w="8120" w:type="dxa"/>
            <w:vAlign w:val="bottom"/>
            <w:tcBorders>
              <w:top w:val="single" w:sz="8" w:color="0000EE"/>
            </w:tcBorders>
            <w:gridSpan w:val="16"/>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Notes to Condensed Financial Statements</w:t>
              </w:r>
            </w:hyperlink>
          </w:p>
        </w:tc>
        <w:tc>
          <w:tcPr>
            <w:tcW w:w="2260" w:type="dxa"/>
            <w:vAlign w:val="bottom"/>
            <w:gridSpan w:val="2"/>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F-9</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management’s assessment and those criteria, management believes that the Company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2012.</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2012, as stated in their report which appears under “Reports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Ltd and subsidiaries (the “Company”)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2012 of the Company, and our report dated February 28, 2013 expressed an unqualified opinion on those consolidated financial statements and financial statement schedule.</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jc w:val="both"/>
        <w:ind w:right="28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Ltd and subsidiaries (the “Company”) as of December 31, 2012 and 2011, and the related consolidated statements of operations, comprehensive income, cash flows, and changes in stockholders’ equity for each of the three years in the period ended December 31, 2012.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Lazard Ltd and subsidiaries at December 31, 2012 and 2011, and the results of their operations and their cash flows for each of the three years in the period ended December 31, 2012,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28, 2013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850,190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$ 1,003,791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292,494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65,232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75,506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0"/>
              </w:rPr>
              <w:t>Receivables (net of allowance for doubtful accounts of $23,017 and $19,450 at December 31, 2012 and 2011, respectively):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400,529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402,843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53,713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478,043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414,673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378,521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$225,861 and $266,673 at December 31, 2012 and 2011,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225,033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168,429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$35,281 and $26,922 at December 31, 2012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respectively)</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392,822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2,986,893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$ 3,081,936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269,763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2,335,353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2,215,080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December 31, 2012 and 2011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4"/>
              </w:rPr>
              <w:t>128,216,423 and 123,009,311 shares issued at December 31, 2012 and 2011, respectively, including shares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held by subsidiaries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Class B, par value $.01 per share (1 share authorized, issued and outstanding at December 31, 2012 and 2011)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846,050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(110,541)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1"/>
              </w:rPr>
              <w:t>Class A common stock held by subsidiaries, at cost (12,802,938 and 3,492,017 shares at December 31, 2012 and 2011,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(349,782)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2,986,893</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3,081,936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0"/>
              </w:rPr>
              <w:t>Year Ended December 31,</w:t>
            </w: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2"/>
                <w:szCs w:val="12"/>
                <w:color w:val="auto"/>
              </w:rPr>
            </w:pPr>
          </w:p>
        </w:tc>
        <w:tc>
          <w:tcPr>
            <w:tcW w:w="8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130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$ 1,039,188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$ 970,167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858,834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859,996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812,709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89,983</w:t>
            </w:r>
          </w:p>
        </w:tc>
        <w:tc>
          <w:tcPr>
            <w:tcW w:w="42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1,994,013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1,919,638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2,003,077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81,565</w:t>
            </w:r>
          </w:p>
        </w:tc>
        <w:tc>
          <w:tcPr>
            <w:tcW w:w="42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1,912,448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1,829,512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1,905,368</w:t>
            </w: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1,351,129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1,168,945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113,163</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100,698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95,573</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88,411</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86,892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83,212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43,958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48,324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51,390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52,793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11,915</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38,099</w:t>
            </w:r>
          </w:p>
        </w:tc>
        <w:tc>
          <w:tcPr>
            <w:tcW w:w="420" w:type="dxa"/>
            <w:vAlign w:val="bottom"/>
            <w:gridSpan w:val="2"/>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1,788,563</w:t>
            </w:r>
          </w:p>
        </w:tc>
        <w:tc>
          <w:tcPr>
            <w:tcW w:w="420" w:type="dxa"/>
            <w:vAlign w:val="bottom"/>
            <w:gridSpan w:val="2"/>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123,885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235,499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243,650</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31,100</w:t>
            </w:r>
          </w:p>
        </w:tc>
        <w:tc>
          <w:tcPr>
            <w:tcW w:w="420" w:type="dxa"/>
            <w:vAlign w:val="bottom"/>
            <w:gridSpan w:val="2"/>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92,785</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190,559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194,423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420" w:type="dxa"/>
            <w:vAlign w:val="bottom"/>
            <w:gridSpan w:val="2"/>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84,309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$ 174,917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174,979</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116,953,989</w:t>
            </w:r>
          </w:p>
        </w:tc>
        <w:tc>
          <w:tcPr>
            <w:tcW w:w="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118,032,020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104,411,253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129,325,622</w:t>
            </w:r>
          </w:p>
        </w:tc>
        <w:tc>
          <w:tcPr>
            <w:tcW w:w="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137,629,525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138,469,654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7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$ 92,785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190,559</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194,423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15,686</w:t>
            </w: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(9,474)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(9,457)</w:t>
            </w: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1,054</w:t>
            </w:r>
          </w:p>
        </w:tc>
        <w:tc>
          <w:tcPr>
            <w:tcW w:w="4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rPr>
              <w:t>Unrealized gain (net of tax expense of $1,645)</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3,129</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for items reclassified to earnings (net of tax expense of $4,989)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Actuarial gain (loss) (net of tax expense (benefit) of $(12,950), $(12,526) and $6,555 for the years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ended December 31, 2012, 2011 and 2010, respectively)</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(40,298)</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(38,248)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r>
      <w:tr>
        <w:trPr>
          <w:trHeight w:val="208"/>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Arial" w:cs="Arial" w:eastAsia="Arial" w:hAnsi="Arial"/>
                <w:sz w:val="18"/>
                <w:szCs w:val="18"/>
                <w:color w:val="auto"/>
                <w:w w:val="95"/>
              </w:rPr>
              <w:t>Adjustments for items reclassified to earnings (net of tax expense of $1,145, $1,031 and $975 for</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8220" w:type="dxa"/>
            <w:vAlign w:val="bottom"/>
          </w:tcPr>
          <w:p>
            <w:pPr>
              <w:ind w:left="1060"/>
              <w:spacing w:after="0"/>
              <w:rPr>
                <w:sz w:val="20"/>
                <w:szCs w:val="20"/>
                <w:color w:val="auto"/>
              </w:rPr>
            </w:pPr>
            <w:r>
              <w:rPr>
                <w:rFonts w:ascii="Arial" w:cs="Arial" w:eastAsia="Arial" w:hAnsi="Arial"/>
                <w:sz w:val="18"/>
                <w:szCs w:val="18"/>
                <w:color w:val="auto"/>
              </w:rPr>
              <w:t>the years ended December 31, 2012, 2011 and 2010, respectively)</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(19,158)</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(44,462)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23,820</w:t>
            </w:r>
          </w:p>
        </w:tc>
      </w:tr>
      <w:tr>
        <w:trPr>
          <w:trHeight w:val="22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146,097</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218,243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00" w:type="dxa"/>
            <w:vAlign w:val="bottom"/>
            <w:shd w:val="clear" w:color="auto" w:fill="CCEEFF"/>
          </w:tcPr>
          <w:p>
            <w:pPr>
              <w:spacing w:after="0"/>
              <w:rPr>
                <w:sz w:val="18"/>
                <w:szCs w:val="18"/>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$ 65,312</w:t>
            </w: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132,992</w:t>
            </w:r>
          </w:p>
        </w:tc>
        <w:tc>
          <w:tcPr>
            <w:tcW w:w="4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197,319</w:t>
            </w: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92,785</w:t>
            </w:r>
          </w:p>
        </w:tc>
        <w:tc>
          <w:tcPr>
            <w:tcW w:w="140" w:type="dxa"/>
            <w:vAlign w:val="bottom"/>
          </w:tcPr>
          <w:p>
            <w:pPr>
              <w:spacing w:after="0"/>
              <w:rPr>
                <w:sz w:val="12"/>
                <w:szCs w:val="12"/>
                <w:color w:val="auto"/>
              </w:rPr>
            </w:pP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190,559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Noncash items included in net income: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24,580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360,751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300,286</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316,232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11,915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7,214</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 losses (including other-than-temporary impairment losses)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(Gain) loss on extinguishment of debt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(18,171)</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Deposits with banks</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63,639</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16,408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31,157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61,153</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31,543</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(62,683)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(61,648)</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(63,141)</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(166,535)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(27,470)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760" w:type="dxa"/>
            <w:vAlign w:val="bottom"/>
          </w:tcPr>
          <w:p>
            <w:pPr>
              <w:ind w:left="12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481,908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397,802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168,798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(89,301)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(46,438)</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Distributions relating to equity method investments</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held-to-maturity securities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241,029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(84,933)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(45,277)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411,725</w:t>
            </w: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60" w:type="dxa"/>
            <w:vAlign w:val="bottom"/>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17,505</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1,386</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Senior and subordinated debt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(131,829)</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(2,322)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(27,767)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(33,734)</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Repurchase of common membership interests from members of LAZ-MD Holdings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Purchase of Class A common stock</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(354,464)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(204,835)</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(149,981)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Class A common stock dividends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(135,108)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(70,572)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(44,883)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(93,750)</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(33,414)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(563,220)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(552,359)</w:t>
            </w: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(277,886)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(6,070)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(10,271)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(153,601)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(205,904)</w:t>
            </w:r>
          </w:p>
        </w:tc>
        <w:tc>
          <w:tcPr>
            <w:tcW w:w="120" w:type="dxa"/>
            <w:vAlign w:val="bottom"/>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292,366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1,003,791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1,209,695</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917,329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EQUIVALENTS—December 31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850,190</w:t>
            </w:r>
          </w:p>
        </w:tc>
        <w:tc>
          <w:tcPr>
            <w:tcW w:w="140" w:type="dxa"/>
            <w:vAlign w:val="bottom"/>
          </w:tcPr>
          <w:p>
            <w:pPr>
              <w:spacing w:after="0"/>
              <w:rPr>
                <w:sz w:val="13"/>
                <w:szCs w:val="13"/>
                <w:color w:val="auto"/>
              </w:rPr>
            </w:pPr>
          </w:p>
        </w:tc>
        <w:tc>
          <w:tcPr>
            <w:tcW w:w="1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3"/>
              </w:rPr>
              <w:t>1,003,791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3"/>
              </w:rPr>
              <w:t>1,209,695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investing non-cash transaction: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Class A common stock issued/issuable in connection with business acquisitions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39,654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41,174</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paid during the year for: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78,441</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92,702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20"/>
              <w:spacing w:after="0"/>
              <w:rPr>
                <w:sz w:val="20"/>
                <w:szCs w:val="20"/>
                <w:color w:val="auto"/>
              </w:rPr>
            </w:pPr>
            <w:r>
              <w:rPr>
                <w:rFonts w:ascii="Arial" w:cs="Arial" w:eastAsia="Arial" w:hAnsi="Arial"/>
                <w:sz w:val="14"/>
                <w:szCs w:val="14"/>
                <w:color w:val="auto"/>
              </w:rPr>
              <w:t>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760" w:type="dxa"/>
            <w:vAlign w:val="bottom"/>
            <w:vMerge w:val="continue"/>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35,340</w:t>
            </w:r>
          </w:p>
        </w:tc>
        <w:tc>
          <w:tcPr>
            <w:tcW w:w="140" w:type="dxa"/>
            <w:vAlign w:val="bottom"/>
          </w:tcPr>
          <w:p>
            <w:pPr>
              <w:spacing w:after="0"/>
              <w:rPr>
                <w:sz w:val="12"/>
                <w:szCs w:val="12"/>
                <w:color w:val="auto"/>
              </w:rPr>
            </w:pPr>
          </w:p>
        </w:tc>
        <w:tc>
          <w:tcPr>
            <w:tcW w:w="1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56,568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69,454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20" w:type="dxa"/>
            <w:vAlign w:val="bottom"/>
            <w:gridSpan w:val="3"/>
            <w:vMerge w:val="restart"/>
          </w:tcPr>
          <w:p>
            <w:pPr>
              <w:jc w:val="center"/>
              <w:ind w:left="152"/>
              <w:spacing w:after="0" w:line="149" w:lineRule="exact"/>
              <w:rPr>
                <w:sz w:val="20"/>
                <w:szCs w:val="20"/>
                <w:color w:val="auto"/>
              </w:rPr>
            </w:pPr>
            <w:r>
              <w:rPr>
                <w:rFonts w:ascii="Arial" w:cs="Arial" w:eastAsia="Arial" w:hAnsi="Arial"/>
                <w:sz w:val="14"/>
                <w:szCs w:val="14"/>
                <w:b w:val="1"/>
                <w:bCs w:val="1"/>
                <w:color w:val="auto"/>
                <w:w w:val="82"/>
              </w:rPr>
              <w:t>Series A</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220" w:type="dxa"/>
            <w:vAlign w:val="bottom"/>
          </w:tcPr>
          <w:p>
            <w:pPr>
              <w:jc w:val="right"/>
              <w:ind w:right="6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2010</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26,883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92,165,913</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922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549,931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52,726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(57,048)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5,850,775</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$(191,140)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355,391</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167,706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523,097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174,979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174,979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194,423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w w:val="88"/>
              </w:rPr>
              <w:t>Other comprehensive income (loss) -</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(8,937)</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(8,937)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(9,457)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640"/>
              <w:spacing w:after="0" w:line="138" w:lineRule="exact"/>
              <w:rPr>
                <w:sz w:val="20"/>
                <w:szCs w:val="20"/>
                <w:color w:val="auto"/>
              </w:rPr>
            </w:pPr>
            <w:r>
              <w:rPr>
                <w:rFonts w:ascii="Arial" w:cs="Arial" w:eastAsia="Arial" w:hAnsi="Arial"/>
                <w:sz w:val="14"/>
                <w:szCs w:val="14"/>
                <w:color w:val="auto"/>
                <w:w w:val="93"/>
              </w:rPr>
              <w:t>Amortization of interest rate</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1,093</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1,093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1"/>
              </w:rPr>
              <w:t>Available-for-sale securities: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60"/>
              <w:spacing w:after="0" w:line="149" w:lineRule="exact"/>
              <w:rPr>
                <w:sz w:val="20"/>
                <w:szCs w:val="20"/>
                <w:color w:val="auto"/>
              </w:rPr>
            </w:pPr>
            <w:r>
              <w:rPr>
                <w:rFonts w:ascii="Arial" w:cs="Arial" w:eastAsia="Arial" w:hAnsi="Arial"/>
                <w:sz w:val="14"/>
                <w:szCs w:val="14"/>
                <w:color w:val="auto"/>
                <w:w w:val="97"/>
              </w:rPr>
              <w:t>Net unrealized gain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2,941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8,930</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8,930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Net actuarial gain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16,769</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280"/>
              <w:spacing w:after="0" w:line="149" w:lineRule="exact"/>
              <w:rPr>
                <w:sz w:val="20"/>
                <w:szCs w:val="20"/>
                <w:color w:val="auto"/>
              </w:rPr>
            </w:pPr>
            <w:r>
              <w:rPr>
                <w:rFonts w:ascii="Arial" w:cs="Arial" w:eastAsia="Arial" w:hAnsi="Arial"/>
                <w:sz w:val="14"/>
                <w:szCs w:val="14"/>
                <w:color w:val="auto"/>
              </w:rPr>
              <w:t>items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60" w:type="dxa"/>
            <w:vAlign w:val="bottom"/>
          </w:tcPr>
          <w:p>
            <w:pPr>
              <w:ind w:left="1280"/>
              <w:spacing w:after="0" w:line="159" w:lineRule="exact"/>
              <w:rPr>
                <w:sz w:val="20"/>
                <w:szCs w:val="20"/>
                <w:color w:val="auto"/>
              </w:rPr>
            </w:pPr>
            <w:r>
              <w:rPr>
                <w:rFonts w:ascii="Arial" w:cs="Arial" w:eastAsia="Arial" w:hAnsi="Arial"/>
                <w:sz w:val="14"/>
                <w:szCs w:val="14"/>
                <w:color w:val="auto"/>
              </w:rPr>
              <w:t>earnings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1,544</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1,544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99</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1,643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197,319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218,243</w:t>
            </w:r>
          </w:p>
        </w:tc>
        <w:tc>
          <w:tcPr>
            <w:tcW w:w="0" w:type="dxa"/>
            <w:vAlign w:val="bottom"/>
          </w:tcPr>
          <w:p>
            <w:pPr>
              <w:spacing w:after="0"/>
              <w:rPr>
                <w:sz w:val="1"/>
                <w:szCs w:val="1"/>
                <w:color w:val="auto"/>
              </w:rPr>
            </w:pPr>
          </w:p>
        </w:tc>
      </w:tr>
      <w:tr>
        <w:trPr>
          <w:trHeight w:val="145"/>
        </w:trPr>
        <w:tc>
          <w:tcPr>
            <w:tcW w:w="2280" w:type="dxa"/>
            <w:vAlign w:val="bottom"/>
            <w:gridSpan w:val="2"/>
          </w:tcPr>
          <w:p>
            <w:pPr>
              <w:spacing w:after="0" w:line="145" w:lineRule="exact"/>
              <w:rPr>
                <w:sz w:val="20"/>
                <w:szCs w:val="20"/>
                <w:color w:val="auto"/>
              </w:rPr>
            </w:pPr>
            <w:r>
              <w:rPr>
                <w:rFonts w:ascii="Arial" w:cs="Arial" w:eastAsia="Arial" w:hAnsi="Arial"/>
                <w:sz w:val="14"/>
                <w:szCs w:val="14"/>
                <w:color w:val="auto"/>
                <w:w w:val="90"/>
              </w:rPr>
              <w:t>Business acquisitions and related equity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transactions: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issued/issuable (including</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related amortization)</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315,617</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46,220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46,223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47,876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Conversion of Series A preferred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420"/>
              <w:spacing w:after="0" w:line="149" w:lineRule="exact"/>
              <w:rPr>
                <w:sz w:val="20"/>
                <w:szCs w:val="20"/>
                <w:color w:val="auto"/>
              </w:rPr>
            </w:pPr>
            <w:r>
              <w:rPr>
                <w:rFonts w:ascii="Arial" w:cs="Arial" w:eastAsia="Arial" w:hAnsi="Arial"/>
                <w:sz w:val="14"/>
                <w:szCs w:val="14"/>
                <w:color w:val="auto"/>
              </w:rPr>
              <w:t>stock into Class A common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(4,862)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572,988</w:t>
            </w:r>
          </w:p>
        </w:tc>
        <w:tc>
          <w:tcPr>
            <w:tcW w:w="12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Amortization of share-based incentive</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286,957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286,957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18,346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305,303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8"/>
              </w:rPr>
              <w:t>(10,656)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(50,581)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(50,581)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4,686,892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(149,981)</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(149,981)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(149,981)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compensation</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(286,847)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(6,690,159)</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229,271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(57,576)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(57,576)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w w:val="97"/>
              </w:rPr>
              <w:t>Repurchase of common membership</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interests from LAZ-MD Holdings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(6,812)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(6,812)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116,070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3,000,000</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(116,100)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89"/>
              </w:rPr>
              <w:t>exchange for Lazard Group common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96"/>
              </w:rPr>
              <w:t>membership interests, including in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w w:val="91"/>
              </w:rPr>
              <w:t>connection with secondary offerings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23,643,419</w:t>
            </w:r>
          </w:p>
        </w:tc>
        <w:tc>
          <w:tcPr>
            <w:tcW w:w="12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(236)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Distributions to noncontrolling interests,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(32,963)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(32,963)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w w:val="97"/>
              </w:rPr>
              <w:t>Adjustments related to noncontrolling</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42,958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(11,450)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31,508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(31,508)</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2010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119,697,937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1,197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758,841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2"/>
              </w:rPr>
              <w:t>166,468</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(46,158)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6,847,508</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(227,950)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652,398</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143,719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796,117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5"/>
              </w:rPr>
              <w:t>Class A</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60" w:type="dxa"/>
            <w:vAlign w:val="bottom"/>
            <w:gridSpan w:val="3"/>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6"/>
              </w:rPr>
              <w:t>Held By Subsidiaries</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9"/>
                <w:szCs w:val="9"/>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119,697,937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$1,197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$ 166,468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143,719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796,117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174,917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15,642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w w:val="90"/>
              </w:rPr>
              <w:t>Other comprehensive income (loss)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420"/>
              <w:spacing w:after="0" w:line="159" w:lineRule="exact"/>
              <w:rPr>
                <w:sz w:val="20"/>
                <w:szCs w:val="20"/>
                <w:color w:val="auto"/>
              </w:rPr>
            </w:pPr>
            <w:r>
              <w:rPr>
                <w:rFonts w:ascii="Arial" w:cs="Arial" w:eastAsia="Arial" w:hAnsi="Arial"/>
                <w:sz w:val="14"/>
                <w:szCs w:val="14"/>
                <w:color w:val="auto"/>
              </w:rPr>
              <w:t>- net of tax:</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(8,760)</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(8,760)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(714)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(9,474)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640"/>
              <w:spacing w:after="0" w:line="138" w:lineRule="exact"/>
              <w:rPr>
                <w:sz w:val="20"/>
                <w:szCs w:val="20"/>
                <w:color w:val="auto"/>
              </w:rPr>
            </w:pPr>
            <w:r>
              <w:rPr>
                <w:rFonts w:ascii="Arial" w:cs="Arial" w:eastAsia="Arial" w:hAnsi="Arial"/>
                <w:sz w:val="14"/>
                <w:szCs w:val="14"/>
                <w:color w:val="auto"/>
                <w:w w:val="91"/>
              </w:rPr>
              <w:t>Amortization of interest rate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1,054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(36,256)</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(36,256)</w:t>
            </w: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(38,248)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2,091</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tcPr>
          <w:p>
            <w:pPr>
              <w:ind w:left="200"/>
              <w:spacing w:after="0"/>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132,992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13,105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146,097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Business acquisitions and related equity</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transactions: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420"/>
              <w:spacing w:after="0" w:line="149" w:lineRule="exact"/>
              <w:rPr>
                <w:sz w:val="20"/>
                <w:szCs w:val="20"/>
                <w:color w:val="auto"/>
              </w:rPr>
            </w:pPr>
            <w:r>
              <w:rPr>
                <w:rFonts w:ascii="Arial" w:cs="Arial" w:eastAsia="Arial" w:hAnsi="Arial"/>
                <w:sz w:val="14"/>
                <w:szCs w:val="14"/>
                <w:color w:val="auto"/>
              </w:rPr>
              <w:t>issued/issuable (including</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420"/>
              <w:spacing w:after="0" w:line="159" w:lineRule="exact"/>
              <w:rPr>
                <w:sz w:val="20"/>
                <w:szCs w:val="20"/>
                <w:color w:val="auto"/>
              </w:rPr>
            </w:pPr>
            <w:r>
              <w:rPr>
                <w:rFonts w:ascii="Arial" w:cs="Arial" w:eastAsia="Arial" w:hAnsi="Arial"/>
                <w:sz w:val="14"/>
                <w:szCs w:val="14"/>
                <w:color w:val="auto"/>
              </w:rPr>
              <w:t>related amortization)</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41,800</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41,800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3,056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44,856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Conversion of Series A preferred</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into Class A common</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(14,100)</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2,434,561</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w w:val="94"/>
              </w:rPr>
              <w:t>Delivery of Class A common 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(126,812)</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(3,515,362)</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123,411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(3,401)</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Amortization of share-based incentive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260,816</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260,816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14,326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275,142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12,092</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(12,167)</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(70,572)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(70,572)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w w:val="99"/>
              </w:rPr>
              <w:t>Purchase of Class A common 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6,135,189</w:t>
            </w:r>
          </w:p>
        </w:tc>
        <w:tc>
          <w:tcPr>
            <w:tcW w:w="8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(204,835)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(204,835)</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(204,835)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Delivery of Class A common stock in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incentive compensation and related</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benefits of $972</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(297,779)</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2"/>
              </w:rPr>
              <w:t>(5,975,318)</w:t>
            </w:r>
          </w:p>
        </w:tc>
        <w:tc>
          <w:tcPr>
            <w:tcW w:w="7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204,992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(92,787)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(92,778)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Repurchase of common membership</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interests from</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(753)</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(753)</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membership interests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876,814</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Adjustment related to the change in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w w:val="97"/>
              </w:rPr>
              <w:t>Lazard Ltd’s ownership in Lazard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ind w:left="200"/>
              <w:spacing w:after="0"/>
              <w:rPr>
                <w:sz w:val="20"/>
                <w:szCs w:val="20"/>
                <w:color w:val="auto"/>
              </w:rPr>
            </w:pPr>
            <w:r>
              <w:rPr>
                <w:rFonts w:ascii="Arial" w:cs="Arial" w:eastAsia="Arial" w:hAnsi="Arial"/>
                <w:sz w:val="14"/>
                <w:szCs w:val="14"/>
                <w:color w:val="auto"/>
              </w:rPr>
              <w:t>Group</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(1,580)</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(1,580)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net</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(21,317)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(21,317)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Adjustments related to noncontrolling</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12,421</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(281)</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12,140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(12,140)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2011</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7,921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123,009,312</w:t>
            </w: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1,230</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659,013</w:t>
            </w: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$ 258,646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(88,364)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3,492,017</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(104,382)</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726,143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140,713</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866,856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40" w:type="dxa"/>
            <w:vAlign w:val="bottom"/>
            <w:gridSpan w:val="3"/>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8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Retained</w:t>
            </w: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3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659,013</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$ 258,646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3,492,017</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84,309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84,309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92,785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w w:val="90"/>
              </w:rPr>
              <w:t>Other comprehensive income (loss)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420"/>
              <w:spacing w:after="0" w:line="159" w:lineRule="exact"/>
              <w:rPr>
                <w:sz w:val="20"/>
                <w:szCs w:val="20"/>
                <w:color w:val="auto"/>
              </w:rPr>
            </w:pPr>
            <w:r>
              <w:rPr>
                <w:rFonts w:ascii="Arial" w:cs="Arial" w:eastAsia="Arial" w:hAnsi="Arial"/>
                <w:sz w:val="14"/>
                <w:szCs w:val="14"/>
                <w:color w:val="auto"/>
              </w:rPr>
              <w:t>- net 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15,431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15,431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15,686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640"/>
              <w:spacing w:after="0" w:line="138" w:lineRule="exact"/>
              <w:rPr>
                <w:sz w:val="20"/>
                <w:szCs w:val="20"/>
                <w:color w:val="auto"/>
              </w:rPr>
            </w:pPr>
            <w:r>
              <w:rPr>
                <w:rFonts w:ascii="Arial" w:cs="Arial" w:eastAsia="Arial" w:hAnsi="Arial"/>
                <w:sz w:val="14"/>
                <w:szCs w:val="14"/>
                <w:color w:val="auto"/>
                <w:w w:val="91"/>
              </w:rPr>
              <w:t>Amortization of interest rate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1,042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1,042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(39,817)</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(39,817)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(481)</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(40,298)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4,347</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4,347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4,399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65,312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8,315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73,627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Business acquisitions and related equity</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transactions:</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 issuable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ind w:left="420"/>
              <w:spacing w:after="0"/>
              <w:rPr>
                <w:sz w:val="20"/>
                <w:szCs w:val="20"/>
                <w:color w:val="auto"/>
              </w:rPr>
            </w:pPr>
            <w:r>
              <w:rPr>
                <w:rFonts w:ascii="Arial" w:cs="Arial" w:eastAsia="Arial" w:hAnsi="Arial"/>
                <w:sz w:val="14"/>
                <w:szCs w:val="14"/>
                <w:color w:val="auto"/>
                <w:w w:val="92"/>
              </w:rPr>
              <w:t>(including related amortization)</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4,030</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4,030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Delivery of Class A common stock</w:t>
            </w: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(1,633)</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(57,287)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1,633</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3"/>
              </w:rPr>
              <w:t>Amortization of share-based incentive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306,642</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306,642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3,706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310,348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24,990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(135,108)</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(135,108)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Purchase of Class A common stock</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12,817,196</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(354,464)</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(354,464)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(354,464)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6"/>
              </w:rPr>
              <w:t>Delivery of Class A common stock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w w:val="90"/>
              </w:rPr>
              <w:t>incentive compensation and related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tax expense of $972</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6"/>
              </w:rPr>
              <w:t>(153,274)</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(3,448,988)</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107,431</w:t>
            </w: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(45,843)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(45,855)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Modification of equity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award</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(26,601)</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(26,601)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(321)</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(26,922)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common 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5,207,112</w:t>
            </w:r>
          </w:p>
        </w:tc>
        <w:tc>
          <w:tcPr>
            <w:tcW w:w="5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(26,026)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(26,026)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rPr>
              <w:t>Deconsolidation of investment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companies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(14,783)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Adjustments related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32,935</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(3,180)</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29,755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(29,755)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December 31, 2012</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40" w:type="dxa"/>
            <w:vAlign w:val="bottom"/>
            <w:gridSpan w:val="2"/>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128,216,424</w:t>
            </w:r>
          </w:p>
        </w:tc>
        <w:tc>
          <w:tcPr>
            <w:tcW w:w="60" w:type="dxa"/>
            <w:vAlign w:val="bottom"/>
          </w:tcPr>
          <w:p>
            <w:pPr>
              <w:spacing w:after="0"/>
              <w:rPr>
                <w:sz w:val="13"/>
                <w:szCs w:val="13"/>
                <w:color w:val="auto"/>
              </w:rPr>
            </w:pPr>
          </w:p>
        </w:tc>
        <w:tc>
          <w:tcPr>
            <w:tcW w:w="5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1,282</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846,050</w:t>
            </w:r>
          </w:p>
        </w:tc>
        <w:tc>
          <w:tcPr>
            <w:tcW w:w="7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93"/>
              </w:rPr>
              <w:t>$ 182,647</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(110,541)</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1"/>
              </w:rPr>
              <w:t>12,802,938</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(349,782)</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569,656</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81,884</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651,540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60" w:hanging="332"/>
        <w:spacing w:after="0" w:line="186"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Includes 119,697,936, 123,009,311 and 128,216,423 shares of the Company’s Class A common stock issued at December 31, 2010, 2011 and, 2012,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Lazard Ltd indirectly held approximately 98.8% and 94.8% of all outstanding Lazard Group common membership interests as of December 31, 2012 and 2011, respectively.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1.2% and 5.2% of the outstanding Lazard Group common membership interests as of December 31, 2012 and 2011, respectively. Additionally, LAZ-MD Holdings was the sole owner of the one issued and outstanding share of Lazard Ltd’s Class B common stock (the “Class B common stock”) which provided LAZ-MD Holdings with approximately 1.2% and 5.2% of the voting power but no economic rights in the Company as of December 31, 2012 and 2011,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The Company’s policy is to consolidate (i) entities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26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(losses) amounted to $(761), $1,406 and $(1,606), respectively, for the years ended December 31, 2012, 2011 and 2010, and are included in “revenue-other” on the respective consolidated statements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90" w:lineRule="exact"/>
        <w:rPr>
          <w:sz w:val="20"/>
          <w:szCs w:val="20"/>
          <w:color w:val="auto"/>
        </w:rPr>
      </w:pPr>
    </w:p>
    <w:p>
      <w:pPr>
        <w:ind w:left="900" w:right="6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share-based and other deferred compensation plan forfeitures,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Deposits with Banks</w:t>
      </w:r>
      <w:r>
        <w:rPr>
          <w:rFonts w:ascii="Arial" w:cs="Arial" w:eastAsia="Arial" w:hAnsi="Arial"/>
          <w:sz w:val="18"/>
          <w:szCs w:val="18"/>
          <w:color w:val="auto"/>
        </w:rPr>
        <w:t>—Represents LFB’s short-term deposits, principally with the Banque de France. The level of these deposits may be driven by the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LFB customer and bank-related interest-bearing time and demand deposits (which can fluctuate significantly on a daily basis) and by changes in asset allocation.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65"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i w:val="1"/>
          <w:iCs w:val="1"/>
          <w:color w:val="auto"/>
        </w:rPr>
        <w:t>Investments</w:t>
      </w:r>
      <w:r>
        <w:rPr>
          <w:rFonts w:ascii="Arial" w:cs="Arial" w:eastAsia="Arial" w:hAnsi="Arial"/>
          <w:sz w:val="16"/>
          <w:szCs w:val="16"/>
          <w:b w:val="1"/>
          <w:bCs w:val="1"/>
          <w:color w:val="auto"/>
        </w:rPr>
        <w:t>—</w:t>
      </w:r>
      <w:r>
        <w:rPr>
          <w:rFonts w:ascii="Arial" w:cs="Arial" w:eastAsia="Arial" w:hAnsi="Arial"/>
          <w:sz w:val="16"/>
          <w:szCs w:val="16"/>
          <w:color w:val="auto"/>
        </w:rPr>
        <w:t>Investments in debt and marketable equity securities held either directly, or indirectly through asset management funds, at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0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Investments in debt and marketable equity securities held at the Company’s non broker-dealer subsidiaries may include “trading”, “available-for-sale” and “held-to-maturity” securities. Investments in debt and marketable equity securities considered “trading” securities are accounted for at fair value, with any increase or decrease in fair value reflected in “revenue-other” in the consolidated statements of operations. Investments in debt securities considered “available-for-sale” securities are accounted for at fair value, with any increase or decrease in fair value reported in AOCI, until the gains and losses are realized and reclassified to earnings. Investments in debt securities considered “held-to-maturity” securities are accounted for at amortized cost. Declines in the fair value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“available-for-sale” and “held-to-maturity” securities that are determined to be other-than-temporary are charged to earnings, which, for periods beginning after April 1, 2009, may only include the credit loss component of such declines. At December 31, 2010 and subsequent thereto, the Company had no “available-for-sale” or “held-to-maturity” debt or marketable equity securities.</w:t>
      </w:r>
    </w:p>
    <w:p>
      <w:pPr>
        <w:spacing w:after="0" w:line="14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of Notes to Consolidated Financial Statements for additional information regarding the Company’s investments.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property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8 and 12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$30,855, $24,580 and $22,712 for the years ended December 31, 2012, 2011 and 2010,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b w:val="1"/>
          <w:bCs w:val="1"/>
          <w:i w:val="1"/>
          <w:iCs w:val="1"/>
          <w:color w:val="auto"/>
        </w:rPr>
        <w:t>Goodwill and Other Intangible Assets—</w:t>
      </w:r>
      <w:r>
        <w:rPr>
          <w:rFonts w:ascii="Arial" w:cs="Arial" w:eastAsia="Arial" w:hAnsi="Arial"/>
          <w:sz w:val="18"/>
          <w:szCs w:val="18"/>
          <w:color w:val="auto"/>
        </w:rPr>
        <w:t>As goodwill has an indefinite life, it is required to be tested for impairment annually or more frequently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impairment may have occurred. For years prior to 2011, the Company assessed whether any goodwill recorded by its applicable reporting units was impaired by comparing the fair value of each reporting unit with its respective carrying amount. In this process, Lazard used its best judgment and information available to it at the time to perform this review and utilized various valuation techniques in order to determine the applicable fair values. Commencing in 2011, as permitted under an amendment issued by the Financial Accounting Standards Board (the “FASB”), the Company elected to perform a qualitative evaluation about whether it is more likely than not that the fair value of a reporting unit is less than its carrying amount in lieu of actually calculating the fair value of the reporting unit.</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Consolidated Financial Statements with respect to goodwill and other intangible assets.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contracts not designated as hedging instruments are included in “interest income” and “interest expense”, respectively, or “revenue-other”, depending on the nature of the underlying item, in the consolidated statements of operations.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above, the Company recognized derivative liabilities relating to its obligations pertaining to Lazard Fund Interests awards (“Lazard Fund Interests”) and other similar deferred compensation arrangements, the fair value of which is based on the value of the underlying investments, as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and other similar deferred compensation arrangements, and are reported in “revenue-other” in the consolidated statements of operations. For information regarding Lazard Fund Interests and other similar deferred compensation arrangements, see Notes 5, 7 and 14 of Notes to Consolidated Financial Statements.</w:t>
      </w:r>
    </w:p>
    <w:p>
      <w:pPr>
        <w:spacing w:after="0" w:line="112" w:lineRule="exact"/>
        <w:rPr>
          <w:sz w:val="20"/>
          <w:szCs w:val="20"/>
          <w:color w:val="auto"/>
        </w:rPr>
      </w:pPr>
    </w:p>
    <w:p>
      <w:pPr>
        <w:jc w:val="both"/>
        <w:ind w:right="220" w:firstLine="456"/>
        <w:spacing w:after="0" w:line="339" w:lineRule="auto"/>
        <w:rPr>
          <w:sz w:val="20"/>
          <w:szCs w:val="20"/>
          <w:color w:val="auto"/>
        </w:rPr>
      </w:pPr>
      <w:r>
        <w:rPr>
          <w:rFonts w:ascii="Arial" w:cs="Arial" w:eastAsia="Arial" w:hAnsi="Arial"/>
          <w:sz w:val="15"/>
          <w:szCs w:val="15"/>
          <w:b w:val="1"/>
          <w:bCs w:val="1"/>
          <w:i w:val="1"/>
          <w:iCs w:val="1"/>
          <w:color w:val="auto"/>
        </w:rPr>
        <w:t>Deposits and Other Customer Payables</w:t>
      </w:r>
      <w:r>
        <w:rPr>
          <w:rFonts w:ascii="Arial" w:cs="Arial" w:eastAsia="Arial" w:hAnsi="Arial"/>
          <w:sz w:val="15"/>
          <w:szCs w:val="15"/>
          <w:b w:val="1"/>
          <w:bCs w:val="1"/>
          <w:color w:val="auto"/>
        </w:rPr>
        <w:t>—</w:t>
      </w:r>
      <w:r>
        <w:rPr>
          <w:rFonts w:ascii="Arial" w:cs="Arial" w:eastAsia="Arial" w:hAnsi="Arial"/>
          <w:sz w:val="15"/>
          <w:szCs w:val="15"/>
          <w:color w:val="auto"/>
        </w:rPr>
        <w:t>Principally relates to LFB customer-related demand and time deposits, both interest-bearing and non-interest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bearing, short-term inter-bank borrowings and amounts due on short-term collateralized borrowing activities. Collateralized borrowing activities amounted to $13,854 and $8,928 at December 31, 2012 and 2011, respectively, and were fully collateralized with pledged assets of equal or greater value at each such date.</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fair value. Such assets and liabilities include cash and cash equivalents, deposits with banks,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Other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2012, 2011 and 2010 are $24,762, $18,942 and $20,216, respectively.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Revenue is 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Equity-Based Incentive Compensation Awards—</w:t>
      </w:r>
      <w:r>
        <w:rPr>
          <w:rFonts w:ascii="Arial" w:cs="Arial" w:eastAsia="Arial" w:hAnsi="Arial"/>
          <w:sz w:val="18"/>
          <w:szCs w:val="18"/>
          <w:color w:val="auto"/>
        </w:rPr>
        <w:t>Equity-based incentive compensation awards that do not require future service are expensed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Equity-based compensation awards that require future service are amortized over the applicable vesting period, or requisite service period, based on the fair value of the Company’s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Class A common stock on the date of grant. Equity-based incentive compensation is recognized in “compensation and benefits” expense (and, as applicable, in “restructuring” expense, with respect to the expense associated with the acceleration of unrecognized expense pertaining to awards granted previously to individuals who were terminated by the Company in the 2010 restructuring program described in Note 16 of Notes to Consolidated Financial Statements).</w:t>
      </w:r>
    </w:p>
    <w:p>
      <w:pPr>
        <w:spacing w:after="0" w:line="18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i w:val="1"/>
          <w:iCs w:val="1"/>
          <w:color w:val="auto"/>
        </w:rPr>
        <w:t>Costs-Saving and Restructuring Plans</w:t>
      </w:r>
      <w:r>
        <w:rPr>
          <w:rFonts w:ascii="Arial" w:cs="Arial" w:eastAsia="Arial" w:hAnsi="Arial"/>
          <w:sz w:val="16"/>
          <w:szCs w:val="16"/>
          <w:b w:val="1"/>
          <w:bCs w:val="1"/>
          <w:color w:val="auto"/>
        </w:rPr>
        <w:t>—</w:t>
      </w:r>
      <w:r>
        <w:rPr>
          <w:rFonts w:ascii="Arial" w:cs="Arial" w:eastAsia="Arial" w:hAnsi="Arial"/>
          <w:sz w:val="16"/>
          <w:szCs w:val="16"/>
          <w:color w:val="auto"/>
        </w:rPr>
        <w:t>The Company records charges associated with management-approved restructuring or cost-saving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reorganize one or more of the Company’s business segments. Such plans can include severance 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1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Lazard Ltd, through certain of its subsidiaries, is subject to U.S. corporate federal income tax on its allocable share of the results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of Lazard Group, and certain non-U.S. subsidiaries of the Company are subject to income taxes in their local jurisdictions. In addition, the Company is subject to New York City Unincorporated Business Taxes (“UBT”) attributable to Lazard Group’s operations apportioned to New York City.</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and the Company provides for U.S. income taxes on a current basis for substantially all of those earnings. The repatriation of prior year earnings attributable to “non-pass-through” entities would not result in the recognition of a material amount of additional U.S. income taxes.</w:t>
      </w:r>
    </w:p>
    <w:p>
      <w:pPr>
        <w:spacing w:after="0" w:line="14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 A deferred tax asset is recognized if it is more likely than not (defined as a likelihood of greater than 50%) that a tax benefit will be accepted by a taxing authority.</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84"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including, but not limited to, the following:</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nature, frequency, and magnitude of any recent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unrecognized tax benefits in “income tax expense”. See Note 17 of Notes to Consolidated Financial Statements for additional information relating to income taxes.</w:t>
      </w:r>
    </w:p>
    <w:p>
      <w:pPr>
        <w:spacing w:after="0" w:line="25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—In the first quarter of 2012, the Company adopted the amended fair value measurement guidance issued by the FASB,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stated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are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became effective for interim and annual periods beginning after December 15, 2011 and is applied prospectively. The adoption of the amended fair value measurement guidance did not have a material impact on the Company’s consolidated financial statements, primarily because substantially all Level 3 assets are carried at net asset value (“NAV”) or its equivalent.</w:t>
      </w:r>
    </w:p>
    <w:p>
      <w:pPr>
        <w:spacing w:after="0" w:line="12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Other Comprehensive Income</w:t>
      </w:r>
      <w:r>
        <w:rPr>
          <w:rFonts w:ascii="Arial" w:cs="Arial" w:eastAsia="Arial" w:hAnsi="Arial"/>
          <w:sz w:val="18"/>
          <w:szCs w:val="18"/>
          <w:color w:val="auto"/>
        </w:rPr>
        <w:t>—In the first quarter of 2012, the Company adopted the FASB’s amended guidance regarding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the FASB stated was designed to improve comparability, consistency and transparency. The amendment required that all changes in comprehensive income be presented either in (i) a single continuous statement of comprehensive income or in (ii) two separate but consecutive statements. The amendment was to be applied retrospectively and is effective with interim and annual periods beginning after December 15, 2011, with early adoption permitted. The Company elected the two-statement method.</w:t>
      </w:r>
    </w:p>
    <w:p>
      <w:pPr>
        <w:spacing w:after="0" w:line="26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 - 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Receivables are stated net of an estimated allowance for doubtful accounts of $23,017 and $19,450 at December 31, 2012 and 2011, respectively, for past due amounts and for specific accounts deemed uncollectible, which may include situations where a fee is in dispute. The Company recorded bad debt expense of $6,579, $7,952 and $8,392 for the years ended December 31, 2012, 2011 and 2010, respectively. In addition, the Company recorded charge-offs, foreign currency translation and other adjustments, which resulted in a net decrease to the allowance for doubtful accounts of $3,012, $3,519 and $4,950 for the years ended December 31, 2012, 2011 and 2010, respectively. At December 31, 2012 and 2011, the Company had receivables deemed past due or uncollectible of $25,604 and $22,785,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short-term collateralized lending activities of LFB, the Company typically receives a pledge of specifically identified securities of equal or greater value than the amount of the cash loaned and that are permitted to be sold or repledged. Collateralized customer loan receivables, which amounted to $5,952 at December 31, 2011 were collateralized by securities of equal or greater value, none of which were sold or repledged (no such collateralized customer loan receivables existed at December 31, 2012).</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Of the Company’s total receivables at December 31, 2012 and 2011, $76,481 and $103,354, respectively, represented interest-bearing financing receivables. There was no allowance for doubtful accounts required at those dates related to such receivables as there were no past due or uncollectible amounts, primarily based upon our historical loss experience and the credit quality of the counterparties.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carrying amount of our non-interest bearing trade receivables of $401,562 and $401,101 at December 31, 2012 and 2011, respectively, approximates fair value.</w:t>
      </w:r>
    </w:p>
    <w:p>
      <w:pPr>
        <w:spacing w:after="0" w:line="25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$578 and $2,834, respectively)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36,966</w:t>
            </w:r>
          </w:p>
        </w:tc>
        <w:tc>
          <w:tcPr>
            <w:tcW w:w="100" w:type="dxa"/>
            <w:vAlign w:val="bottom"/>
            <w:shd w:val="clear" w:color="auto" w:fill="CCEEFF"/>
          </w:tcPr>
          <w:p>
            <w:pPr>
              <w:spacing w:after="0"/>
              <w:rPr>
                <w:sz w:val="18"/>
                <w:szCs w:val="18"/>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44,992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44,436</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59,622</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14,069</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154,310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89,657</w:t>
            </w:r>
          </w:p>
        </w:tc>
      </w:tr>
      <w:tr>
        <w:trPr>
          <w:trHeight w:val="229"/>
        </w:trPr>
        <w:tc>
          <w:tcPr>
            <w:tcW w:w="20" w:type="dxa"/>
            <w:vAlign w:val="bottom"/>
          </w:tcPr>
          <w:p>
            <w:pPr>
              <w:spacing w:after="0"/>
              <w:rPr>
                <w:sz w:val="19"/>
                <w:szCs w:val="19"/>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122,718</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356,721</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286,066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414,673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378,521</w:t>
            </w: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407,083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364,634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$5,054, $18,615 and $76,907, respectively, at December 31, 2012 and $5,367, $2,101 and $19,857, respectively, at December 31, 2011, held in order to satisfy the Company’s liability upon vesting of previously granted Lazard Fund Interests and other similar deferred compensation arrangements. Lazard Fund Interests represent grants by the Company to eligible employees of actual or notional interests in a number of Lazard-managed funds (see Notes 7 and 14 of Notes to Consolidated Financial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a private equity fund targeting significant noncontrolling-stake investments in established public and private companies, (iii) Edgewater Growth Capital Partners III, L.P. (“EGCP III”), a private equity fund primarily making equity and buyout investments in middle market companies, (iv) Lazard Australia Corporate Opportunities Fund (“COF2”), a Lazard-managed Australian private equity fund targeting Australian mid-market investments and (v) at December 31, 2011, Lazard Senior Housing Partners LP, which targets controlling interests in companies and assets in the senior housing, extended-stay hotel and shopping center sectors.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aggregated $11,490 and $18,502 at December 31, 2012 and 2011, respectively (see Note 12 of Notes to Consolidated Financial Statements).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years ended December 31, 2012, 2011 and 2010, the Company reported in revenue-other on its consolidated statements of operations gross unrealized investment gains and losses pertaining to “trading” securities as follows (including, for the years ended December 31, 2011 and 2010, restated amounts pertaining to certain non-broker dealer subsidiaries):</w:t>
      </w:r>
    </w:p>
    <w:p>
      <w:pPr>
        <w:spacing w:after="0" w:line="17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0</wp:posOffset>
            </wp:positionV>
            <wp:extent cx="16033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960"/>
        <w:spacing w:after="0"/>
        <w:tabs>
          <w:tab w:leader="none" w:pos="9960" w:val="left"/>
          <w:tab w:leader="none" w:pos="109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23,024</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12,844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 ended December 31, 2010 the Company reclassified to earnings realized gains of $1,755 and realized losses of $16,245 related to the sale of the “available-for-sale” portfolio. With respect to the items reclassified to earnings, the average cost basis was utilized for purposes of calculating realized investment gains and losses.</w:t>
      </w:r>
    </w:p>
    <w:p>
      <w:pPr>
        <w:spacing w:after="0" w:line="26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8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considered Level 1 assets when their respective fair values are based on unadjusted quoted prices in active markets and are considered Level 2 assets when their fair values are primarily based on prices as provided by external pricing services.</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fair value of equities is principally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fair value of investments in debt funds are considered Level 1 assets when the fair values are primarily based on the reported closing price for the fund or Level 2 assets when the fair values are primarily based on NAV or its equivalent and are redeemable within the near term.</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Level 3 represents funds valued based on NAV or its equivalent that are not redeemable within the near term.</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and the fair value of interest rate swaps is based on the interest rate yield curve; and the fair value of</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derivative liabilities related to Lazard Fund Interests and other similar deferred compensation arrangements is based on the value of the underlying investments, adjusted for forfeitures. See Note 7 of Notes to Consolidated Financial Statements.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external fund administrators or pricing services, the Company reviews such information to ascertain at which level within the fair value hierarchy to classify the investment.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 within the fair value hierarchy: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44,802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54,433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32,073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32,077</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145,231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223,549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408,016</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102,492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102,551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2011</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34,132</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44,065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44,436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49,451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59,622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13,802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14,069</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85,052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89,657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122,718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122,718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160,030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133,100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371,765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30,713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vMerge w:val="restart"/>
          </w:tcPr>
          <w:p>
            <w:pPr>
              <w:jc w:val="right"/>
              <w:ind w:right="1312"/>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2012 and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2012, 2011 and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 2012</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Realized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Included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Other (a)</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(35,796)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133,100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16,118</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8,599</w:t>
            </w:r>
          </w:p>
        </w:tc>
        <w:tc>
          <w:tcPr>
            <w:tcW w:w="1320" w:type="dxa"/>
            <w:vAlign w:val="bottom"/>
            <w:gridSpan w:val="4"/>
          </w:tcPr>
          <w:p>
            <w:pPr>
              <w:jc w:val="right"/>
              <w:ind w:right="360"/>
              <w:spacing w:after="0"/>
              <w:rPr>
                <w:sz w:val="20"/>
                <w:szCs w:val="20"/>
                <w:color w:val="auto"/>
              </w:rPr>
            </w:pPr>
            <w:r>
              <w:rPr>
                <w:rFonts w:ascii="Arial" w:cs="Arial" w:eastAsia="Arial" w:hAnsi="Arial"/>
                <w:sz w:val="18"/>
                <w:szCs w:val="18"/>
                <w:color w:val="auto"/>
              </w:rPr>
              <w:t>$ (42,670)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954</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 2011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Realized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Included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Other (a)</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10,340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(3,319)</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(69,218)(b)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43,482</w:t>
            </w:r>
          </w:p>
        </w:tc>
        <w:tc>
          <w:tcPr>
            <w:tcW w:w="13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(69,413)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 2010</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Realized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Included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Other (a)</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3"/>
              </w:rPr>
              <w:t>Disposition</w:t>
            </w:r>
          </w:p>
        </w:tc>
        <w:tc>
          <w:tcPr>
            <w:tcW w:w="18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34,288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(11,985)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8,652</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34,302</w:t>
            </w:r>
          </w:p>
        </w:tc>
        <w:tc>
          <w:tcPr>
            <w:tcW w:w="1320" w:type="dxa"/>
            <w:vAlign w:val="bottom"/>
            <w:gridSpan w:val="4"/>
          </w:tcPr>
          <w:p>
            <w:pPr>
              <w:jc w:val="right"/>
              <w:ind w:right="360"/>
              <w:spacing w:after="0"/>
              <w:rPr>
                <w:sz w:val="20"/>
                <w:szCs w:val="20"/>
                <w:color w:val="auto"/>
              </w:rPr>
            </w:pPr>
            <w:r>
              <w:rPr>
                <w:rFonts w:ascii="Arial" w:cs="Arial" w:eastAsia="Arial" w:hAnsi="Arial"/>
                <w:sz w:val="18"/>
                <w:szCs w:val="18"/>
                <w:color w:val="auto"/>
              </w:rPr>
              <w:t>$ (11,985)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(3,390)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Earnings for the years ended December 31, 2012, 2011 and 2010 include net unrealized gains (losses) of $12,910, $(3,268) and $8,299, respectively.</w:t>
      </w:r>
    </w:p>
    <w:p>
      <w:pPr>
        <w:spacing w:after="0" w:line="234"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Sales/dispositions of private equity fund investments for the year ended December 31, 2011 include $49,500 in connection with a reduction of interests in a fund which ceased to be consolidated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 below presents the carrying value, fair value and fair value hierarchy category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as of December 31, 2012 that are not measured at fair value in the Company’s consolidated statement of financial condition, and excludes certain financial instruments such as equity method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7"/>
              </w:rPr>
              <w:t>Fair Value Measurements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Quoted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Prices in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Active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Markets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Identical</w:t>
            </w:r>
          </w:p>
        </w:tc>
        <w:tc>
          <w:tcPr>
            <w:tcW w:w="56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8"/>
              </w:rPr>
              <w:t>Assets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w w:val="86"/>
              </w:rPr>
              <w:t>Fair Value</w:t>
            </w:r>
          </w:p>
        </w:tc>
        <w:tc>
          <w:tcPr>
            <w:tcW w:w="6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(Level 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850,190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850,190</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$850,190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292,494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292,494</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292,494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deposited with clearing organizations and other</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65,232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65,232</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65,232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9"/>
              </w:rPr>
              <w:t>Interest-bearing deposits (included within investments)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578</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269,763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269,763</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$269,763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1,076,850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1,207,227</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1,207,227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 Money market funds are valued through the use of quoted market prices, or $1.00, which generally is the NAV of the fund.</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carrying value of deposits with banks, and cash deposited with clearing organizations and other segregated cash, approximates fair value because of the relatively short period of time between their origination and expected maturity.</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Fair Value of Certain Investments Based on NAV</w:t>
      </w:r>
      <w:r>
        <w:rPr>
          <w:rFonts w:ascii="Arial" w:cs="Arial" w:eastAsia="Arial" w:hAnsi="Arial"/>
          <w:sz w:val="15"/>
          <w:szCs w:val="15"/>
          <w:color w:val="auto"/>
        </w:rPr>
        <w:t>—The Company’s Level 2 and Level 3 investments at December 31, 2012 and 2011 include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that are valued using an NAV or its equivalent as a practical expedient in determining fair value. Information with respect thereto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December 31, 2012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Investments Not Redeemable</w:t>
            </w:r>
          </w:p>
        </w:tc>
        <w:tc>
          <w:tcPr>
            <w:tcW w:w="220" w:type="dxa"/>
            <w:vAlign w:val="bottom"/>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Investments Redeemable</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Frequency</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223"/>
        </w:trPr>
        <w:tc>
          <w:tcPr>
            <w:tcW w:w="20" w:type="dxa"/>
            <w:vAlign w:val="bottom"/>
          </w:tcPr>
          <w:p>
            <w:pPr>
              <w:spacing w:after="0"/>
              <w:rPr>
                <w:sz w:val="19"/>
                <w:szCs w:val="19"/>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&lt;30-120 days</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Debt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(b)</w:t>
            </w:r>
          </w:p>
        </w:tc>
        <w:tc>
          <w:tcPr>
            <w:tcW w:w="1000" w:type="dxa"/>
            <w:vAlign w:val="bottom"/>
          </w:tcPr>
          <w:p>
            <w:pPr>
              <w:spacing w:after="0"/>
              <w:rPr>
                <w:sz w:val="20"/>
                <w:szCs w:val="20"/>
                <w:color w:val="auto"/>
              </w:rPr>
            </w:pPr>
            <w:r>
              <w:rPr>
                <w:rFonts w:ascii="Arial" w:cs="Arial" w:eastAsia="Arial" w:hAnsi="Arial"/>
                <w:sz w:val="18"/>
                <w:szCs w:val="18"/>
                <w:color w:val="auto"/>
              </w:rPr>
              <w:t>30 days</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30-120 days</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112,444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31,482</w:t>
            </w:r>
          </w:p>
        </w:tc>
        <w:tc>
          <w:tcPr>
            <w:tcW w:w="1040" w:type="dxa"/>
            <w:vAlign w:val="bottom"/>
            <w:gridSpan w:val="2"/>
          </w:tcPr>
          <w:p>
            <w:pPr>
              <w:jc w:val="right"/>
              <w:ind w:right="86"/>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179,417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daily (10%), weekly (9%), monthly (38%) and quarterly (43%)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8"/>
              </w:rPr>
              <w:t>December 31, 2011</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5"/>
          </w:tcPr>
          <w:p>
            <w:pPr>
              <w:ind w:left="200"/>
              <w:spacing w:after="0" w:line="129" w:lineRule="exact"/>
              <w:rPr>
                <w:sz w:val="20"/>
                <w:szCs w:val="20"/>
                <w:color w:val="auto"/>
              </w:rPr>
            </w:pPr>
            <w:r>
              <w:rPr>
                <w:rFonts w:ascii="Arial" w:cs="Arial" w:eastAsia="Arial" w:hAnsi="Arial"/>
                <w:sz w:val="14"/>
                <w:szCs w:val="14"/>
                <w:b w:val="1"/>
                <w:bCs w:val="1"/>
                <w:color w:val="auto"/>
                <w:w w:val="96"/>
              </w:rPr>
              <w:t>Estimated Liquidation Period of</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9"/>
              </w:rPr>
              <w:t>Investments Not Redeemable</w:t>
            </w:r>
          </w:p>
        </w:tc>
        <w:tc>
          <w:tcPr>
            <w:tcW w:w="200" w:type="dxa"/>
            <w:vAlign w:val="bottom"/>
          </w:tcPr>
          <w:p>
            <w:pPr>
              <w:spacing w:after="0"/>
              <w:rPr>
                <w:sz w:val="14"/>
                <w:szCs w:val="14"/>
                <w:color w:val="auto"/>
              </w:rPr>
            </w:pPr>
          </w:p>
        </w:tc>
        <w:tc>
          <w:tcPr>
            <w:tcW w:w="2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Unfunded</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Not</w:t>
            </w: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Redemption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Redemption</w:t>
            </w:r>
          </w:p>
        </w:tc>
        <w:tc>
          <w:tcPr>
            <w:tcW w:w="0" w:type="dxa"/>
            <w:vAlign w:val="bottom"/>
          </w:tcPr>
          <w:p>
            <w:pPr>
              <w:spacing w:after="0"/>
              <w:rPr>
                <w:sz w:val="1"/>
                <w:szCs w:val="1"/>
                <w:color w:val="auto"/>
              </w:rPr>
            </w:pPr>
          </w:p>
        </w:tc>
      </w:t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Alternative investment funds</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Fair value</w:t>
            </w:r>
          </w:p>
        </w:tc>
        <w:tc>
          <w:tcPr>
            <w:tcW w:w="3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Redeemable</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Frequency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Notice Period</w:t>
            </w: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&lt; 30-120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&lt; 30 days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82"/>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18"/>
                <w:szCs w:val="18"/>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(c)</w:t>
            </w:r>
          </w:p>
        </w:tc>
        <w:tc>
          <w:tcPr>
            <w:tcW w:w="1060" w:type="dxa"/>
            <w:vAlign w:val="bottom"/>
          </w:tcPr>
          <w:p>
            <w:pPr>
              <w:spacing w:after="0"/>
              <w:rPr>
                <w:sz w:val="20"/>
                <w:szCs w:val="20"/>
                <w:color w:val="auto"/>
              </w:rPr>
            </w:pPr>
            <w:r>
              <w:rPr>
                <w:rFonts w:ascii="Arial" w:cs="Arial" w:eastAsia="Arial" w:hAnsi="Arial"/>
                <w:sz w:val="18"/>
                <w:szCs w:val="18"/>
                <w:color w:val="auto"/>
              </w:rPr>
              <w:t>&lt; 30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122,718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w:t>
            </w:r>
          </w:p>
        </w:tc>
        <w:tc>
          <w:tcPr>
            <w:tcW w:w="1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187,212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52,197</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(17%), weekly (8%), monthly (37%) and quarterly (38%)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(95%)</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See Note 5 of Notes to Consolidated Financial Statements for discussion of significant investment strategies for investments with value based on NAV.</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December 31, 2012, the maximum unfunded commitments by the Company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(i) CP II, amounting to $1,940 for potential “follow-on investments” and/or for fund expenses through the earlier of February 25, 2017 or the liquidation of the fund, (ii) EGCP III, amounting to $21,435, through the earlier of October 12,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expenses (with a portion of the undrawn amount of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commitment as of that date remaining committed until October 12, 2023 in respect of “follow-on investments” and/or fund expenses) or the liquidation of the fund and (iii) COF2, amounting to $8,107, through the earlier of November 11,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commitment regarding EGCP III described above reflects a March 1, 2012 reduction of $17,400 from the Company’s original commitment of $50,000 that an investor group, owned by current and former managing directors, including certain of our executive officers, assumed from the Company. In connection with their assumption of this assumed commitment, each investor received a right to collect a portion of the Company’s carried interest arising from EGCP III, to the extent any such carried interest is actually received by the Company, equal to 20% of the profit earned by such investor on his or her investment.</w:t>
      </w:r>
    </w:p>
    <w:p>
      <w:pPr>
        <w:spacing w:after="0" w:line="23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tables below represent the fair values of the Company’s derivative instruments reported within “other assets” and “other liabilities” and the fair value of the Company’s derivative liabilities relating to its obligation pertaining to Lazard Fund Interests and other similar deferred compensation arrangements reported within “accrued compensation and benefits” (see Note 14 of Notes to Consolidated Financial Statements) on the accompanying consolidated statements of financial condition as of December 31,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8"/>
                <w:szCs w:val="18"/>
                <w:color w:val="auto"/>
              </w:rPr>
            </w:pPr>
          </w:p>
        </w:tc>
      </w:tr>
      <w:tr>
        <w:trPr>
          <w:trHeight w:val="222"/>
        </w:trPr>
        <w:tc>
          <w:tcPr>
            <w:tcW w:w="9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29,900</w:t>
            </w:r>
          </w:p>
        </w:tc>
        <w:tc>
          <w:tcPr>
            <w:tcW w:w="100" w:type="dxa"/>
            <w:vAlign w:val="bottom"/>
            <w:shd w:val="clear" w:color="auto" w:fill="CCEEFF"/>
          </w:tcPr>
          <w:p>
            <w:pPr>
              <w:spacing w:after="0"/>
              <w:rPr>
                <w:sz w:val="18"/>
                <w:szCs w:val="18"/>
                <w:color w:val="auto"/>
              </w:rPr>
            </w:pPr>
          </w:p>
        </w:tc>
      </w:tr>
      <w:tr>
        <w:trPr>
          <w:trHeight w:val="222"/>
        </w:trPr>
        <w:tc>
          <w:tcPr>
            <w:tcW w:w="9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102,492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30,713</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consolidated statements of operations for the years ended December 31, 2012, 2011 and 2010, were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Forward foreign currency exchange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2600"/>
        <w:spacing w:after="0" w:line="284" w:lineRule="auto"/>
        <w:rPr>
          <w:sz w:val="20"/>
          <w:szCs w:val="20"/>
          <w:color w:val="auto"/>
        </w:rPr>
      </w:pPr>
      <w:r>
        <w:rPr>
          <w:rFonts w:ascii="Arial" w:cs="Arial" w:eastAsia="Arial" w:hAnsi="Arial"/>
          <w:sz w:val="18"/>
          <w:szCs w:val="18"/>
          <w:color w:val="auto"/>
        </w:rPr>
        <w:t>Lazard Fund Interests and other similar deferred compensation arrangements Equity and fixed income swaps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6376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ind w:left="180"/>
        <w:spacing w:after="0"/>
        <w:tabs>
          <w:tab w:leader="none" w:pos="1180" w:val="left"/>
          <w:tab w:leader="none" w:pos="214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auto"/>
              </w:rPr>
              <w:t>(1,844)</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7"/>
              </w:rPr>
              <w:t>$2,422</w:t>
            </w:r>
          </w:p>
        </w:tc>
        <w:tc>
          <w:tcPr>
            <w:tcW w:w="10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$ 2,291</w:t>
            </w:r>
          </w:p>
        </w:tc>
        <w:tc>
          <w:tcPr>
            <w:tcW w:w="60" w:type="dxa"/>
            <w:vAlign w:val="bottom"/>
          </w:tcPr>
          <w:p>
            <w:pPr>
              <w:spacing w:after="0"/>
              <w:rPr>
                <w:sz w:val="16"/>
                <w:szCs w:val="16"/>
                <w:color w:val="auto"/>
              </w:rPr>
            </w:pPr>
          </w:p>
        </w:tc>
      </w:tr>
      <w:tr>
        <w:trPr>
          <w:trHeight w:val="216"/>
        </w:trPr>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(7,557)</w:t>
            </w:r>
          </w:p>
        </w:tc>
        <w:tc>
          <w:tcPr>
            <w:tcW w:w="500" w:type="dxa"/>
            <w:vAlign w:val="bottom"/>
          </w:tcPr>
          <w:p>
            <w:pPr>
              <w:jc w:val="right"/>
              <w:spacing w:after="0"/>
              <w:rPr>
                <w:sz w:val="20"/>
                <w:szCs w:val="20"/>
                <w:color w:val="auto"/>
              </w:rPr>
            </w:pPr>
            <w:r>
              <w:rPr>
                <w:rFonts w:ascii="Arial" w:cs="Arial" w:eastAsia="Arial" w:hAnsi="Arial"/>
                <w:sz w:val="18"/>
                <w:szCs w:val="18"/>
                <w:color w:val="auto"/>
              </w:rPr>
              <w:t>3,024</w:t>
            </w:r>
          </w:p>
        </w:tc>
        <w:tc>
          <w:tcPr>
            <w:tcW w:w="4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(18,327)</w:t>
            </w:r>
          </w:p>
        </w:tc>
        <w:tc>
          <w:tcPr>
            <w:tcW w:w="500" w:type="dxa"/>
            <w:vAlign w:val="bottom"/>
          </w:tcPr>
          <w:p>
            <w:pPr>
              <w:jc w:val="right"/>
              <w:spacing w:after="0"/>
              <w:rPr>
                <w:sz w:val="20"/>
                <w:szCs w:val="20"/>
                <w:color w:val="auto"/>
              </w:rPr>
            </w:pPr>
            <w:r>
              <w:rPr>
                <w:rFonts w:ascii="Arial" w:cs="Arial" w:eastAsia="Arial" w:hAnsi="Arial"/>
                <w:sz w:val="18"/>
                <w:szCs w:val="18"/>
                <w:color w:val="auto"/>
              </w:rPr>
              <w:t>4,276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(6,709)</w:t>
            </w:r>
          </w:p>
        </w:tc>
      </w:tr>
      <w:tr>
        <w:trPr>
          <w:trHeight w:val="20"/>
        </w:trPr>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(27,728)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9,722</w:t>
            </w:r>
          </w:p>
        </w:tc>
        <w:tc>
          <w:tcPr>
            <w:tcW w:w="10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(4,418)</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8020" w:space="720"/>
            <w:col w:w="2680"/>
          </w:cols>
          <w:pgMar w:left="240" w:top="459" w:right="239" w:bottom="1440" w:gutter="0" w:footer="0" w:header="0"/>
          <w:type w:val="continuous"/>
        </w:sectPr>
      </w:pPr>
    </w:p>
    <w:p>
      <w:pPr>
        <w:ind w:right="200" w:firstLine="456"/>
        <w:spacing w:after="0" w:line="268" w:lineRule="auto"/>
        <w:rPr>
          <w:sz w:val="20"/>
          <w:szCs w:val="20"/>
          <w:color w:val="auto"/>
        </w:rPr>
      </w:pPr>
      <w:r>
        <w:rPr>
          <w:rFonts w:ascii="Arial" w:cs="Arial" w:eastAsia="Arial" w:hAnsi="Arial"/>
          <w:sz w:val="18"/>
          <w:szCs w:val="18"/>
          <w:color w:val="auto"/>
        </w:rPr>
        <w:t>Derivatives designated as hedging instruments related to interest rate swaps that hedged “available-for-sale” securities and had been accounted for as fair value hedges. For the year ended December 31, 2010,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recognized pre-tax losses pertaining to interest rate swaps of $2,844. These losses were substantially offset by gains recognized on the hedged risk portion of such “available-for-sale” securities.</w:t>
      </w:r>
    </w:p>
    <w:p>
      <w:pPr>
        <w:spacing w:after="0" w:line="25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2012 and 2011 property-net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19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$166,560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$164,168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143,408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159,191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122,125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18,801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450,894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225,861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266,673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Property-net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225,033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2012 and 2011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392,822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393,099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2012 and 2011, goodwill of $299,787 and $292,116, respectively, was attributable to the Company’s Financial Advisory segment and, at each such respective date,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2012, 2011 and 2010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$ 261,703</w:t>
            </w:r>
          </w:p>
        </w:tc>
        <w:tc>
          <w:tcPr>
            <w:tcW w:w="18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4"/>
              </w:rPr>
              <w:t>Business acquisitions, including, in the 2011 and 2010 periods, additional contingent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consideration earned relating to prior year business acquisitions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41,174</w:t>
            </w:r>
          </w:p>
        </w:tc>
        <w:tc>
          <w:tcPr>
            <w:tcW w:w="18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180" w:type="dxa"/>
            <w:vAlign w:val="bottom"/>
            <w:shd w:val="clear" w:color="auto" w:fill="CCEEFF"/>
          </w:tcPr>
          <w:p>
            <w:pPr>
              <w:spacing w:after="0"/>
              <w:rPr>
                <w:sz w:val="18"/>
                <w:szCs w:val="18"/>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364,328</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356,657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$ 313,229</w:t>
            </w:r>
          </w:p>
        </w:tc>
        <w:tc>
          <w:tcPr>
            <w:tcW w:w="1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evaluates goodwill for impairment annually or more frequently if circumstances indicate that impairment may have occurred. The Company has selected December 31 as the date to perform its annual impairment evaluation. Pursuant to the Company’s goodwill impairment review for the years ended December 31, 2012, 2011 and 2010, the Company determined that no impairment existed.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2012 and 2011,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28,494</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63,364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2012, 2011 and 2010 was $8,359, $11,915 and $7,867,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4060" w:type="dxa"/>
            <w:vAlign w:val="bottom"/>
            <w:gridSpan w:val="4"/>
          </w:tcPr>
          <w:p>
            <w:pPr>
              <w:ind w:left="31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5300" w:type="dxa"/>
            <w:vAlign w:val="bottom"/>
            <w:gridSpan w:val="4"/>
            <w:vMerge w:val="continue"/>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74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3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2012 and 2011:</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deferred tax assets (net of valuation allowance) and other taxes</w:t>
            </w:r>
          </w:p>
        </w:tc>
        <w:tc>
          <w:tcPr>
            <w:tcW w:w="10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$137,394</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47,445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advances and prepayments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4,902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2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268,406</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000"/>
              <w:spacing w:after="0"/>
              <w:rPr>
                <w:sz w:val="20"/>
                <w:szCs w:val="20"/>
                <w:color w:val="auto"/>
              </w:rPr>
            </w:pPr>
            <w:r>
              <w:rPr>
                <w:rFonts w:ascii="Arial" w:cs="Arial" w:eastAsia="Arial" w:hAnsi="Arial"/>
                <w:sz w:val="18"/>
                <w:szCs w:val="18"/>
                <w:color w:val="auto"/>
              </w:rPr>
              <w:t>100</w:t>
            </w:r>
          </w:p>
        </w:tc>
        <w:tc>
          <w:tcPr>
            <w:tcW w:w="1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2012 and 2011:</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$147,194</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Current and deferred income taxes and other taxes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121,854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112,691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74,880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8,475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32,148</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499,651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440,131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December 31,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Rate</w:t>
            </w:r>
          </w:p>
        </w:tc>
        <w:tc>
          <w:tcPr>
            <w:tcW w:w="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 (a)</w:t>
            </w: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Lazard Group 6.85% Senior Notes</w:t>
            </w:r>
          </w:p>
        </w:tc>
        <w:tc>
          <w:tcPr>
            <w:tcW w:w="286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4"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During the year ended December 31, 2010, the Company repurchased $10,000 principal amount of the 7.125% Senior Notes, at a cost, excluding accrued interest, of $10,375, and, after the write-off of applicable unamortized debt issuance costs of $49, the Company recognized a pre-tax loss of $424. In connection with the issuance of the 7.125% Senior Notes, on April 1, 2005, Lazard Group entered into an interest rate forward agreement. On May 9, 2005, Lazard Group settled the interest rate forward agreement, of which $11,003 was deemed to be the effective portion of the hedge and recorded within AOCI and is being amortized as a charge to interest expense over the ten-year term of the 7.125% Senior Notes.</w:t>
      </w:r>
    </w:p>
    <w:p>
      <w:pPr>
        <w:spacing w:after="0" w:line="35"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December 31, 2012, the annual interest rate for a loan accruing interest (based on the Federal Funds overnight rate), including the applicable margin, was 0.92%. At December 31, 2012 and 2011, no amounts were outstanding under the Credit Facility or the prior revolving credit facility, respectively.</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event of early redemption, where applicable. As of December 31, 2012, the Company was in compliance with all of these provisions. All of the Company’s senior debt obligations are unsecured.</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2012 for each of the five years in the period ending December 31, 2017 are set forth in the table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2013-2014</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2015</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528,500</w:t>
            </w:r>
          </w:p>
        </w:tc>
        <w:tc>
          <w:tcPr>
            <w:tcW w:w="1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548,350</w:t>
            </w:r>
          </w:p>
        </w:tc>
        <w:tc>
          <w:tcPr>
            <w:tcW w:w="120" w:type="dxa"/>
            <w:vAlign w:val="bottom"/>
          </w:tcPr>
          <w:p>
            <w:pPr>
              <w:spacing w:after="0"/>
              <w:rPr>
                <w:sz w:val="20"/>
                <w:szCs w:val="20"/>
                <w:color w:val="auto"/>
              </w:rPr>
            </w:pP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1,076,850</w:t>
            </w:r>
          </w:p>
        </w:tc>
        <w:tc>
          <w:tcPr>
            <w:tcW w:w="12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senior debt at December 31, 2012 and 2011 is recorded at historical amounts. See Note 6 of Notes to Consolidated Financial Statements for information regarding the fair value and fair value hierarchy category of the Company’s senior debt.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2012, the Company had approximately $301,000 in unused lines of credit available to it, including the Credit Facility, and unused lines of credit available to LFB of approximately $92,000 (at December 31, 2012 exchange rates) and Edgewater of $55,000. In addition, LFB has access to the Eurosystem Covered Bond Purchase Program of the Banque de France.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On July 22, 2011, the Company repurchased its then outstanding $150,000 subordinated promissory note, at a cost, excluding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of $131,829. Such repurchase resulted in a pre-tax gain of $18,171, which was recognized by the Company in the third quarter of 2011 and included in “revenue-other” on the accompanying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2012, 2011 and 2010, aggregate rental expense relating to operating leases amounted to $80,888, $76,718 and $66,350,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2033. Sublease income from such agreements was $9,613, $10,967 and $10,478 for the years ended December 31, 2012, 2011 and 2010, respectively.</w:t>
      </w:r>
    </w:p>
    <w:p>
      <w:pPr>
        <w:spacing w:after="0" w:line="116"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Capital lease obligations recorded under sale/leaseback transactions are payable through 2017 at a weighted average interest rate of approximately 6.3%. Such obligations are collateralized primarily by certain buildings with a net book value of approximately $21,932 and $22,491 at December 31, 2012 and 2011, respectively. The net book value of all assets recorded under capital leases aggregated $23,486 and $24,589 at December 31, 2012 and 2011, respectively.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2012, minimum rental commitments under non-cancelable leases, net of sublease income, are approximately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46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3,637</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74,036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3,119</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Less sublease proceeds</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163,302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abandoned leased facilities in the U.K., at December 31, 2012 and 2011, the Company has recognized liabilities of $7,516 and $10,632,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which are included in “other liabilities” on the consolidated statements of financial condition. Payments toward the liabilities continue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term of the leases. Such liabilities are based on the discounted future commitment, net of expected sublease income.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the Company recorded a charge of $5,539 related to such abandoned lease facilities, which is included within “occupancy and equipment”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 of operations.</w:t>
      </w:r>
    </w:p>
    <w:p>
      <w:pPr>
        <w:spacing w:after="0" w:line="165"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2012, LFB had $5,028 of such indemnifications and held $3,890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Certain Business Transactions</w:t>
      </w:r>
      <w:r>
        <w:rPr>
          <w:rFonts w:ascii="Arial" w:cs="Arial" w:eastAsia="Arial" w:hAnsi="Arial"/>
          <w:sz w:val="16"/>
          <w:szCs w:val="16"/>
          <w:color w:val="auto"/>
        </w:rPr>
        <w:t>—On September 25, 2008, the Company, LAM and LAZ Sub I, LLC, a then newly-formed subsidiary of LFNY, completed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113"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consisted of (i) cash payments made from the closing of the LAM Merger through January 2, 2009 of approximately $60,000, (ii) a cash payment made on October 31, 2011 of approximately $90,000, (iii) the delivery on October 31, 2011 of 2,210,520 shares of Class A common stock and (iv) the satisfaction of Lazard’s minimum statutory tax withholding requirements for certain employees in lieu of delivering 68,384 shares of Class A common stock on October 31, 2011. In addition, with respect to certain former employees of LAM and its subsidiaries, as of December 31, 2012, additional cash payments of $961 and additional issuances of 24,537 shares of Class A common stock are subject to delayed payment/issuance until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eighth anniversary of the closing of the LAM Merger because the applicable employees were no longer employed by Lazard or its affiliates on October 31, 2011, subject to certain exceptions.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December 31, 2012 and 2011, 1,209,154 and 514,850 shares, respectively, have been earned because applicable performance thresholds have been satisfied. Such shares are no longer subject to any contingencies. As of the respective dates, 686,004 and 343,002 of such shares have been settled.</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Contingent Consideration Relating To Other Business Acquisitions</w:t>
      </w:r>
      <w:r>
        <w:rPr>
          <w:rFonts w:ascii="Arial" w:cs="Arial" w:eastAsia="Arial" w:hAnsi="Arial"/>
          <w:sz w:val="16"/>
          <w:szCs w:val="16"/>
          <w:color w:val="auto"/>
        </w:rPr>
        <w:t>—For a business acquired in 2011, the Company is obligated to pay earnout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if certain performance thresholds are achieved. The maximum potential earnout consideration payable by the Company cannot exceed $7,000. For the years ended December 31, 2012 and 2011, no cash payments relating to the earnout consideration were required.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certain other business acquisitions, at December 31, 2012, 121,076 shares of Class A common stock were issuable on a contingent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16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December 31, 2012 aggregated approximately $23,000.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See Notes 6 and 15 of Notes to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December 31, 2012, LFB had no such underwriting commitments.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—The Company is involved from time to time in judicial, regulatory and arbitration proceedings and inquiries concerning matters arising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conduct of our businesses, including proceedings initiated by former employees alleging wrongful termination. The Company reviews such matters on a case-by-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4"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Issuance of Class A Common Shares</w:t>
      </w:r>
      <w:r>
        <w:rPr>
          <w:rFonts w:ascii="Arial" w:cs="Arial" w:eastAsia="Arial" w:hAnsi="Arial"/>
          <w:sz w:val="15"/>
          <w:szCs w:val="15"/>
          <w:color w:val="auto"/>
        </w:rPr>
        <w:t>—During the year ended December 31, 2010, 3,000,000 shares of Class A common stock were newly issued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 In addition, during the years ended December 31, 2011 and 2010, the Company issued an aggregate of 2,434,561 and 888,605 shares of Class A common stock, respectively, and during the year ended December 31, 2011, delivered 3,515,362 shares from Class A common stock held by its subsidiaries in connection with the LAM Merger (as described in Note 12 of Notes to Consolidated Financial Statements) and certain prior year business acquisitions.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—Pursuant to the applicable Prospectus Supplements during 2010, certain selling shareholders of Lazard Ltd (which included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former managing directors of Lazard (and, from time to time, certain of our directors, executive officers or former executive officers) and their permitted transferees (collectively, the “Selling Shareholders”), who held LAZ-MD Holdings exchangeable interests and/or Class A common stock) offered to sell shares of Class A common stock pursuant to applicable underwriting and pricing agreements. Secondary offerings during the year ended December 31, 2010 are described below (no such secondary offerings occurred during the years ended December 31, 2012 and 2011).</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March 2010, certain Selling Shareholders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August 2010, certain Selling Shareholders (the “August 2010 Selling Shareholders”) sold 7,397,837 shares of Class A common stock at a price of</w:t>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$30.32 per share (the “August 2010 Secondary Offering”). Separately, in connection with the August 2010 Secondary Offering, Lazard Group agreed to purchase from the August 2010 Selling Shareholders 2,500,000 shares of Class A common stock for an aggregate cost of $75,800 ($30.32 per share), with such purchase being part of the share repurchase program in effect during 2010. In the aggregate, the August 2010 Selling Shareholders sold a total of 9,897,837 shares of Class A common stock (including 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14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November 2010, certain Selling Shareholders (the “November 2010 Selling Shareholders”) sold 3,000,000 shares of Class A common stock at a price of $35.77 per share (the “November 2010 Secondary Offering”, and together with the March 2010 Secondary Offering and the August 2010 Secondary Offering,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“2010 Secondary Offerings”). Separately, in connection with the November 2010 Secondary Offering, Lazard Group agreed to purchase from the November 2010 Selling Shareholders 1,220,714 shares of Class A common stock for an aggregate cost of $43,665 ($35.77 per share), with such purchase being part of the share repurchase program in effect during 2010. In the aggregate, the November 2010 Selling Shareholders sold a total of 4,220,714 shares of Class A common stock (including 1,543,245 shares of Class A common stock previously received upon the exchange of a like number of LAZ-MD Holdings exchangeable interests and 2,677,469 shares of Class A common stock received upon a simultaneous exchange of a like number of LAZ-MD Holdings exchangeable interests).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 did not receive any net proceeds from the sales of Class A common stock from the 2010 Secondary Offerings.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2012, 2011 and 2010,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distributions: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52,135</w:t>
            </w:r>
          </w:p>
        </w:tc>
        <w:tc>
          <w:tcPr>
            <w:tcW w:w="100" w:type="dxa"/>
            <w:vAlign w:val="bottom"/>
            <w:shd w:val="clear" w:color="auto" w:fill="CCEEFF"/>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17,499</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61,615</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5,170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135,108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70,572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50,581</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140,278</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74,955</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60,385</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—In addition to the simultaneous exchanges that occurred in connection with the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Secondary Offerings discussed above, during the years ended December 31, 2012, 2011 and 2010, Lazard Ltd issued 5,207,112, 876,614 and 12,081,618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13"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See “Noncontrolling Interests” below for additional information regarding Lazard Ltd’s and LAZ-MD Holdings’ ownership interests in Lazard Group. 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April 2012 and October 2012 the Board of Directors of Lazard Ltd authorized,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cumulative basis, the repurchase of up to $250,000, $125,000, $125,000 and $200,000,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2005 Plan and the Lazard Ltd 2008 Incentive Compensation Plan (the “2008 Plan”). Pursuant to such authorizations, purchases have been made in the open market or through privately negotiated transactions, and since inception of the program in February 2006 through December 31, 2012, purchases with respect to such program are set forth in the table below (including, during the year ended December 31, 2012, purchases of 12,817,196 Class A common shares, at an aggregate cost of $354,464 (no Lazard Group common membership interests were purchased during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9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83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210"/>
        </w:trPr>
        <w:tc>
          <w:tcPr>
            <w:tcW w:w="8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35,726,044</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1,400,089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result of the delivery of shares of Class A common stock through December 31, 2012 relating to (i) the settlement of vested RSUs and deferred stock unit grants (“DSUs”), (ii) the incentive plan share awards of shares of restricted Class A common stock, (iii) the delivery of shares of restricted Class A common stock in exchange for RSUs and (iv) the delivery of shares of Class A common stock in connection with business acquisitions and the LAM Merger, there were 12,802,938 and 3,492,017 shares of Class A common stock held by our subsidiaries at December 31, 2012 and 2011, respectively. Such Class A common shares are reported, at cost, as “Class A common stock held by subsidiaries” on the accompanying consolidated statements of financial condition.</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December 31, 2012, after giving effect to the forward purchase agreement as described below, $154,066 of the current share repurchase amount authorized as of such date remained available under the share repurchase program, all of which expires December 31, 2014. In addition, under the terms of the 2005 Plan and the 2008 Plan, upon the vesting of RSUs and delivery of restricted Class A common stock, shares of Class A common stock may be withheld by the Company to cover its minimum statutory tax withholding requirements (see Note 14 of Notes to Consolidated Financial Statements).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2012, the Company had in place trading plans under Rule 10b5-1 of the Securities Exchange Act of 1934, pursuant to which it effected stock repurchases through the open market.</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and are each non-participating securities convertible into Class A common stock, and have no voting or dividend rights. During the years ended December 31, 2011 and 2010, 14,100 and 4,862 shares of Series A preferred stock, respectively, were converted into shares of Class A common stock, resulting in the issuance of 2,434,561 and 572,988 shares of Class A common stock in the respective years. As of both December 31, 2012 and 2011, 7,921 shares of Series A preferred stock were outstanding, and no shares of Series B preferred stock were outstanding. At December 31, 2012, no shares of Series A preferred stock were convertible into shares of Class A common stock on a contingent or a non-contingent basis.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color w:val="auto"/>
        </w:rPr>
        <w:t>The components of AOCI at December 31, 2012 and 2011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(128,536)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(92,637)</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(111,633)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(92,475)</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Amount attributable to noncontrolling interests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Total Lazard Ltd AOCI</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(110,541)</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(88,364)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As of December 31, 2012 and 2011, LAZ-MD Holdings held approximately 1.2% and 5.2%, respectively, of the outstanding Lazard Group common membership interests. Subject to certain limitations, LAZ-MD Holdings’ interests in Lazard Group are exchangeable for Class A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changes in ownership interests in Lazard Group held by Lazard Ltd and LAZ-MD Holdings during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3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Lazard Ltd</w:t>
            </w:r>
          </w:p>
        </w:tc>
        <w:tc>
          <w:tcPr>
            <w:tcW w:w="22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LAZ-MD Holdings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940" w:type="dxa"/>
            <w:vAlign w:val="bottom"/>
            <w:gridSpan w:val="2"/>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Ownership</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Interests</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Ownership</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92,165,912</w:t>
            </w:r>
          </w:p>
        </w:tc>
        <w:tc>
          <w:tcPr>
            <w:tcW w:w="30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31,520,426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123,686,338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Activity January 1, 2010 to December 31, 2010:</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Equity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2010 Secondary Offerings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11,561,801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(11,561,801)</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12,081,618</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(12,081,618)</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Business acquisitions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888,605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888,605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LAZ-MD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00" w:type="dxa"/>
            <w:vAlign w:val="bottom"/>
          </w:tcPr>
          <w:p>
            <w:pPr>
              <w:ind w:left="1060"/>
              <w:spacing w:after="0"/>
              <w:rPr>
                <w:sz w:val="20"/>
                <w:szCs w:val="20"/>
                <w:color w:val="auto"/>
              </w:rPr>
            </w:pPr>
            <w:r>
              <w:rPr>
                <w:rFonts w:ascii="Arial" w:cs="Arial" w:eastAsia="Arial" w:hAnsi="Arial"/>
                <w:sz w:val="18"/>
                <w:szCs w:val="18"/>
                <w:color w:val="auto"/>
              </w:rPr>
              <w:t>Holdings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(224,382)</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119,697,936</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7,652,625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127,350,561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Activity January 1, 2011 to December 31, 2011:</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876,814</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(876,814)</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Business acquisitions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2,434,561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2,434,561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LAZ-MD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00" w:type="dxa"/>
            <w:vAlign w:val="bottom"/>
          </w:tcPr>
          <w:p>
            <w:pPr>
              <w:ind w:left="1060"/>
              <w:spacing w:after="0"/>
              <w:rPr>
                <w:sz w:val="20"/>
                <w:szCs w:val="20"/>
                <w:color w:val="auto"/>
              </w:rPr>
            </w:pPr>
            <w:r>
              <w:rPr>
                <w:rFonts w:ascii="Arial" w:cs="Arial" w:eastAsia="Arial" w:hAnsi="Arial"/>
                <w:sz w:val="18"/>
                <w:szCs w:val="18"/>
                <w:color w:val="auto"/>
              </w:rPr>
              <w:t>Holdings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(19,032)</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123,009,311</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6,756,779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Activity January 1, 2012 to December 31, 2012:</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5,207,112</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(5,207,112)</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128,216,423</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1,549,667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years ended December 31, 2012, 2011 and 2010 did not materially impact Lazard Ltd’s stockholders’ equity.</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2012, 2011 and 2010 and noncontrolling interests as of December 31, 2012 and 2011 in the Company’s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Net Income (Loss)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Attributable to Noncontrolling</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Interests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2"/>
                <w:szCs w:val="12"/>
                <w:color w:val="auto"/>
              </w:rPr>
            </w:pPr>
          </w:p>
        </w:tc>
        <w:tc>
          <w:tcPr>
            <w:tcW w:w="1060" w:type="dxa"/>
            <w:vAlign w:val="bottom"/>
            <w:gridSpan w:val="2"/>
          </w:tcPr>
          <w:p>
            <w:pPr>
              <w:jc w:val="center"/>
              <w:ind w:left="424"/>
              <w:spacing w:after="0" w:line="142" w:lineRule="exact"/>
              <w:rPr>
                <w:sz w:val="20"/>
                <w:szCs w:val="20"/>
                <w:color w:val="auto"/>
              </w:rPr>
            </w:pPr>
            <w:r>
              <w:rPr>
                <w:rFonts w:ascii="Arial" w:cs="Arial" w:eastAsia="Arial" w:hAnsi="Arial"/>
                <w:sz w:val="14"/>
                <w:szCs w:val="14"/>
                <w:b w:val="1"/>
                <w:bCs w:val="1"/>
                <w:color w:val="auto"/>
                <w:w w:val="89"/>
              </w:rPr>
              <w:t>2011</w:t>
            </w:r>
          </w:p>
        </w:tc>
        <w:tc>
          <w:tcPr>
            <w:tcW w:w="56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4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$11,964</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$12,564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Edgewater</w:t>
            </w: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3,491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4,130</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4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15,642</w:t>
            </w: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19,444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840" w:type="dxa"/>
            <w:vAlign w:val="bottom"/>
            <w:vMerge w:val="restart"/>
          </w:tcPr>
          <w:p>
            <w:pPr>
              <w:jc w:val="right"/>
              <w:ind w:right="2392"/>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6"/>
              </w:rPr>
              <w:t>Noncontrolling Interests</w:t>
            </w:r>
          </w:p>
        </w:tc>
      </w:tr>
      <w:tr>
        <w:trPr>
          <w:trHeight w:val="16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7"/>
              </w:rPr>
              <w:t>As Of December 31,</w:t>
            </w:r>
          </w:p>
        </w:tc>
      </w:tr>
      <w:tr>
        <w:trPr>
          <w:trHeight w:val="142"/>
        </w:trPr>
        <w:tc>
          <w:tcPr>
            <w:tcW w:w="9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r>
      <w:tr>
        <w:trPr>
          <w:trHeight w:val="210"/>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2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Edgewater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75,262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91,713</w:t>
            </w:r>
          </w:p>
        </w:tc>
        <w:tc>
          <w:tcPr>
            <w:tcW w:w="22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22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81,884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140,713</w:t>
            </w:r>
          </w:p>
        </w:tc>
        <w:tc>
          <w:tcPr>
            <w:tcW w:w="2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Dividend Declared, December 2012</w:t>
      </w:r>
      <w:r>
        <w:rPr>
          <w:rFonts w:ascii="Arial" w:cs="Arial" w:eastAsia="Arial" w:hAnsi="Arial"/>
          <w:sz w:val="16"/>
          <w:szCs w:val="16"/>
          <w:color w:val="auto"/>
        </w:rPr>
        <w:t>—On December 11, 2012 the Board of Directors of Lazard Ltd (i) declared a special dividend of $0.20 per share on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common stock, payable on December 27, 2012, to stockholders of record on December 21, 2012 and (ii) accelerated the payment and record dates of Lazard’s fourth quarter dividend of $0.20 per share on its Class A common stock, which ordinarily would have been payable in February 2013. The accelerated dividend was also payable on December 27, 2012, to stockholders of record on December 21, 2012.</w:t>
      </w:r>
    </w:p>
    <w:p>
      <w:pPr>
        <w:spacing w:after="0" w:line="234"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2012, 2011 and 2010,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and restricted stock awards) and “professional services” expense (with respect to DSUs) within the Company’s accompanying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4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40"/>
              <w:spacing w:after="0"/>
              <w:rPr>
                <w:sz w:val="20"/>
                <w:szCs w:val="20"/>
                <w:color w:val="auto"/>
              </w:rPr>
            </w:pPr>
            <w:r>
              <w:rPr>
                <w:rFonts w:ascii="Arial" w:cs="Arial" w:eastAsia="Arial" w:hAnsi="Arial"/>
                <w:sz w:val="18"/>
                <w:szCs w:val="18"/>
                <w:color w:val="auto"/>
              </w:rPr>
              <w:t>RSUs (a)</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$ 298,809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$ 264,110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$ 303,094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(b)</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3"/>
        </w:trPr>
        <w:tc>
          <w:tcPr>
            <w:tcW w:w="3860" w:type="dxa"/>
            <w:vAlign w:val="bottom"/>
          </w:tcPr>
          <w:p>
            <w:pPr>
              <w:ind w:left="440"/>
              <w:spacing w:after="0"/>
              <w:rPr>
                <w:sz w:val="20"/>
                <w:szCs w:val="20"/>
                <w:color w:val="auto"/>
              </w:rPr>
            </w:pPr>
            <w:r>
              <w:rPr>
                <w:rFonts w:ascii="Arial" w:cs="Arial" w:eastAsia="Arial" w:hAnsi="Arial"/>
                <w:sz w:val="18"/>
                <w:szCs w:val="18"/>
                <w:color w:val="auto"/>
              </w:rPr>
              <w:t>DSUs</w:t>
            </w:r>
          </w:p>
        </w:tc>
        <w:tc>
          <w:tcPr>
            <w:tcW w:w="4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$ 310,348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$ 275,142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$ 305,303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680" w:type="dxa"/>
            <w:vAlign w:val="bottom"/>
            <w:vMerge w:val="restart"/>
          </w:tcPr>
          <w:p>
            <w:pPr>
              <w:jc w:val="right"/>
              <w:ind w:right="2612"/>
              <w:spacing w:after="0"/>
              <w:rPr>
                <w:sz w:val="20"/>
                <w:szCs w:val="20"/>
                <w:color w:val="auto"/>
              </w:rPr>
            </w:pPr>
            <w:r>
              <w:rPr>
                <w:rFonts w:ascii="Arial" w:cs="Arial" w:eastAsia="Arial" w:hAnsi="Arial"/>
                <w:sz w:val="18"/>
                <w:szCs w:val="18"/>
                <w:color w:val="auto"/>
              </w:rPr>
              <w:t>110</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right="40" w:hanging="452"/>
        <w:spacing w:after="0" w:line="284"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during the year ended December 31, 2010, $24,860 relating to the amendment of the Company’s retirement policy (described below) and $46,880 relating to the 2010 Restructuring Plan, and, during the year ended December 31, 2012, an aggregate of $26,158 relating to staff reductions and the Cost Saving Initiatives (see Note 16 of Notes to Consolidated Financial Statements) recorded in the first and fourth quarters of 2012, respectively).</w:t>
      </w:r>
    </w:p>
    <w:p>
      <w:pPr>
        <w:spacing w:after="0" w:line="1" w:lineRule="exact"/>
        <w:rPr>
          <w:rFonts w:ascii="Arial" w:cs="Arial" w:eastAsia="Arial" w:hAnsi="Arial"/>
          <w:sz w:val="16"/>
          <w:szCs w:val="16"/>
          <w:color w:val="auto"/>
        </w:rPr>
      </w:pPr>
    </w:p>
    <w:p>
      <w:pPr>
        <w:ind w:left="460" w:right="1420" w:hanging="452"/>
        <w:spacing w:after="0" w:line="449" w:lineRule="auto"/>
        <w:tabs>
          <w:tab w:leader="none" w:pos="4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during the year ended December 31, 2012, $713 relating to the Cost Savings Initiatives recorded in the fourth quarter of 2012. The Company’s incentive plans are described below.</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is adjusted for actual forfeitures over such period, and, for purposes of calculating diluted net income per share, RSUs are included in the diluted weighted average shares of Class A common stock outstanding using the “treasury stock” method.</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years ended December 31, 2012, 2011 and 2010, issuances of RSUs pertaining to such dividend participation rights and respective charges to “retained earnings”, net of estimated forfeitures, (with corresponding credits to “additional paid-in-capital”)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12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2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920,791</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389,846</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318,025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$ 24,990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11,120</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  9,522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we accelerated the recognition of compensation expense for the affected RSU awards. Accordingly, the Company recorded a non-cash charge to “compensation and benefits” expense of $24,860 in the first quarter of 2010 relating to prior years’ awards.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resulted in 53,239, 26,859 and 31,588 DSUs granted during the years ended December 31, 2012, 2011 and 2010,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and resulted in nominal cash payments for the years ended December 31, 2012, 2011 and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2012, 2011 and 2010, 10,597, 8,184 and 7,438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2012:</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23,367,813</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103,146</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318,025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7,890,127</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35.69</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39,026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(859,756)</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Vested/Exchanged</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(8,289,549)</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39.42</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(20,435)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22,108,635</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389,846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7,002,736</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43.21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35,043</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(305,155)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(8,054,387)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39.13</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20,751,829</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920,791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8,594,744</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27.68</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63,836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(581,411)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Vested/Exchanged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(7,284,031)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34.71</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21,481,131</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204,496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the years ended December 31, 2012, 2011 and 2010, 7,284,031 RSUs, 8,054,387 RSUs and 8,248,654 RSUs vested or were exchanged, respectively, (including in 2012, 1,523,642 RSUs that were exchanged for shares of restricted Class A common stock and 958,213 RSUs that were modified through forward purchase agreements into a liability award of $28,612) and, in 2010, 40,895 RSUs that were exchanged for 40,895 shares of restricted Class A common stock. As of the modification date in 2012, the Company recorded a liability in “accrued compensation and benefits” of $26,922 related to such liability award and an offsetting reduction to “additional paid-in-capital”. As of December 31, 2012, unrecognized compensation expense related to such liability award was $1,690 and will be amortized over the two-month period ending February 28, 2013. No additional compensation expense was recorded as a result of the modification. In connection with the vested RSUs, the Company satisfied its minimum statutory tax withholding requirements in lieu of issuing 1,471,814, 2,353,561 and 1,674,261 shares of Class A common stock in the years ended December 31, 2012, 2011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2010, respectively. Accordingly, 3,330,362, 5,700,826 and 6,574,393 shares of Class A common stock held by the Company were delivered during the years ended December 31, 2012, 2011 and 2010, respectively.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2012, unrecognized RSU compensation expense, adjusted for estimated forfeitures, was approximately $194,000, with such unrecognized compensation expense expected to be recognized over a weighted average period of approximately 1.1 years subsequent to December 31, 2012.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16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16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11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16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Granted/Exchanged (a)</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327,238</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(327,238)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1"/>
        </w:trPr>
        <w:tc>
          <w:tcPr>
            <w:tcW w:w="824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 (a)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2,100,965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(21,178)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(202,510)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r>
      <w:tr>
        <w:trPr>
          <w:trHeight w:val="222"/>
        </w:trPr>
        <w:tc>
          <w:tcPr>
            <w:tcW w:w="824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2012</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1,972,609</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98"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Includes during the years ended December 31, 2012 and 2010, as described above, 1,523,642 and 40,895 shares of restricted Class A common stock, respectively, issued in exchange for 1,523,642 and 40,895 previously granted RSUs, respectively, at grant date fair values of $35.95 and $36.10 per share, respectively. The vesting terms of such restricted Class A common stock issued are substantially the same as those of the original awards exchanged. There was no incremental compensation cost incurred as a result of the exchanges.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As mentioned above, during 2012, the Company exchanged 1,523,642 RSUs for shares of restricted Class A common stock.</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2012 and 2011, the Company satisfied its minimum statutory tax withholding requirements in lieu of delivering 28,129 and 68,866 shares of Class A common stock during such respective years. Accordingly, 174,381 and 258,372 shares of Class A common stock held by the Company were delivered during the years ended December 31, 2012 and 2011,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December 31, 2012, unrecognized restricted stock expense was approximately $10,000, with such expense to be recognized over a weighted average period of approximately 0.4 years subsequent to December 31, 2012.</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purposes of calculating diluted net income per share, such awards are included in the diluted weighted average shares of Class A common stock outstanding using the “treasury stock” method.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Lazard Fund Interests and other similar deferred compensation arrangements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7"/>
              </w:rPr>
              <w:t>Prepaid</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Compensation</w:t>
            </w:r>
          </w:p>
        </w:tc>
      </w:tr>
      <w:tr>
        <w:trPr>
          <w:trHeight w:val="161"/>
        </w:trPr>
        <w:tc>
          <w:tcPr>
            <w:tcW w:w="790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64,679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64,679</w:t>
            </w: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(10,646)</w:t>
            </w: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(33,476)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Increase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underlying investments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w:t>
            </w: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47,445</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97,593</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1.6 years subsequent to December 31, 2012.</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consolidated statements of operations for the years ended December 31, 2012 and 2011:</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2012</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41,209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6"/>
              </w:rPr>
              <w:t>Change in the fair value of underlying investments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7,557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48,766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0" w:type="dxa"/>
            <w:vAlign w:val="bottom"/>
            <w:vMerge w:val="restart"/>
          </w:tcPr>
          <w:p>
            <w:pPr>
              <w:jc w:val="right"/>
              <w:ind w:right="1932"/>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during the year ended December 31, 2012, $3,495 relating to the Cost Savings Initiatives recorded in the fourth quarter of 2012.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2013</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2013, the Company granted approximately $272,000 of deferred incentive awards to eligible employees. These grants included approximately 4.3 million RSUs or shares of restricted Class A common stock that, in accordance with U.S. GAAP, were measured at the grant date fair value of $37.45 per RSU or share of restricted Class A common stock, or an aggregate of approximately $161,000. In addition, eligible employees will have the choice of receiving a portion of their deferred incentive awards in a combination of (i) Lazard Fund Interests, and (ii) additional shares of restricted Class A common stock, with the aggregate fair value on the date of grant of these awards being approximately $99,000. The remaining deferred incentive awards include deferred cash awards and a portion of fund managers’ year-end incentive compensation that is reinvested in certain asset management funds, with such aggregate fair value on the date of grant of these awards being approximately $12,000.</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RSUs, restricted Class A stock and Lazard Fund Interests granted each provide for one-third vesting on March 2, 2015 and the remaining two-thirds vesting on March 1, 2016. Compensation expense with respect to such incentive awards will generally be recognized over the vesting period, with such compensation expense to be recognized over a weighted average period of approximately 2.7 years.</w:t>
      </w:r>
    </w:p>
    <w:p>
      <w:pPr>
        <w:spacing w:after="0" w:line="26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made a contribution to the U.S. pension plans during the year ended December 31, 2012 of approximately $1,095. The Company does not expect to make a contribution to the U.S. pension plans during the year ending December 31, 2013.</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will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arrangement during each year from 2014 through 2020.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amounts in the account security arrangement at December 31, 2012 and 2011 of approximately $16,500 and $15,800 have been recorded in “cash deposited with clearing organizations and other segregated cash” on the accompanying consolidated statements of financial condition. Income on the account security arrangement accretes to the Company and is recorded in interest income.</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the year ended December 31, 2012, the Company contributed 1.7 million British pounds to these U.K. pension plans and expects to contribute a similar amount during the year ending December 31, 2013. Additionally, during the year ended December 31, 2012, contributions were made to other non-U.S. pension plans of approximately $4,500. The Company expects to contribute a similar amount to these other non-U.S. pension plans during the year ending December 31, 2013.</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Pension</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575,031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519,779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5,362</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(26,420)</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(21,718)</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656,025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575,031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568,911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554,988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(26,420)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(21,718)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607,705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568,911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Funded (deficit)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(48,320)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(5,668)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2012 and 2011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2,659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(50,979)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(37,577)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(5,668)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(5,362)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(48,320)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(5,668)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Amounts recognized in AOCI (excluding tax benefits of $25,989 and $14,183 at December 31, 2012 and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respectively) 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143,133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93,186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154,475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107,082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U.S. Pension Plans</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3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As Of December 31,</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3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210"/>
        </w:trPr>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20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$25,231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$24,295</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$582,474</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$544,616</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$607,705</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2"/>
              </w:rPr>
              <w:t>$ 568,911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900" w:type="dxa"/>
            <w:vAlign w:val="bottom"/>
            <w:gridSpan w:val="3"/>
          </w:tcPr>
          <w:p>
            <w:pPr>
              <w:jc w:val="center"/>
              <w:ind w:left="1612"/>
              <w:spacing w:after="0"/>
              <w:rPr>
                <w:sz w:val="20"/>
                <w:szCs w:val="20"/>
                <w:color w:val="auto"/>
              </w:rPr>
            </w:pPr>
            <w:r>
              <w:rPr>
                <w:rFonts w:ascii="Arial" w:cs="Arial" w:eastAsia="Arial" w:hAnsi="Arial"/>
                <w:sz w:val="18"/>
                <w:szCs w:val="18"/>
                <w:color w:val="auto"/>
                <w:w w:val="92"/>
              </w:rPr>
              <w:t>$35,276</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$33,493</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$620,749</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$541,538</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$656,025</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$575,031</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900" w:type="dxa"/>
            <w:vAlign w:val="bottom"/>
            <w:gridSpan w:val="3"/>
            <w:shd w:val="clear" w:color="auto" w:fill="CCEEFF"/>
          </w:tcPr>
          <w:p>
            <w:pPr>
              <w:jc w:val="center"/>
              <w:ind w:left="1612"/>
              <w:spacing w:after="0"/>
              <w:rPr>
                <w:sz w:val="20"/>
                <w:szCs w:val="20"/>
                <w:color w:val="auto"/>
              </w:rPr>
            </w:pPr>
            <w:r>
              <w:rPr>
                <w:rFonts w:ascii="Arial" w:cs="Arial" w:eastAsia="Arial" w:hAnsi="Arial"/>
                <w:sz w:val="18"/>
                <w:szCs w:val="18"/>
                <w:color w:val="auto"/>
                <w:w w:val="92"/>
              </w:rPr>
              <w:t>$35,276</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$33,493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$620,749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$541,538</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$656,025</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$575,031</w:t>
            </w:r>
          </w:p>
        </w:tc>
        <w:tc>
          <w:tcPr>
            <w:tcW w:w="100" w:type="dxa"/>
            <w:vAlign w:val="bottom"/>
            <w:shd w:val="clear" w:color="auto" w:fill="CCEEFF"/>
          </w:tcPr>
          <w:p>
            <w:pPr>
              <w:spacing w:after="0"/>
              <w:rPr>
                <w:sz w:val="18"/>
                <w:szCs w:val="18"/>
                <w:color w:val="auto"/>
              </w:rPr>
            </w:pPr>
          </w:p>
        </w:tc>
      </w:tr>
      <w:tr>
        <w:trPr>
          <w:trHeight w:val="363"/>
        </w:trPr>
        <w:tc>
          <w:tcPr>
            <w:tcW w:w="39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following table summarizes the components of benefit cost (credit), the return on plan assets, benefits paid, contributions and other amounts recognized in AOCI for the years ended December 31, 2012,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3"/>
              </w:rPr>
              <w:t>Pension Plans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4"/>
          </w:tcPr>
          <w:p>
            <w:pPr>
              <w:jc w:val="center"/>
              <w:ind w:left="17"/>
              <w:spacing w:after="0"/>
              <w:rPr>
                <w:sz w:val="20"/>
                <w:szCs w:val="20"/>
                <w:color w:val="auto"/>
              </w:rPr>
            </w:pPr>
            <w:r>
              <w:rPr>
                <w:rFonts w:ascii="Arial" w:cs="Arial" w:eastAsia="Arial" w:hAnsi="Arial"/>
                <w:sz w:val="14"/>
                <w:szCs w:val="14"/>
                <w:b w:val="1"/>
                <w:bCs w:val="1"/>
                <w:color w:val="auto"/>
                <w:w w:val="89"/>
              </w:rPr>
              <w:t>Medical Plan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7"/>
          </w:tcPr>
          <w:p>
            <w:pPr>
              <w:jc w:val="center"/>
              <w:ind w:left="256"/>
              <w:spacing w:after="0" w:line="149" w:lineRule="exact"/>
              <w:rPr>
                <w:sz w:val="20"/>
                <w:szCs w:val="20"/>
                <w:color w:val="auto"/>
              </w:rPr>
            </w:pPr>
            <w:r>
              <w:rPr>
                <w:rFonts w:ascii="Arial" w:cs="Arial" w:eastAsia="Arial" w:hAnsi="Arial"/>
                <w:sz w:val="14"/>
                <w:szCs w:val="14"/>
                <w:b w:val="1"/>
                <w:bCs w:val="1"/>
                <w:color w:val="auto"/>
                <w:w w:val="87"/>
              </w:rPr>
              <w:t>For The Years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28,266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(26,657)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(30,490)</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(29,347)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Prior service cost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2,979</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Settlement loss (a)</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6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33,882</w:t>
            </w:r>
          </w:p>
        </w:tc>
        <w:tc>
          <w:tcPr>
            <w:tcW w:w="1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29,870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61,452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13,284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26,420</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21,718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21,826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Other changes in plan assets and benefit obligations recognized in AOCI (excluding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tax charge (benefit) of $(11,805), $(11,495) and $7,530 during the years ended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2012, 2011 and 2010, respectively):</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Net actuarial (gain) loss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50,209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51,703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(21,026)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(438)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(2,751)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(2,793)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Total recognized in AOCI</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3"/>
            <w:vMerge w:val="continue"/>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47,394</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47,975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(28,647)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(438)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54,587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49,639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(26,021)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98"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During the year ended December 31,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$2,167 recorded in “other comprehensive income (loss), net of tax” (“OCI”), which, after recording a settlement loss of $1,135 recognized in “compensation and benefits” expense, resulted in a net charge to OCI of $1,032.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2012 that are expected to be recognized as components of net periodic benefit cost (credit) for the year ending December 31, 2013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Pension</w:t>
            </w: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Medical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0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3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Net actuarial loss</w:t>
            </w:r>
          </w:p>
        </w:tc>
        <w:tc>
          <w:tcPr>
            <w:tcW w:w="4780" w:type="dxa"/>
            <w:vAlign w:val="bottom"/>
            <w:gridSpan w:val="3"/>
          </w:tcPr>
          <w:p>
            <w:pPr>
              <w:jc w:val="center"/>
              <w:ind w:left="3312"/>
              <w:spacing w:after="0"/>
              <w:rPr>
                <w:sz w:val="20"/>
                <w:szCs w:val="20"/>
                <w:color w:val="auto"/>
              </w:rPr>
            </w:pPr>
            <w:r>
              <w:rPr>
                <w:rFonts w:ascii="Arial" w:cs="Arial" w:eastAsia="Arial" w:hAnsi="Arial"/>
                <w:sz w:val="18"/>
                <w:szCs w:val="18"/>
                <w:color w:val="auto"/>
                <w:w w:val="90"/>
              </w:rPr>
              <w:t>$2,455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$2,455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3"/>
              </w:rPr>
              <w:t>Pension Plans</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Medical Plan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640" w:type="dxa"/>
            <w:vAlign w:val="bottom"/>
            <w:gridSpan w:val="2"/>
          </w:tcPr>
          <w:p>
            <w:pPr>
              <w:jc w:val="center"/>
              <w:ind w:left="142"/>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3.4%</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4.1%</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4.1%</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2016</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 Increase</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28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4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Obligation</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929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(610)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(649)</w:t>
            </w:r>
          </w:p>
        </w:tc>
      </w:tr>
      <w:tr>
        <w:trPr>
          <w:trHeight w:val="356"/>
        </w:trPr>
        <w:tc>
          <w:tcPr>
            <w:tcW w:w="2880" w:type="dxa"/>
            <w:vAlign w:val="bottom"/>
          </w:tcPr>
          <w:p>
            <w:pPr>
              <w:spacing w:after="0"/>
              <w:rPr>
                <w:sz w:val="24"/>
                <w:szCs w:val="24"/>
                <w:color w:val="auto"/>
              </w:rPr>
            </w:pPr>
          </w:p>
        </w:tc>
        <w:tc>
          <w:tcPr>
            <w:tcW w:w="4100" w:type="dxa"/>
            <w:vAlign w:val="bottom"/>
          </w:tcPr>
          <w:p>
            <w:pPr>
              <w:jc w:val="right"/>
              <w:ind w:right="1632"/>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post-retirement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w w:val="99"/>
              </w:rPr>
              <w:t>Pension</w:t>
            </w:r>
          </w:p>
        </w:tc>
        <w:tc>
          <w:tcPr>
            <w:tcW w:w="4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Medical</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Plans</w:t>
            </w: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Plan</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3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$ 22,312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2014</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23,287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2016</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25,729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2018-2022</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150,681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2012 and 2011, measured at fair value,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hierarchy in accordance with fair value measurement disclosure requirements: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December 31, 2012</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29,337</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40,334</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307,695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322,149</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157,873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157,873</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257,652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347,625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607,705</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88"/>
              </w:rPr>
              <w:t>As of December 31, 2011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48,369</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25,186</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34,753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34,753</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302,384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317,302</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134,393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136,465</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227,925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339,209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568,911</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Activity in the fair value of the pension plans’ Level 3 debt and alternative investment funds for the years ended December 31, 2012 and 2011 consisted of purchases of $131 and $1,837 and net unrealized/realized gains of $443, and $3, respectively, partially offset by favorable (unfavorable) foreign currency translation adjustments of $77 and ($63),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Level 1 equity funds are $106,873 and $95,658 as of December 31, 2012 and 2011, respectively, that are invested in funds managed by LAM.</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Consistent with the plans’ investment strategies, at December 31, 2012 and 2011, the Company’s U.S. pension plan had 51% and 46%, respectively, of the plans’ assets invested in Level 1 equity funds and 49% and 54%, respectively, invested in Level 1 debt funds. The Company’s non-U.S. pension plans at December 31, 2012 and 2011, had 30% and 27%, respectively, of the plans’ assets invested in equities and equity funds that are primarily Level 1 assets; 61% and 65%, respectively of the plans’ assets invested in debt and debt funds that are primarily Level 2 assets, and 9% and 8%, respectively, of the plans’ assets invested in cash, which is a Level 1 asset or in alternative investment funds that are primarily Level 2 assets.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assets classified as Level 2 assets are primarily valued based on inputs other than quoted prices that are directly observable or derived principally from, or corroborated by market data. The fair value of plan investments classified as Level 3 assets are primarily based on NAV determined based on information provided by external fund administrators.</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$13,070, $10,944 and $9,684 for the years ended December 31, 2012, 2011 and 2010, respectively, which are included in “compensation and benefits” expense on the consolidated statements of operations.</w:t>
      </w:r>
    </w:p>
    <w:p>
      <w:pPr>
        <w:spacing w:after="0" w:line="26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 AND 2010 RESTRUCTURING PLAN</w:t>
      </w:r>
    </w:p>
    <w:p>
      <w:pPr>
        <w:spacing w:after="0" w:line="9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b w:val="1"/>
          <w:bCs w:val="1"/>
          <w:i w:val="1"/>
          <w:iCs w:val="1"/>
          <w:color w:val="auto"/>
        </w:rPr>
        <w:t>Cost Saving Initiatives</w:t>
      </w:r>
      <w:r>
        <w:rPr>
          <w:rFonts w:ascii="Arial" w:cs="Arial" w:eastAsia="Arial" w:hAnsi="Arial"/>
          <w:sz w:val="15"/>
          <w:szCs w:val="15"/>
          <w:color w:val="auto"/>
        </w:rPr>
        <w:t>—In October 2012, the Company announced a number of cost saving initiatives (the “Cost Saving Initiatives”) relating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Company’s operations. These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 The Company expects associated aggregate pre-tax implementation expenses to range between $110,000 and $130,000, primarily consisting of compensation-related expense, including the acceleration of unrecognized expenses pertaining to previously granted RSUs, severance and benefit payments and other non-compensation-related costs. Approximately 75% of the aggregate implementation expense is expected to be paid in cash. As reflected in the table below, the Company incurred $102,576 of the pre-tax implementation expense in the fourth quarter of 2012, with the remainder expected to be recorded in the first half of 2013.</w:t>
      </w:r>
    </w:p>
    <w:p>
      <w:pPr>
        <w:spacing w:after="0" w:line="10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Company’s consolidated statement of operations for the quarter and year ended December 31, 2012 includes pre-tax implementation expense, by segment, as reflected in the table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Advisory</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2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Compensation and benefits</w:t>
            </w:r>
          </w:p>
        </w:tc>
        <w:tc>
          <w:tcPr>
            <w:tcW w:w="2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$76,133</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$ 11,798</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77,532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12,789</w:t>
            </w:r>
          </w:p>
        </w:tc>
        <w:tc>
          <w:tcPr>
            <w:tcW w:w="1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$ 12,255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80" w:type="dxa"/>
            <w:vAlign w:val="bottom"/>
            <w:vMerge w:val="restart"/>
          </w:tcPr>
          <w:p>
            <w:pPr>
              <w:jc w:val="right"/>
              <w:ind w:right="532"/>
              <w:spacing w:after="0"/>
              <w:rPr>
                <w:sz w:val="20"/>
                <w:szCs w:val="20"/>
                <w:color w:val="auto"/>
              </w:rPr>
            </w:pPr>
            <w:r>
              <w:rPr>
                <w:rFonts w:ascii="Arial" w:cs="Arial" w:eastAsia="Arial" w:hAnsi="Arial"/>
                <w:sz w:val="18"/>
                <w:szCs w:val="18"/>
                <w:color w:val="auto"/>
              </w:rPr>
              <w:t>121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related to the obligation pursuant to the Cost Saving Initiatives during 2012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89"/>
              </w:rPr>
              <w:t>Accrued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88"/>
              </w:rPr>
              <w:t>and Benefits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October 1, 2012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New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99,987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2,589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102,576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(22,360)</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(22,360)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(31,499)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(32,374)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Balance, December 31, 2012</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46,128</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1,714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47,842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2010 Restructuring Plan—</w:t>
      </w:r>
      <w:r>
        <w:rPr>
          <w:rFonts w:ascii="Arial" w:cs="Arial" w:eastAsia="Arial" w:hAnsi="Arial"/>
          <w:sz w:val="16"/>
          <w:szCs w:val="16"/>
          <w:color w:val="auto"/>
        </w:rPr>
        <w:t>In the first quarter of 2010, the Company announced a restructuring plan which included certain staff reductions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realignments of personnel (the “2010 Restructuring Plan”). In connection with the 2010 Restructuring Plan, the Company recorded a charge in the first quarter of 2010 of $87,108, inclusive of $46,880 relating to the acceleration of RSUs (in aggregate, the “2010 Restructuring Charge”).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2010 Restructuring Charge primarily consisted of compensation-related expenses, including the acceleration of unrecognized expenses pertaining to RSUs previously granted to individuals who were terminated pursuant to the restructuring, severance and benefit payments and certain other costs. As of December 31, 2011, the remaining liability associated with the 2010 Restructuring Plan was $9,456, and is reported within “accrued compensation and benefits” and “other liabilities” on the accompanying consolidated statement of financial condition (there was no remaining liability as of December 31, 2012). During the years ended December 31, 2012, 2011 and 2010, the Company made cash payments of $8,546, $10,625 and $18,847, respectively, for the 2010 Restructuring Plan, and during the years ended December 31, 2012 and 2011, we reduced our provision for the 2010 Restructuring Charge by $910 and $1,300, respectively.</w:t>
      </w:r>
    </w:p>
    <w:p>
      <w:pPr>
        <w:spacing w:after="0" w:line="242"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2012, 2011 and 2010, and a reconciliation of the U.S. federal statutory income tax rate to the Company’s effective tax rates for such years, are shown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Federal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2,094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27,650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35,885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27,626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5,813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12,652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35,557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37,726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41,111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Deferred:</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(3,330)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16,167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(2,832)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(primarily UBT)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(6,121)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(4,457)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31,100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44,940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49,227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of noncontrolling interests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Share-based incentive compensation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Foreign source income not subject to U.S. income tax</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State and local taxes (primarily UBT)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21 of Notes to Consolidated Financial Statements regarding operating income (loss) by geographic region.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40" w:top="459" w:right="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20" w:type="dxa"/>
            <w:vAlign w:val="bottom"/>
          </w:tcPr>
          <w:p>
            <w:pPr>
              <w:ind w:left="440"/>
              <w:spacing w:after="0"/>
              <w:rPr>
                <w:sz w:val="20"/>
                <w:szCs w:val="20"/>
                <w:color w:val="auto"/>
              </w:rPr>
            </w:pPr>
            <w:r>
              <w:rPr>
                <w:rFonts w:ascii="Arial" w:cs="Arial" w:eastAsia="Arial" w:hAnsi="Arial"/>
                <w:sz w:val="18"/>
                <w:szCs w:val="18"/>
                <w:color w:val="auto"/>
                <w:w w:val="91"/>
              </w:rPr>
              <w:t>Basis adjustments (primarily as a result of the separation and recapitalization transactions that occurred during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660"/>
              <w:spacing w:after="0"/>
              <w:rPr>
                <w:sz w:val="20"/>
                <w:szCs w:val="20"/>
                <w:color w:val="auto"/>
              </w:rPr>
            </w:pPr>
            <w:r>
              <w:rPr>
                <w:rFonts w:ascii="Arial" w:cs="Arial" w:eastAsia="Arial" w:hAnsi="Arial"/>
                <w:sz w:val="18"/>
                <w:szCs w:val="18"/>
                <w:color w:val="auto"/>
              </w:rPr>
              <w:t>2005 and from secondary offerings)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820,229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846,252</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243,564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196,133</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308,233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209,781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30,626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25,410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1,406,056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1,279,095</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(1,238,765)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(1,145,257)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167,291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133,838</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33,715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16,240</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10,729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15,843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50,648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41,581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104,498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83,581</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basis adjustments recorded as of December 31, 2012 and 2011 are the result of:</w:t>
      </w:r>
    </w:p>
    <w:p>
      <w:pPr>
        <w:spacing w:after="0" w:line="90" w:lineRule="exact"/>
        <w:rPr>
          <w:sz w:val="20"/>
          <w:szCs w:val="20"/>
          <w:color w:val="auto"/>
        </w:rPr>
      </w:pPr>
    </w:p>
    <w:p>
      <w:pPr>
        <w:ind w:left="780" w:right="420" w:hanging="326"/>
        <w:spacing w:after="0" w:line="332"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purchases and redemptions of historical and working member interests consummated in connection with the separation and recapitalization of the Company, which resulted in deferred tax assets of $158,459 and $176,871 at December 31, 2012 and 2011, respectively,</w:t>
      </w:r>
    </w:p>
    <w:p>
      <w:pPr>
        <w:spacing w:after="0" w:line="4" w:lineRule="exact"/>
        <w:rPr>
          <w:rFonts w:ascii="Arial" w:cs="Arial" w:eastAsia="Arial" w:hAnsi="Arial"/>
          <w:sz w:val="16"/>
          <w:szCs w:val="16"/>
          <w:color w:val="auto"/>
        </w:rPr>
      </w:pPr>
    </w:p>
    <w:p>
      <w:pPr>
        <w:ind w:left="780" w:right="580" w:hanging="326"/>
        <w:spacing w:after="0" w:line="332"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tax basis step-ups resulting from the exchange of LAZ-MD exchangeable interests and from secondary offerings, and associated with the LAM Merger, which in the aggregate resulted in deferred tax assets of $638,993 and $638,069 at December 31, 2012 and 2011, respectively,</w:t>
      </w:r>
    </w:p>
    <w:p>
      <w:pPr>
        <w:spacing w:after="0" w:line="4"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 basis step-up for U.S. income tax purposes on certain U.K. assets, which resulted in deferred tax assets of $16,083 and $24,338 at December 31, 2012 and 2011, respectively,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tax basis step-up for payments made under the tax receivable agreement of $6,694 and $6,974 at December 31, 2012 and 2011, respectively.</w:t>
      </w:r>
    </w:p>
    <w:p>
      <w:pPr>
        <w:spacing w:after="0" w:line="19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Although we have been profitable on a consolidated basis in the last three years, certain of our tax-paying entities have individually experienced minimal profits on a cumulative three-year basis and losses in 2012, primarily due to permanent differences between net income and taxable income at such entities. Considering the recent operating results of such entities, we have recorded valuation allowances on our deferred tax assets of $1,238,765 and $1,145,257 as of December 31, 2012 and December 31, 2011, respectively. If these entities achieve sustainable levels of profitability in the future, we believe that the valuation allowance recorded against our deferred tax assets at such entities could be reduced significantly. The valuation allowance at December 31, 2012 reflects a net increase of $93,508 from the balance of $1,145,257 at December 31, 2011.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were recorded at December 31, 2012 primarily relating to:</w:t>
      </w:r>
    </w:p>
    <w:p>
      <w:pPr>
        <w:spacing w:after="0" w:line="5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$54,442, primarily in the U.K. and Italy,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carryforwards of approximately $228,790 in the U.S., which begin expiring in 2029.</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both December 31, 2012 and 2011 of $19,900 are not included in the table above. The impact of such excess tax deductions will be recorded in stockholders’ equity if and when such deferred tax assets are ultimately realized.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2008.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2012, 2011 and 2010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Balance, January 1 (excluding interest and penalties of $8,454, $7,099 and $7,247, respectively)</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$ 62,200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$58,605</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$ 60,558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19,690</w:t>
            </w:r>
          </w:p>
        </w:tc>
        <w:tc>
          <w:tcPr>
            <w:tcW w:w="2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16,928</w:t>
            </w:r>
          </w:p>
        </w:tc>
        <w:tc>
          <w:tcPr>
            <w:tcW w:w="4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1200" w:type="dxa"/>
            <w:vAlign w:val="bottom"/>
            <w:gridSpan w:val="5"/>
          </w:tcPr>
          <w:p>
            <w:pPr>
              <w:jc w:val="right"/>
              <w:ind w:right="132"/>
              <w:spacing w:after="0"/>
              <w:rPr>
                <w:sz w:val="20"/>
                <w:szCs w:val="20"/>
                <w:color w:val="auto"/>
              </w:rPr>
            </w:pPr>
            <w:r>
              <w:rPr>
                <w:rFonts w:ascii="Arial" w:cs="Arial" w:eastAsia="Arial" w:hAnsi="Arial"/>
                <w:sz w:val="18"/>
                <w:szCs w:val="18"/>
                <w:color w:val="auto"/>
              </w:rPr>
              <w:t>(5,397)</w:t>
            </w:r>
          </w:p>
        </w:tc>
        <w:tc>
          <w:tcPr>
            <w:tcW w:w="1300" w:type="dxa"/>
            <w:vAlign w:val="bottom"/>
            <w:gridSpan w:val="5"/>
          </w:tcPr>
          <w:p>
            <w:pPr>
              <w:jc w:val="right"/>
              <w:ind w:right="420"/>
              <w:spacing w:after="0"/>
              <w:rPr>
                <w:sz w:val="20"/>
                <w:szCs w:val="20"/>
                <w:color w:val="auto"/>
              </w:rPr>
            </w:pPr>
            <w:r>
              <w:rPr>
                <w:rFonts w:ascii="Arial" w:cs="Arial" w:eastAsia="Arial" w:hAnsi="Arial"/>
                <w:sz w:val="18"/>
                <w:szCs w:val="18"/>
                <w:color w:val="auto"/>
              </w:rPr>
              <w:t>(5,133)</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1200" w:type="dxa"/>
            <w:vAlign w:val="bottom"/>
            <w:gridSpan w:val="5"/>
            <w:shd w:val="clear" w:color="auto" w:fill="CCEEFF"/>
          </w:tcPr>
          <w:p>
            <w:pPr>
              <w:jc w:val="right"/>
              <w:ind w:right="132"/>
              <w:spacing w:after="0"/>
              <w:rPr>
                <w:sz w:val="20"/>
                <w:szCs w:val="20"/>
                <w:color w:val="auto"/>
              </w:rPr>
            </w:pPr>
            <w:r>
              <w:rPr>
                <w:rFonts w:ascii="Arial" w:cs="Arial" w:eastAsia="Arial" w:hAnsi="Arial"/>
                <w:sz w:val="18"/>
                <w:szCs w:val="18"/>
                <w:color w:val="auto"/>
              </w:rPr>
              <w:t>(12,077)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1200" w:type="dxa"/>
            <w:vAlign w:val="bottom"/>
            <w:gridSpan w:val="5"/>
          </w:tcPr>
          <w:p>
            <w:pPr>
              <w:jc w:val="right"/>
              <w:ind w:right="132"/>
              <w:spacing w:after="0"/>
              <w:rPr>
                <w:sz w:val="20"/>
                <w:szCs w:val="20"/>
                <w:color w:val="auto"/>
              </w:rPr>
            </w:pPr>
            <w:r>
              <w:rPr>
                <w:rFonts w:ascii="Arial" w:cs="Arial" w:eastAsia="Arial" w:hAnsi="Arial"/>
                <w:sz w:val="18"/>
                <w:szCs w:val="18"/>
                <w:color w:val="auto"/>
              </w:rPr>
              <w:t>(9,862)</w:t>
            </w:r>
          </w:p>
        </w:tc>
        <w:tc>
          <w:tcPr>
            <w:tcW w:w="1300" w:type="dxa"/>
            <w:vAlign w:val="bottom"/>
            <w:gridSpan w:val="5"/>
          </w:tcPr>
          <w:p>
            <w:pPr>
              <w:jc w:val="right"/>
              <w:ind w:right="420"/>
              <w:spacing w:after="0"/>
              <w:rPr>
                <w:sz w:val="20"/>
                <w:szCs w:val="20"/>
                <w:color w:val="auto"/>
              </w:rPr>
            </w:pPr>
            <w:r>
              <w:rPr>
                <w:rFonts w:ascii="Arial" w:cs="Arial" w:eastAsia="Arial" w:hAnsi="Arial"/>
                <w:sz w:val="18"/>
                <w:szCs w:val="18"/>
                <w:color w:val="auto"/>
              </w:rPr>
              <w:t>(9,281)</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December 31 (excluding interest and penalties of $14,799, $8,454 and $7,099,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$ 55,947</w:t>
            </w:r>
          </w:p>
        </w:tc>
        <w:tc>
          <w:tcPr>
            <w:tcW w:w="24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62,200</w:t>
            </w:r>
          </w:p>
        </w:tc>
        <w:tc>
          <w:tcPr>
            <w:tcW w:w="4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$ 58,605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1492"/>
              <w:spacing w:after="0"/>
              <w:rPr>
                <w:sz w:val="20"/>
                <w:szCs w:val="20"/>
                <w:color w:val="auto"/>
              </w:rPr>
            </w:pPr>
            <w:r>
              <w:rPr>
                <w:rFonts w:ascii="Arial" w:cs="Arial" w:eastAsia="Arial" w:hAnsi="Arial"/>
                <w:sz w:val="18"/>
                <w:szCs w:val="18"/>
                <w:color w:val="auto"/>
                <w:w w:val="89"/>
              </w:rPr>
              <w:t>Additional information with respect to unrecognized tax benefits is as follows:</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center"/>
              <w:ind w:left="116"/>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9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Unrecognized tax benefits at the end of the year that, if recognized, would favorably affect the</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effective tax rate (includes interest and penalties of $14,799, $8,454 and $7,099,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8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9"/>
              </w:rPr>
              <w:t>$44,452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9"/>
              </w:rPr>
              <w:t>$44,545</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$39,112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Offset to deferred tax assets for unrecognized tax benefits</w:t>
            </w:r>
          </w:p>
        </w:tc>
        <w:tc>
          <w:tcPr>
            <w:tcW w:w="80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$26,294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center"/>
              <w:ind w:left="96"/>
              <w:spacing w:after="0"/>
              <w:rPr>
                <w:sz w:val="20"/>
                <w:szCs w:val="20"/>
                <w:color w:val="auto"/>
              </w:rPr>
            </w:pPr>
            <w:r>
              <w:rPr>
                <w:rFonts w:ascii="Arial" w:cs="Arial" w:eastAsia="Arial" w:hAnsi="Arial"/>
                <w:sz w:val="18"/>
                <w:szCs w:val="18"/>
                <w:color w:val="auto"/>
                <w:w w:val="89"/>
              </w:rPr>
              <w:t>$26,109</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8"/>
              </w:rPr>
              <w:t>Interest and penalties recognized in current income tax expense (after giving effect to the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$3,130, $1,785 and $2,430, respectively)</w:t>
            </w:r>
          </w:p>
        </w:tc>
        <w:tc>
          <w:tcPr>
            <w:tcW w:w="8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6"/>
              </w:rPr>
              <w:t>$ 6,345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96"/>
              </w:rPr>
              <w:t>$ 1,355</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(148)</w:t>
            </w:r>
          </w:p>
        </w:tc>
        <w:tc>
          <w:tcPr>
            <w:tcW w:w="0" w:type="dxa"/>
            <w:vAlign w:val="bottom"/>
          </w:tcPr>
          <w:p>
            <w:pPr>
              <w:spacing w:after="0"/>
              <w:rPr>
                <w:sz w:val="1"/>
                <w:szCs w:val="1"/>
                <w:color w:val="auto"/>
              </w:rPr>
            </w:pPr>
          </w:p>
        </w:tc>
      </w:tr>
      <w:tr>
        <w:trPr>
          <w:trHeight w:val="363"/>
        </w:trPr>
        <w:tc>
          <w:tcPr>
            <w:tcW w:w="7100" w:type="dxa"/>
            <w:vAlign w:val="bottom"/>
            <w:gridSpan w:val="2"/>
          </w:tcPr>
          <w:p>
            <w:pPr>
              <w:jc w:val="right"/>
              <w:ind w:right="1632"/>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anticipates that it is reasonably possible that approximately $8,500 of unrecognized tax benefits recorded at December 31, 2012 may be recognized within 12 months as a result of the lapse of the statute of limitations in various tax jurisdictions.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the subsequent exchanges through December 31, 2012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Included in our deferred tax assets as of December 31, 2012 are approximately $705,000 related to certain basis step-up assets and approximately $196,000 of net operating losses generated by the amortization of such step-up assets. The tax receivable agreement dated as of May 10, 2005 with LFCM Holdings LLC (“LFCM Holdings”) requires the Company to pay LFCM Holdings 85% of the cash savings, if any, in U.S. federal, state and local income tax or franchise tax that the Company actually realizes as a result of these increases in tax basis. The Company records provisions for payments under the tax receivable agreement to the extent they are probable and estimable. During the years ended December 31, 2011 and 2010, the Company recorded a “provision pursuant to tax receivable agreement” on the consolidated statements of operations of $429 and $2,361, respectively (no provision was required for the year ended December 31, 2012), with the liability related thereto at December 31, 2011 of $2,790 included within “related party payables” on the consolidated statement of financial condition (see Note 19 of Notes to Consolidated Financial Statements).</w:t>
      </w:r>
    </w:p>
    <w:p>
      <w:pPr>
        <w:spacing w:after="0" w:line="24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years ended December 31, 2012, 2011 and 2010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shares associated with shares of Class A common stock issuable on a non-contingent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years as in the basic net income per share calculation described above, plus,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applicable and dilutive, (i) interest expense on convertible debt, (ii) changes in net income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as in the basic net income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calculation described above, plus, to the extent dilutive,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years ended December 31, 2012, 2011 and 2010 are presented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5"/>
              </w:rPr>
              <w:t>Year Ended December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154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2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$84,309</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$174,917</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1"/>
              </w:rPr>
              <w:t>Add (deduct) - adjustment associated with Class A common stock issuable on a non-contingent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basis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175,201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income relating to interest expense and changes in net income attributable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to noncontrolling interests resulting from assumed Class A common stock issuances in</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connection with share-based incentive compensation, convertible debt, convertible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and exchangeable interests, net of tax</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3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Net income attributable to Lazard Ltd - diluted</w:t>
            </w:r>
          </w:p>
        </w:tc>
        <w:tc>
          <w:tcPr>
            <w:tcW w:w="1240" w:type="dxa"/>
            <w:vAlign w:val="bottom"/>
          </w:tcPr>
          <w:p>
            <w:pPr>
              <w:jc w:val="right"/>
              <w:spacing w:after="0"/>
              <w:rPr>
                <w:sz w:val="20"/>
                <w:szCs w:val="20"/>
                <w:color w:val="auto"/>
              </w:rPr>
            </w:pPr>
            <w:r>
              <w:rPr>
                <w:rFonts w:ascii="Arial" w:cs="Arial" w:eastAsia="Arial" w:hAnsi="Arial"/>
                <w:sz w:val="18"/>
                <w:szCs w:val="18"/>
                <w:color w:val="auto"/>
              </w:rPr>
              <w:t>$84,687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$187,713</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116,163,821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115,005,676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101,607,301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7"/>
              </w:rPr>
              <w:t>Add - adjustment for shares of Class A common stock issuable on a non-contingent basis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790,168</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3,026,344</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116,953,989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118,032,020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Weighted average number of incremental shares of Class A common stock issuable from</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share-based incentive compensation, convertible debt, convertible preferred stock and</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12,371,633</w:t>
            </w:r>
          </w:p>
        </w:tc>
        <w:tc>
          <w:tcPr>
            <w:tcW w:w="3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19,597,505</w:t>
            </w:r>
          </w:p>
        </w:tc>
        <w:tc>
          <w:tcPr>
            <w:tcW w:w="3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34,058,401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240" w:type="dxa"/>
            <w:vAlign w:val="bottom"/>
          </w:tcPr>
          <w:p>
            <w:pPr>
              <w:jc w:val="right"/>
              <w:spacing w:after="0"/>
              <w:rPr>
                <w:sz w:val="20"/>
                <w:szCs w:val="20"/>
                <w:color w:val="auto"/>
              </w:rPr>
            </w:pPr>
            <w:r>
              <w:rPr>
                <w:rFonts w:ascii="Arial" w:cs="Arial" w:eastAsia="Arial" w:hAnsi="Arial"/>
                <w:sz w:val="18"/>
                <w:szCs w:val="18"/>
                <w:color w:val="auto"/>
              </w:rPr>
              <w:t>129,325,622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137,629,525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138,469,654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Basic</w:t>
            </w:r>
          </w:p>
        </w:tc>
        <w:tc>
          <w:tcPr>
            <w:tcW w:w="1240" w:type="dxa"/>
            <w:vAlign w:val="bottom"/>
          </w:tcPr>
          <w:p>
            <w:pPr>
              <w:jc w:val="right"/>
              <w:spacing w:after="0"/>
              <w:rPr>
                <w:sz w:val="20"/>
                <w:szCs w:val="20"/>
                <w:color w:val="auto"/>
              </w:rPr>
            </w:pPr>
            <w:r>
              <w:rPr>
                <w:rFonts w:ascii="Arial" w:cs="Arial" w:eastAsia="Arial" w:hAnsi="Arial"/>
                <w:sz w:val="18"/>
                <w:szCs w:val="18"/>
                <w:color w:val="auto"/>
              </w:rPr>
              <w:t>$0.72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jc w:val="right"/>
              <w:ind w:right="1072"/>
              <w:spacing w:after="0"/>
              <w:rPr>
                <w:sz w:val="20"/>
                <w:szCs w:val="20"/>
                <w:color w:val="auto"/>
              </w:rPr>
            </w:pPr>
            <w:r>
              <w:rPr>
                <w:rFonts w:ascii="Arial" w:cs="Arial" w:eastAsia="Arial" w:hAnsi="Arial"/>
                <w:sz w:val="18"/>
                <w:szCs w:val="18"/>
                <w:color w:val="auto"/>
              </w:rPr>
              <w:t>127</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19.</w:t>
        <w:tab/>
        <w:t>RELATED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are set forth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2"/>
        </w:trPr>
        <w:tc>
          <w:tcPr>
            <w:tcW w:w="20" w:type="dxa"/>
            <w:vAlign w:val="bottom"/>
          </w:tcPr>
          <w:p>
            <w:pPr>
              <w:spacing w:after="0"/>
              <w:rPr>
                <w:sz w:val="7"/>
                <w:szCs w:val="7"/>
                <w:color w:val="auto"/>
              </w:rPr>
            </w:pPr>
          </w:p>
        </w:tc>
        <w:tc>
          <w:tcPr>
            <w:tcW w:w="88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68"/>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55"/>
        </w:trPr>
        <w:tc>
          <w:tcPr>
            <w:tcW w:w="20" w:type="dxa"/>
            <w:vAlign w:val="bottom"/>
          </w:tcPr>
          <w:p>
            <w:pPr>
              <w:spacing w:after="0"/>
              <w:rPr>
                <w:sz w:val="4"/>
                <w:szCs w:val="4"/>
                <w:color w:val="auto"/>
              </w:rPr>
            </w:pPr>
          </w:p>
        </w:tc>
        <w:tc>
          <w:tcPr>
            <w:tcW w:w="88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8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LFCM Holdings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20,529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4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23,801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LFCM Holdings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2,943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3,648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discussed below.</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current and former employees of the separated businesses. The Company retained all accrued liabilities under, and assets of, the pension plans in the U.S. and the U.K. as well as the 401(k) plan accounts of the inactive employees of LFCM Holdings and its subsidiaries.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the administrative services agreement, dated as of May 10, 2005, by and among LAZ-MD Holdings, LFCM Holdings and Lazard Group,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services provided pursuant to the administrative services agreement by Lazard Group to LFCM Holdings, and by LFCM Holdings to Lazard Group, are subject to automatic annual renewal, unless either party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gives 180 days’ notice of termination. LFCM Holdings and Lazard Group have a right to terminate the services earlier if there is a change of control of either party or the business alliance provided in the business alliance agreement entered into on May 10, 2005, by and among LAZ-MD Holdings, LFCM Holdings and Lazard Group (described below) expires or is terminated. The party receiving a service may also terminate a service earlier upon 180 days’ notice as long as the receiving party pays the service provider an additional three months of service fee for the terminated service.</w:t>
      </w:r>
    </w:p>
    <w:p>
      <w:pPr>
        <w:spacing w:after="0" w:line="113"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business alliance agreement is subject to periodic automatic renewal, unless Lazard Group or LFCM Holdings elects to terminate the agreement in connection with any such renewal or elects to terminate on account of a change of control of either party.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years ended December 31, 2012, 2011 and 2010, amounts recorded by Lazard Group relating to the administrative services agreement amounted to $7,637, $10,277 and $12,110, respectively, and net referral fees for underwriting, private placement, M&amp;A and restructuring transactions under the business alliance agreement amounted to $5,947, $18,862 and $11,506,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Receivables from LFCM Holdings and its subsidiaries as of December 31, 2012 and 2011 include $14,299 and $11,862, respectively, related to administrative and support services and other receivables which include sublease income and reimbursement of expenses incurred on behalf of LFCM Holdings, and $6,230 and $2,928, respectively, related to referral fees for underwriting and private placement transactions. Payables to LFCM Holdings and its subsidiaries at December 31, 2012 and 2011 include $2,943 and $2,060, respectively, primarily relating to certain advances and referral fees for Financial Advisory transactions, and, at December 31, 2011, $2,790 related to obligations pursuant to the tax receivable agreement (see Note 17 of Notes to Consolidated Financial Statements).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years ended December 31, 2012 and 2011, amounts recorded by Lazard Group relating to referral fees for restructuring transactions and fee sharing with MBA Lazard Holdings S.A. and its affiliates (“MBA”), an Argentina-based group in which the Company has a 50% ownership interest, amounted to $1,506 and $1,866, respectively, and are reported in advisory fee revenue.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receivables at December 31, 2012 and 2011 primarily relate to referral fees for restructuring and M&amp;A transactions with MBA and a related party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2012, 2011 and 2010, such charges amounted to $1,000, $750 and $750,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Alternative 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business alliance agreement,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Through February 2009, the Company had prepaid $5,500 of the option exercise price related to the North American business of LAI. The remaining option to purchase the North American fund management activities is currently exercisable at any time prior to May 10, 2014, for a purchase price of $2,500.</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fourth quarter of 2011, the Company determined that it was unlikely to exercise the North American option. Accordingly, during such period the Company wrote-off the $5,500 previously capitalized cost associated with the prepayment of the option which is included within “other” operating expenses on the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December 31, 2012, LFNY’s regulatory net capital was $107,838, which exceeded the minimum requirement by $101,393.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U.K. subsidiaries of the Company, including LCL, Lazard Fund Managers Limited and Lazard Asset Management Limited (the “U.K.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Subsidiaries”) are authorized and regulated by the Financial Services Authority. At December 31, 2012, the aggregate regulatory net capital of the U.K.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Subsidiaries was $119,704, which exceeded the minimum requirement by $100,929.</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December 31, 2012, the consolidated regulatory net capital of CFLF was $177,475, which exceeded the minimum requirement set for regulatory capital levels by $80,927.</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2012, for those subsidiaries with regulatory capital requirements, their aggregate net capital was $130,278, which exceeded the minimum required capital by $103,774.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2012, each of these subsidiaries individually was in compliance with its regulatory capital requirements.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Lazard Ltd had been subject to supervision by the United States Securities and Exchange Commission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which we continue to examine, LFB, as a European credit institution, is required to be supervised on a consolidated basis by another regulatory body, either in the U.S., by the Board of Governors of the Federal Reserve, or in the European Union. The Dodd-Frank Act and the rules and regulations that may be adopted thereunder (including regulations that have not yet been proposed) could affect us in other ways. We continue to monitor the process as such rules are proposed and adopted.</w:t>
      </w:r>
    </w:p>
    <w:p>
      <w:pPr>
        <w:spacing w:after="0" w:line="24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2012, 2011 and 2010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the years ended December 31, 2012, 2011 and 2010, no individual client constituted more than 10% of the net revenue of any of the Company’s business segments.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2012(b)</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200" w:type="dxa"/>
            <w:vAlign w:val="bottom"/>
            <w:tcBorders>
              <w:top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1,049,090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992,107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1,119,867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1,057,620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929,688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62,419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793,007</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767,699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799,090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896,260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897,401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659,502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628,945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236,758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268,456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566,677</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583,524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687,323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(32,902)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(59,996)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71,441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35,380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(104,343)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(95,376)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(190,563)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1,627,209</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1,730,713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1,936,119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1,912,448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1,829,512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1,905,368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1,788,563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1,594,013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1,661,718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123,885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235,499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2,986,893</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3,081,936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3,422,532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Asset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21,895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14,339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12,301</w:t>
            </w:r>
          </w:p>
        </w:tc>
        <w:tc>
          <w:tcPr>
            <w:tcW w:w="8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30,855</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24,580</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22,712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right="8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See Note 16 of Notes to Consolidated Financial Statements for information regarding the Cost Savings Initiatives announced by the Company in the fourth quarter of 2012, and the impact on each of the Company’s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1,172,566</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1,083,457</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1,161,071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265,523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234,441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1,912,448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1,829,512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1,905,368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209,236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(37,329)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(18,074)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123,885</w:t>
            </w:r>
          </w:p>
        </w:tc>
        <w:tc>
          <w:tcPr>
            <w:tcW w:w="2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235,499</w:t>
            </w:r>
          </w:p>
        </w:tc>
        <w:tc>
          <w:tcPr>
            <w:tcW w:w="2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1,507,331</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1,630,547</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1,821,992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808,655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773,196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2,986,893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3,081,936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3,422,532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459" w:right="8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2012 and 2011.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2012 Fiscal Quarter</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First</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2"/>
              </w:rPr>
              <w:t>Second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Third</w:t>
            </w:r>
          </w:p>
        </w:tc>
        <w:tc>
          <w:tcPr>
            <w:tcW w:w="88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7"/>
              </w:rPr>
              <w:t>Fourth(a)</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9"/>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(dollars in thousands, except per share data)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$486,039</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$ 436,910</w:t>
            </w:r>
          </w:p>
        </w:tc>
        <w:tc>
          <w:tcPr>
            <w:tcW w:w="12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$ 428,806</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$ 560,693</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$ 1,912,448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448,216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392,377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382,080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565,890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1,788,563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44,533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123,885</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29,056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34,162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92,785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attributable to noncontrolling interests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25,552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30,821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Net income (loss) per share of common stock:</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See Note 16 of Notes to Consolidated Financial Statements for information regarding the Cost Savings Initiatives announced in the fourth quarter of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2011 Fiscal Quarter</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First</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2"/>
              </w:rPr>
              <w:t>Second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Fourth</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9"/>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(dollars in thousands, except per share data)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$438,023</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$ 477,292</w:t>
            </w:r>
          </w:p>
        </w:tc>
        <w:tc>
          <w:tcPr>
            <w:tcW w:w="12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$ 462,419</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$ 451,778</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8"/>
              </w:rPr>
              <w:t>$ 1,829,512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364,577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388,090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374,681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466,665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1,594,013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73,446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89,202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87,738</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 (14,887)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235,499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59,983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71,566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67,133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(8,123)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190,559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4,976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55,007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62,004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62,699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(4,793)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174,917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Net income (loss) per share of common stock:</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0.125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0.605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jc w:val="right"/>
              <w:ind w:right="572"/>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2012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experts, as well as information regarding our Code of Business Conduct and Ethics that applies to our Chief Executive Officer and senior financial officers, will be presented in Lazard Ltd’s definitive proxy statement for its 2013 annual general meeting of shareholders, which will be held in April 2013, and is incorporated herein by reference. Information regarding our executive officers is included in Part I of this Annual Report on Form 10-K under the caption “Executive Officers of the Registrant.”</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Compliance” in Lazard Ltd’s definitive proxy statement for its 2013 annual general meeting of shareholders,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2013 annual general meeting of shareholders, which will be held in April 2013,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shareholder matters will be presented in Lazard Ltd’s definitive proxy statement for its 2013 annual general meeting of shareholders, which will be held in April 2013,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2012 regarding securities issued under our 2005 Equity Incentive Plan and 2008 Incentive Compensation Plan.</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right="20" w:hanging="215"/>
        <w:spacing w:after="0" w:line="268" w:lineRule="auto"/>
        <w:rPr>
          <w:sz w:val="20"/>
          <w:szCs w:val="20"/>
          <w:color w:val="auto"/>
        </w:rPr>
      </w:pPr>
      <w:r>
        <w:rPr>
          <w:rFonts w:ascii="Arial" w:cs="Arial" w:eastAsia="Arial" w:hAnsi="Arial"/>
          <w:sz w:val="18"/>
          <w:szCs w:val="18"/>
          <w:color w:val="auto"/>
        </w:rPr>
        <w:t>Equity compensation plans approved by security holders</w:t>
      </w:r>
    </w:p>
    <w:p>
      <w:pPr>
        <w:spacing w:after="0" w:line="199" w:lineRule="exact"/>
        <w:rPr>
          <w:sz w:val="20"/>
          <w:szCs w:val="20"/>
          <w:color w:val="auto"/>
        </w:rPr>
      </w:pPr>
    </w:p>
    <w:p>
      <w:pPr>
        <w:ind w:left="220" w:right="340" w:hanging="215"/>
        <w:spacing w:after="0" w:line="266" w:lineRule="auto"/>
        <w:rPr>
          <w:sz w:val="20"/>
          <w:szCs w:val="20"/>
          <w:color w:val="auto"/>
        </w:rPr>
      </w:pPr>
      <w:r>
        <w:rPr>
          <w:rFonts w:ascii="Arial" w:cs="Arial" w:eastAsia="Arial" w:hAnsi="Arial"/>
          <w:sz w:val="18"/>
          <w:szCs w:val="18"/>
          <w:color w:val="auto"/>
        </w:rPr>
        <w:t>Equity compensation plans not approved by security holders</w:t>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 Available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Upon Exercise of</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20" w:type="dxa"/>
            <w:vAlign w:val="bottom"/>
          </w:tcPr>
          <w:p>
            <w:pPr>
              <w:spacing w:after="0"/>
              <w:rPr>
                <w:sz w:val="12"/>
                <w:szCs w:val="12"/>
                <w:color w:val="auto"/>
              </w:rPr>
            </w:pP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Plan</w:t>
            </w:r>
          </w:p>
        </w:tc>
        <w:tc>
          <w:tcPr>
            <w:tcW w:w="21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Options,</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Reflected in the</w:t>
            </w:r>
          </w:p>
        </w:tc>
      </w:tr>
      <w:tr>
        <w:trPr>
          <w:trHeight w:val="161"/>
        </w:trPr>
        <w:tc>
          <w:tcPr>
            <w:tcW w:w="20" w:type="dxa"/>
            <w:vAlign w:val="bottom"/>
          </w:tcPr>
          <w:p>
            <w:pPr>
              <w:spacing w:after="0"/>
              <w:rPr>
                <w:sz w:val="14"/>
                <w:szCs w:val="14"/>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Category</w:t>
            </w:r>
          </w:p>
        </w:tc>
        <w:tc>
          <w:tcPr>
            <w:tcW w:w="21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Warrants and Rights</w:t>
            </w:r>
          </w:p>
        </w:tc>
        <w:tc>
          <w:tcPr>
            <w:tcW w:w="20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Warrants and Rights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Second Column)</w:t>
            </w:r>
          </w:p>
        </w:tc>
      </w:tr>
      <w:tr>
        <w:trPr>
          <w:trHeight w:val="201"/>
        </w:trPr>
        <w:tc>
          <w:tcPr>
            <w:tcW w:w="20" w:type="dxa"/>
            <w:vAlign w:val="bottom"/>
          </w:tcPr>
          <w:p>
            <w:pPr>
              <w:spacing w:after="0"/>
              <w:rPr>
                <w:sz w:val="17"/>
                <w:szCs w:val="17"/>
                <w:color w:val="auto"/>
              </w:rPr>
            </w:pPr>
          </w:p>
        </w:tc>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2008 Incentive</w:t>
            </w:r>
          </w:p>
        </w:tc>
        <w:tc>
          <w:tcPr>
            <w:tcW w:w="6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(1)</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21,278,794</w:t>
            </w:r>
            <w:r>
              <w:rPr>
                <w:rFonts w:ascii="Arial" w:cs="Arial" w:eastAsia="Arial" w:hAnsi="Arial"/>
                <w:sz w:val="11"/>
                <w:szCs w:val="11"/>
                <w:color w:val="auto"/>
              </w:rPr>
              <w:t>(3)</w:t>
            </w:r>
          </w:p>
        </w:tc>
        <w:tc>
          <w:tcPr>
            <w:tcW w:w="2020" w:type="dxa"/>
            <w:vAlign w:val="bottom"/>
            <w:gridSpan w:val="2"/>
          </w:tcPr>
          <w:p>
            <w:pPr>
              <w:jc w:val="right"/>
              <w:ind w:right="78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10,349,885</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2005 Equity</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Incentive</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1740" w:type="dxa"/>
            <w:vAlign w:val="bottom"/>
            <w:gridSpan w:val="3"/>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(2)</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406,833</w:t>
            </w:r>
            <w:r>
              <w:rPr>
                <w:rFonts w:ascii="Arial" w:cs="Arial" w:eastAsia="Arial" w:hAnsi="Arial"/>
                <w:sz w:val="11"/>
                <w:szCs w:val="11"/>
                <w:color w:val="auto"/>
              </w:rPr>
              <w:t>(3)</w:t>
            </w:r>
          </w:p>
        </w:tc>
        <w:tc>
          <w:tcPr>
            <w:tcW w:w="2020" w:type="dxa"/>
            <w:vAlign w:val="bottom"/>
            <w:gridSpan w:val="2"/>
          </w:tcPr>
          <w:p>
            <w:pPr>
              <w:jc w:val="right"/>
              <w:ind w:right="78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6,690,106</w:t>
            </w:r>
            <w:r>
              <w:rPr>
                <w:rFonts w:ascii="Arial" w:cs="Arial" w:eastAsia="Arial" w:hAnsi="Arial"/>
                <w:sz w:val="11"/>
                <w:szCs w:val="11"/>
                <w:color w:val="auto"/>
              </w:rPr>
              <w:t>(5)</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21,685,627</w:t>
            </w:r>
            <w:r>
              <w:rPr>
                <w:rFonts w:ascii="Arial" w:cs="Arial" w:eastAsia="Arial" w:hAnsi="Arial"/>
                <w:sz w:val="11"/>
                <w:szCs w:val="11"/>
                <w:color w:val="auto"/>
              </w:rPr>
              <w:t>(3)</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17,039,991</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-1028700</wp:posOffset>
            </wp:positionV>
            <wp:extent cx="7246620" cy="428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-162560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440" w:space="720"/>
            <w:col w:w="7220"/>
          </w:cols>
          <w:pgMar w:left="240" w:top="459" w:right="279" w:bottom="1440" w:gutter="0" w:footer="0" w:header="0"/>
          <w:type w:val="continuous"/>
        </w:sectPr>
      </w:pPr>
    </w:p>
    <w:p>
      <w:pPr>
        <w:ind w:left="460" w:right="40" w:hanging="452"/>
        <w:spacing w:after="0" w:line="235" w:lineRule="auto"/>
        <w:tabs>
          <w:tab w:leader="none" w:pos="46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Our 2008 Incentive Compensation Plan was approved by the stockholders of Lazard Ltd on May 6, 2008. The number of shares of Lazard Ltd Class A common stock available for issuance under the 2008 Incentive Compensation Plan is determined by a formula, which generally provides that the aggregate number of</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77" w:lineRule="auto"/>
        <w:rPr>
          <w:sz w:val="20"/>
          <w:szCs w:val="20"/>
          <w:color w:val="auto"/>
        </w:rPr>
      </w:pPr>
      <w:r>
        <w:rPr>
          <w:rFonts w:ascii="Arial" w:cs="Arial" w:eastAsia="Arial" w:hAnsi="Arial"/>
          <w:sz w:val="16"/>
          <w:szCs w:val="16"/>
          <w:color w:val="auto"/>
        </w:rPr>
        <w:t>shares subject to outstanding awards under the 2008 Incentive Compensation Plan may not exceed 30% of the aggregate number of then-outstanding shares of Lazard Ltd Class A common stock (treating, for this purpose, the then-outstanding LAZ-MD Holdings exchangeable interests as shares of Lazard Ltd Class A common stock on an as-if-fully exchanged basis in accordance with the Master Separation Agreement).</w:t>
      </w:r>
    </w:p>
    <w:p>
      <w:pPr>
        <w:spacing w:after="0" w:line="11" w:lineRule="exact"/>
        <w:rPr>
          <w:sz w:val="20"/>
          <w:szCs w:val="20"/>
          <w:color w:val="auto"/>
        </w:rPr>
      </w:pPr>
    </w:p>
    <w:p>
      <w:pPr>
        <w:ind w:left="460" w:right="540" w:hanging="452"/>
        <w:spacing w:after="0" w:line="228" w:lineRule="auto"/>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Our 2005 Equity Incentive Plan was established prior to our equity public offering in May 2005 and, as a result, did not require approval by security holders.</w:t>
      </w:r>
    </w:p>
    <w:p>
      <w:pPr>
        <w:spacing w:after="0" w:line="1" w:lineRule="exact"/>
        <w:rPr>
          <w:rFonts w:ascii="Arial" w:cs="Arial" w:eastAsia="Arial" w:hAnsi="Arial"/>
          <w:sz w:val="22"/>
          <w:szCs w:val="22"/>
          <w:color w:val="auto"/>
          <w:vertAlign w:val="superscript"/>
        </w:rPr>
      </w:pPr>
    </w:p>
    <w:p>
      <w:pPr>
        <w:ind w:left="460" w:right="60" w:hanging="452"/>
        <w:spacing w:after="0" w:line="233" w:lineRule="auto"/>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stock unit awards, after giving effect to forfeitures, as of December 31, 2012. As of that date, the only grants made under the 2005 Equity Incentive Plan and 2008 Incentive Compensation Plan have been in the form of stock unit awards and restricted stock awards. See Note 14 of Notes to Consolidated Financial Statements for a description of the plans.</w:t>
      </w:r>
    </w:p>
    <w:p>
      <w:pPr>
        <w:ind w:left="460" w:right="60" w:hanging="452"/>
        <w:spacing w:after="0" w:line="237" w:lineRule="auto"/>
        <w:tabs>
          <w:tab w:leader="none" w:pos="460" w:val="left"/>
        </w:tabs>
        <w:numPr>
          <w:ilvl w:val="0"/>
          <w:numId w:val="88"/>
        </w:numPr>
        <w:rPr>
          <w:rFonts w:ascii="Arial" w:cs="Arial" w:eastAsia="Arial" w:hAnsi="Arial"/>
          <w:sz w:val="21"/>
          <w:szCs w:val="21"/>
          <w:color w:val="auto"/>
          <w:vertAlign w:val="superscript"/>
        </w:rPr>
      </w:pPr>
      <w:r>
        <w:rPr>
          <w:rFonts w:ascii="Arial" w:cs="Arial" w:eastAsia="Arial" w:hAnsi="Arial"/>
          <w:sz w:val="17"/>
          <w:szCs w:val="17"/>
          <w:color w:val="auto"/>
        </w:rPr>
        <w:t>Each stock unit awarded under our 2005 Equity Incentive Plan and 2008 Incentive Compensation Plan was granted at no cost to the persons receiving them and represents the contingent right to receive the equivalent number of shares of Lazard Ltd Class A common stock.</w:t>
      </w:r>
    </w:p>
    <w:p>
      <w:pPr>
        <w:ind w:left="460" w:right="320" w:hanging="452"/>
        <w:spacing w:after="0" w:line="225" w:lineRule="auto"/>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Gives effect to the number of securities remaining available for future issuance, after considering the impact of vested RSUs not delivered as a result of withholding taxes.</w:t>
      </w:r>
    </w:p>
    <w:p>
      <w:pPr>
        <w:spacing w:after="0" w:line="2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regarding certain relationships and related transactions, and director independence, will be presented in Lazard Ltd’s definitive proxy statement for its 2013 annual general meeting of shareholders, which will be held in April 2013,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2013 annual general meeting of shareholders, which will be held in April 2013, and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96" w:lineRule="exact"/>
        <w:rPr>
          <w:rFonts w:ascii="Arial" w:cs="Arial" w:eastAsia="Arial" w:hAnsi="Arial"/>
          <w:sz w:val="18"/>
          <w:szCs w:val="18"/>
          <w:b w:val="1"/>
          <w:bCs w:val="1"/>
          <w:color w:val="auto"/>
        </w:rPr>
      </w:pPr>
    </w:p>
    <w:p>
      <w:pPr>
        <w:ind w:left="90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96" w:lineRule="exact"/>
        <w:rPr>
          <w:rFonts w:ascii="Arial" w:cs="Arial" w:eastAsia="Arial" w:hAnsi="Arial"/>
          <w:sz w:val="18"/>
          <w:szCs w:val="18"/>
          <w:b w:val="1"/>
          <w:bCs w:val="1"/>
          <w:color w:val="auto"/>
        </w:rPr>
      </w:pPr>
    </w:p>
    <w:p>
      <w:pPr>
        <w:ind w:left="90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F-9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65"/>
        </w:trPr>
        <w:tc>
          <w:tcPr>
            <w:tcW w:w="680" w:type="dxa"/>
            <w:vAlign w:val="bottom"/>
          </w:tcPr>
          <w:p>
            <w:pPr>
              <w:spacing w:after="0"/>
              <w:rPr>
                <w:sz w:val="24"/>
                <w:szCs w:val="24"/>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138</w:t>
            </w:r>
          </w:p>
        </w:tc>
      </w:tr>
    </w:tbl>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4.3</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Lazard Group LLC and The Bank of New</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2"/>
              </w:rPr>
              <w:t>York, as trustee (and incorporated by reference to Exhibit 4.1 to the Registrants’ Current Report on Form 8-K (Commission File No. 333-</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4.4</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4.5</w:t>
            </w:r>
          </w:p>
        </w:tc>
        <w:tc>
          <w:tcPr>
            <w:tcW w:w="10500" w:type="dxa"/>
            <w:vAlign w:val="bottom"/>
          </w:tcPr>
          <w:p>
            <w:pPr>
              <w:ind w:left="420"/>
              <w:spacing w:after="0"/>
              <w:rPr>
                <w:sz w:val="20"/>
                <w:szCs w:val="20"/>
                <w:color w:val="auto"/>
              </w:rPr>
            </w:pPr>
            <w:r>
              <w:rPr>
                <w:rFonts w:ascii="Arial" w:cs="Arial" w:eastAsia="Arial" w:hAnsi="Arial"/>
                <w:sz w:val="18"/>
                <w:szCs w:val="18"/>
                <w:color w:val="auto"/>
              </w:rPr>
              <w:t>Form of Senior Note (included in Exhibit 4.3).</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65"/>
        </w:trPr>
        <w:tc>
          <w:tcPr>
            <w:tcW w:w="84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340"/>
          </w:cols>
          <w:pgMar w:left="240" w:top="459" w:right="3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Business Alliance Agreement, dated as of May 10, 2005, by and between Lazard Group LLC and LFCM Holdings LLC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Group LLC and LFCM Holdings LLC (incorporated by reference to Exhibit 10.12 to the Registrant’s Annual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Scott D. Hoffman (incorporated by reference to Exhibit 10.26 to the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10.25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140</w:t>
            </w: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141</w:t>
            </w: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Letter Agreement regarding employment, dated as of April 21, 2010, between Lazard Group LLC and Gary W. Parr (incorporated by reference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27, 2012 to Letter Agreement regarding employment, dated as of April 21, 2010,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Gary W. Parr (incorporated by reference to Exhibit 10.46 to the Registrant’s Quarterly Report (File No. 001-32492) on Form 10-Q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Citibank, N.A., as Administrative Agent (incorporated by reference to Exhibit 10.47 to the Registrant’s Quarterly Report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142</w:t>
            </w: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10.51*</w:t>
            </w:r>
          </w:p>
        </w:tc>
        <w:tc>
          <w:tcPr>
            <w:tcW w:w="10320" w:type="dxa"/>
            <w:vAlign w:val="bottom"/>
          </w:tcPr>
          <w:p>
            <w:pPr>
              <w:ind w:left="30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960" w:type="dxa"/>
            <w:vAlign w:val="bottom"/>
          </w:tcPr>
          <w:p>
            <w:pPr>
              <w:spacing w:after="0"/>
              <w:rPr>
                <w:sz w:val="18"/>
                <w:szCs w:val="18"/>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w w:val="92"/>
              </w:rPr>
              <w:t>of March 18, 2005 and amended on March 23, 2010, among the Registrant, Lazard Group LLC and Kenneth M. Jacobs (incorporated by</w:t>
            </w:r>
          </w:p>
        </w:tc>
      </w:tr>
      <w:tr>
        <w:trPr>
          <w:trHeight w:val="216"/>
        </w:trPr>
        <w:tc>
          <w:tcPr>
            <w:tcW w:w="960" w:type="dxa"/>
            <w:vAlign w:val="bottom"/>
          </w:tcPr>
          <w:p>
            <w:pPr>
              <w:spacing w:after="0"/>
              <w:rPr>
                <w:sz w:val="18"/>
                <w:szCs w:val="18"/>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960" w:type="dxa"/>
            <w:vAlign w:val="bottom"/>
          </w:tcPr>
          <w:p>
            <w:pPr>
              <w:spacing w:after="0"/>
              <w:rPr>
                <w:sz w:val="19"/>
                <w:szCs w:val="19"/>
                <w:color w:val="auto"/>
              </w:rPr>
            </w:pPr>
          </w:p>
        </w:tc>
        <w:tc>
          <w:tcPr>
            <w:tcW w:w="10320" w:type="dxa"/>
            <w:vAlign w:val="bottom"/>
          </w:tcPr>
          <w:p>
            <w:pPr>
              <w:ind w:left="300"/>
              <w:spacing w:after="0"/>
              <w:rPr>
                <w:sz w:val="20"/>
                <w:szCs w:val="20"/>
                <w:color w:val="auto"/>
              </w:rPr>
            </w:pPr>
            <w:r>
              <w:rPr>
                <w:rFonts w:ascii="Arial" w:cs="Arial" w:eastAsia="Arial" w:hAnsi="Arial"/>
                <w:sz w:val="18"/>
                <w:szCs w:val="18"/>
                <w:color w:val="auto"/>
              </w:rPr>
              <w:t>filed on November 1, 2012).</w:t>
            </w:r>
          </w:p>
        </w:tc>
      </w:tr>
      <w:tr>
        <w:trPr>
          <w:trHeight w:val="338"/>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32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21.1</w:t>
            </w:r>
          </w:p>
        </w:tc>
        <w:tc>
          <w:tcPr>
            <w:tcW w:w="10320" w:type="dxa"/>
            <w:vAlign w:val="bottom"/>
          </w:tcPr>
          <w:p>
            <w:pPr>
              <w:ind w:left="300"/>
              <w:spacing w:after="0"/>
              <w:rPr>
                <w:sz w:val="20"/>
                <w:szCs w:val="20"/>
                <w:color w:val="auto"/>
              </w:rPr>
            </w:pPr>
            <w:r>
              <w:rPr>
                <w:rFonts w:ascii="Arial" w:cs="Arial" w:eastAsia="Arial" w:hAnsi="Arial"/>
                <w:sz w:val="18"/>
                <w:szCs w:val="18"/>
                <w:color w:val="auto"/>
              </w:rPr>
              <w:t>Subsidiaries of Registrant.</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23.1</w:t>
            </w:r>
          </w:p>
        </w:tc>
        <w:tc>
          <w:tcPr>
            <w:tcW w:w="1032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32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32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32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32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3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80"/>
          </w:cols>
          <w:pgMar w:left="240" w:top="459" w:right="3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9"/>
            <w:vMerge w:val="restart"/>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Management’s Report on Internal Control Over Financial Reporting</w:t>
              </w:r>
            </w:hyperlink>
          </w:p>
        </w:tc>
        <w:tc>
          <w:tcPr>
            <w:tcW w:w="6020" w:type="dxa"/>
            <w:vAlign w:val="bottom"/>
            <w:gridSpan w:val="11"/>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9"/>
            <w:vMerge w:val="continue"/>
          </w:tcPr>
          <w:p>
            <w:pPr>
              <w:spacing w:after="0"/>
              <w:rPr>
                <w:sz w:val="13"/>
                <w:szCs w:val="13"/>
                <w:color w:val="auto"/>
              </w:rPr>
            </w:pPr>
          </w:p>
        </w:tc>
        <w:tc>
          <w:tcPr>
            <w:tcW w:w="6020" w:type="dxa"/>
            <w:vAlign w:val="bottom"/>
            <w:gridSpan w:val="11"/>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Reports of Independent Registered Public Accounting Firm</w:t>
              </w:r>
            </w:hyperlink>
          </w:p>
        </w:tc>
        <w:tc>
          <w:tcPr>
            <w:tcW w:w="6620" w:type="dxa"/>
            <w:vAlign w:val="bottom"/>
            <w:gridSpan w:val="1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451"/>
        </w:trPr>
        <w:tc>
          <w:tcPr>
            <w:tcW w:w="10820" w:type="dxa"/>
            <w:vAlign w:val="bottom"/>
            <w:gridSpan w:val="20"/>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Financial Condition as of December 31, 2012 and 2011</w:t>
              </w:r>
            </w:hyperlink>
          </w:p>
        </w:tc>
        <w:tc>
          <w:tcPr>
            <w:tcW w:w="4940" w:type="dxa"/>
            <w:vAlign w:val="bottom"/>
            <w:gridSpan w:val="10"/>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4"/>
        </w:trPr>
        <w:tc>
          <w:tcPr>
            <w:tcW w:w="1082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for the years ended December 31, 2012, 2011 and 2010</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Consolidated Statements of Comprehensive Income for the years ended December 31, 2012, 2011</w:t>
              </w:r>
            </w:hyperlink>
          </w:p>
        </w:tc>
        <w:tc>
          <w:tcPr>
            <w:tcW w:w="3920" w:type="dxa"/>
            <w:vAlign w:val="bottom"/>
            <w:gridSpan w:val="6"/>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80">
              <w:r>
                <w:rPr>
                  <w:rFonts w:ascii="Arial" w:cs="Arial" w:eastAsia="Arial" w:hAnsi="Arial"/>
                  <w:sz w:val="18"/>
                  <w:szCs w:val="18"/>
                  <w:color w:val="0000EE"/>
                  <w:w w:val="85"/>
                </w:rPr>
                <w:t>and 2010</w:t>
              </w:r>
            </w:hyperlink>
          </w:p>
        </w:tc>
        <w:tc>
          <w:tcPr>
            <w:tcW w:w="9940" w:type="dxa"/>
            <w:vAlign w:val="bottom"/>
            <w:gridSpan w:val="1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81">
              <w:r>
                <w:rPr>
                  <w:rFonts w:ascii="Arial" w:cs="Arial" w:eastAsia="Arial" w:hAnsi="Arial"/>
                  <w:sz w:val="18"/>
                  <w:szCs w:val="18"/>
                  <w:color w:val="0000EE"/>
                  <w:w w:val="86"/>
                </w:rPr>
                <w:t>Consolidated Statements of Cash Flows for the years ended December 31, 2012, 2011 and 2010</w:t>
              </w:r>
            </w:hyperlink>
          </w:p>
        </w:tc>
        <w:tc>
          <w:tcPr>
            <w:tcW w:w="4080" w:type="dxa"/>
            <w:vAlign w:val="bottom"/>
            <w:gridSpan w:val="7"/>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4"/>
        </w:trPr>
        <w:tc>
          <w:tcPr>
            <w:tcW w:w="82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Statements of Changes in Stockholders’ Equity for the years ended December 31, 2012, 2011 and 2010</w:t>
              </w:r>
            </w:hyperlink>
          </w:p>
        </w:tc>
        <w:tc>
          <w:tcPr>
            <w:tcW w:w="2540" w:type="dxa"/>
            <w:vAlign w:val="bottom"/>
            <w:gridSpan w:val="2"/>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1082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Supplemental Financial Information</w:t>
              </w:r>
            </w:hyperlink>
          </w:p>
        </w:tc>
        <w:tc>
          <w:tcPr>
            <w:tcW w:w="774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5"/>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Quarterly Results</w:t>
              </w:r>
            </w:hyperlink>
          </w:p>
        </w:tc>
        <w:tc>
          <w:tcPr>
            <w:tcW w:w="8080" w:type="dxa"/>
            <w:vAlign w:val="bottom"/>
            <w:gridSpan w:val="15"/>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20"/>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20"/>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47">
              <w:r>
                <w:rPr>
                  <w:rFonts w:ascii="Arial" w:cs="Arial" w:eastAsia="Arial" w:hAnsi="Arial"/>
                  <w:sz w:val="18"/>
                  <w:szCs w:val="18"/>
                  <w:color w:val="0000EE"/>
                  <w:w w:val="87"/>
                </w:rPr>
                <w:t>Condensed Statements of Financial Condition as of December 31, 2012 and 2011</w:t>
              </w:r>
            </w:hyperlink>
          </w:p>
        </w:tc>
        <w:tc>
          <w:tcPr>
            <w:tcW w:w="4660" w:type="dxa"/>
            <w:vAlign w:val="bottom"/>
            <w:gridSpan w:val="9"/>
          </w:tcPr>
          <w:p>
            <w:pPr>
              <w:spacing w:after="0"/>
              <w:rPr>
                <w:sz w:val="21"/>
                <w:szCs w:val="21"/>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Condensed Statements of Operations for the years ended December 31, 2012, 2011 and 2010</w:t>
              </w:r>
            </w:hyperlink>
          </w:p>
        </w:tc>
        <w:tc>
          <w:tcPr>
            <w:tcW w:w="3840" w:type="dxa"/>
            <w:vAlign w:val="bottom"/>
            <w:gridSpan w:val="5"/>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Condensed Statements of Comprehensive Income for the years ended December 31, 2012, 2011 and 2010</w:t>
              </w:r>
            </w:hyperlink>
          </w:p>
        </w:tc>
        <w:tc>
          <w:tcPr>
            <w:tcW w:w="2940" w:type="dxa"/>
            <w:vAlign w:val="bottom"/>
            <w:gridSpan w:val="3"/>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8"/>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Statements of Cash Flows for the years ended December 31, 2012, 2011 and 2010</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3660" w:type="dxa"/>
            <w:vAlign w:val="bottom"/>
            <w:gridSpan w:val="9"/>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8"/>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Condensed Statements of Changes in Stockholders’ Equity for the years ended December 31, 2012, 2011 and 2010</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120" w:type="dxa"/>
            <w:vAlign w:val="bottom"/>
            <w:tcBorders>
              <w:top w:val="single" w:sz="8" w:color="0000EE"/>
            </w:tcBorders>
            <w:gridSpan w:val="17"/>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Notes to Condensed Financial Statements</w:t>
              </w:r>
            </w:hyperlink>
          </w:p>
        </w:tc>
        <w:tc>
          <w:tcPr>
            <w:tcW w:w="2260" w:type="dxa"/>
            <w:vAlign w:val="bottom"/>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(1,852,072)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(1,633,687)</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Due from subsidiaries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2,421,780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2,359,798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570,006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726,329</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390"/>
        </w:trPr>
        <w:tc>
          <w:tcPr>
            <w:tcW w:w="89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9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880"/>
              <w:spacing w:after="0"/>
              <w:rPr>
                <w:sz w:val="20"/>
                <w:szCs w:val="20"/>
                <w:color w:val="auto"/>
              </w:rPr>
            </w:pPr>
            <w:r>
              <w:rPr>
                <w:rFonts w:ascii="Arial" w:cs="Arial" w:eastAsia="Arial" w:hAnsi="Arial"/>
                <w:sz w:val="18"/>
                <w:szCs w:val="18"/>
                <w:color w:val="auto"/>
              </w:rPr>
              <w:t>Series A—7,921 shares issued and outstanding at December 31, 2012 and 2011</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B—no shares issued and outstanding</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Class A, par value $.01 per share (500,000,000 shares authorized; 128,216,423 and 123,009,311 shares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5"/>
              </w:rPr>
              <w:t>issued at December 31, 2012 and 2011, respectively, including shares held by subsidiaries as indicated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below)</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8"/>
        </w:trPr>
        <w:tc>
          <w:tcPr>
            <w:tcW w:w="8940" w:type="dxa"/>
            <w:vAlign w:val="bottom"/>
          </w:tcPr>
          <w:p>
            <w:pPr>
              <w:ind w:left="880"/>
              <w:spacing w:after="0"/>
              <w:rPr>
                <w:sz w:val="20"/>
                <w:szCs w:val="20"/>
                <w:color w:val="auto"/>
              </w:rPr>
            </w:pPr>
            <w:r>
              <w:rPr>
                <w:rFonts w:ascii="Arial" w:cs="Arial" w:eastAsia="Arial" w:hAnsi="Arial"/>
                <w:sz w:val="18"/>
                <w:szCs w:val="18"/>
                <w:color w:val="auto"/>
                <w:w w:val="95"/>
              </w:rPr>
              <w:t>Class B, par value $.01 per share (1 share authorized, issued and outstanding at December 31, 2012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108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846,050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659,013</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182,647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258,646</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(110,541)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(88,364)</w:t>
            </w:r>
          </w:p>
        </w:tc>
        <w:tc>
          <w:tcPr>
            <w:tcW w:w="0" w:type="dxa"/>
            <w:vAlign w:val="bottom"/>
          </w:tcPr>
          <w:p>
            <w:pPr>
              <w:spacing w:after="0"/>
              <w:rPr>
                <w:sz w:val="1"/>
                <w:szCs w:val="1"/>
                <w:color w:val="auto"/>
              </w:rPr>
            </w:pPr>
          </w:p>
        </w:tc>
      </w:tr>
      <w:tr>
        <w:trPr>
          <w:trHeight w:val="222"/>
        </w:trPr>
        <w:tc>
          <w:tcPr>
            <w:tcW w:w="8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919,438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Class A common stock held by subsidiaries, at cost (12,802,938 and 3,492,017 shares at December 31, 2012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2011, respectively)</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(349,782)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(104,382)</w:t>
            </w:r>
          </w:p>
        </w:tc>
        <w:tc>
          <w:tcPr>
            <w:tcW w:w="0" w:type="dxa"/>
            <w:vAlign w:val="bottom"/>
          </w:tcPr>
          <w:p>
            <w:pPr>
              <w:spacing w:after="0"/>
              <w:rPr>
                <w:sz w:val="1"/>
                <w:szCs w:val="1"/>
                <w:color w:val="auto"/>
              </w:rPr>
            </w:pPr>
          </w:p>
        </w:tc>
      </w:tr>
      <w:tr>
        <w:trPr>
          <w:trHeight w:val="230"/>
        </w:trPr>
        <w:tc>
          <w:tcPr>
            <w:tcW w:w="894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569,656</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570,006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726,329</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8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Equity in earnings of subsidiaries</w:t>
            </w:r>
          </w:p>
        </w:tc>
        <w:tc>
          <w:tcPr>
            <w:tcW w:w="3480" w:type="dxa"/>
            <w:vAlign w:val="bottom"/>
            <w:gridSpan w:val="3"/>
          </w:tcPr>
          <w:p>
            <w:pPr>
              <w:jc w:val="right"/>
              <w:ind w:right="20"/>
              <w:spacing w:after="0"/>
              <w:rPr>
                <w:sz w:val="20"/>
                <w:szCs w:val="20"/>
                <w:color w:val="auto"/>
              </w:rPr>
            </w:pPr>
            <w:r>
              <w:rPr>
                <w:rFonts w:ascii="Arial" w:cs="Arial" w:eastAsia="Arial" w:hAnsi="Arial"/>
                <w:sz w:val="18"/>
                <w:szCs w:val="18"/>
                <w:color w:val="auto"/>
              </w:rPr>
              <w:t>$20,598</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$109,294</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$109,576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28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67,042</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3480" w:type="dxa"/>
            <w:vAlign w:val="bottom"/>
            <w:gridSpan w:val="3"/>
          </w:tcPr>
          <w:p>
            <w:pPr>
              <w:jc w:val="right"/>
              <w:ind w:right="20"/>
              <w:spacing w:after="0"/>
              <w:rPr>
                <w:sz w:val="20"/>
                <w:szCs w:val="20"/>
                <w:color w:val="auto"/>
              </w:rPr>
            </w:pPr>
            <w:r>
              <w:rPr>
                <w:rFonts w:ascii="Arial" w:cs="Arial" w:eastAsia="Arial" w:hAnsi="Arial"/>
                <w:sz w:val="18"/>
                <w:szCs w:val="18"/>
                <w:color w:val="auto"/>
              </w:rPr>
              <w:t>85,917</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176,336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176,298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3480" w:type="dxa"/>
            <w:vAlign w:val="bottom"/>
            <w:gridSpan w:val="3"/>
          </w:tcPr>
          <w:p>
            <w:pPr>
              <w:jc w:val="right"/>
              <w:ind w:right="20"/>
              <w:spacing w:after="0"/>
              <w:rPr>
                <w:sz w:val="20"/>
                <w:szCs w:val="20"/>
                <w:color w:val="auto"/>
              </w:rPr>
            </w:pPr>
            <w:r>
              <w:rPr>
                <w:rFonts w:ascii="Arial" w:cs="Arial" w:eastAsia="Arial" w:hAnsi="Arial"/>
                <w:sz w:val="18"/>
                <w:szCs w:val="18"/>
                <w:color w:val="auto"/>
              </w:rPr>
              <w:t>1,477</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1,276</w:t>
            </w:r>
          </w:p>
        </w:tc>
        <w:tc>
          <w:tcPr>
            <w:tcW w:w="66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8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84,309</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174,917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174,979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8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6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$ 84,309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174,917</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(8,760)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Unrealized gain (net of tax expense of $1,546)</w:t>
            </w:r>
          </w:p>
        </w:tc>
        <w:tc>
          <w:tcPr>
            <w:tcW w:w="20" w:type="dxa"/>
            <w:vAlign w:val="bottom"/>
          </w:tcPr>
          <w:p>
            <w:pPr>
              <w:spacing w:after="0"/>
              <w:rPr>
                <w:sz w:val="18"/>
                <w:szCs w:val="18"/>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for items reclassified to earnings (net of tax expense of $4,689)</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Actuarial gain (loss) (net of tax expense (benefit) of $(12,796), $(11,874) and $6,161 for the years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ended December 31, 2012, 2011 and 2010, respectively)</w:t>
            </w:r>
          </w:p>
        </w:tc>
        <w:tc>
          <w:tcPr>
            <w:tcW w:w="9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(39,817)</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(36,256)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w w:val="95"/>
              </w:rPr>
              <w:t>Adjustments for items reclassified to earnings (net of tax expense of $1,131, $977 and $916 for the</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20" w:type="dxa"/>
            <w:vAlign w:val="bottom"/>
          </w:tcPr>
          <w:p>
            <w:pPr>
              <w:ind w:left="1060"/>
              <w:spacing w:after="0"/>
              <w:rPr>
                <w:sz w:val="20"/>
                <w:szCs w:val="20"/>
                <w:color w:val="auto"/>
              </w:rPr>
            </w:pPr>
            <w:r>
              <w:rPr>
                <w:rFonts w:ascii="Arial" w:cs="Arial" w:eastAsia="Arial" w:hAnsi="Arial"/>
                <w:sz w:val="18"/>
                <w:szCs w:val="18"/>
                <w:color w:val="auto"/>
              </w:rPr>
              <w:t>years ended December 31, 2012, 2011 and 2010, respectively)</w:t>
            </w:r>
          </w:p>
        </w:tc>
        <w:tc>
          <w:tcPr>
            <w:tcW w:w="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(18,997)</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(41,925)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$ 65,312</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132,992</w:t>
            </w:r>
          </w:p>
        </w:tc>
        <w:tc>
          <w:tcPr>
            <w:tcW w:w="4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84,309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174,917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Noncash items included in net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Equity in earnings of subsidiaries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(109,294)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60"/>
              <w:spacing w:after="0"/>
              <w:rPr>
                <w:sz w:val="20"/>
                <w:szCs w:val="20"/>
                <w:color w:val="auto"/>
              </w:rPr>
            </w:pPr>
            <w:r>
              <w:rPr>
                <w:rFonts w:ascii="Arial" w:cs="Arial" w:eastAsia="Arial" w:hAnsi="Arial"/>
                <w:sz w:val="18"/>
                <w:szCs w:val="18"/>
                <w:color w:val="auto"/>
              </w:rPr>
              <w:t>Changes in due to/from subsidiaries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71,566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4,945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other operating assets and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135,188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70,580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Class A common stock dividends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(135,108)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(70,572)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(50,581)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(135,108)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(70,572)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(50,581)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8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January 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December 31</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Supplemental investing non-cash transaction: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STOCKHOLDERS’ EQUITY FOR THE YEARS ENDED DECEMBER 31, 2012, 2011 AND 2010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76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Series A</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88"/>
              </w:rPr>
              <w:t>Preferred Stock</w:t>
            </w:r>
          </w:p>
        </w:tc>
        <w:tc>
          <w:tcPr>
            <w:tcW w:w="140" w:type="dxa"/>
            <w:vAlign w:val="bottom"/>
          </w:tcPr>
          <w:p>
            <w:pPr>
              <w:spacing w:after="0"/>
              <w:rPr>
                <w:sz w:val="4"/>
                <w:szCs w:val="4"/>
                <w:color w:val="auto"/>
              </w:rPr>
            </w:pPr>
          </w:p>
        </w:tc>
        <w:tc>
          <w:tcPr>
            <w:tcW w:w="13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6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9"/>
                <w:szCs w:val="9"/>
                <w:color w:val="auto"/>
              </w:rPr>
            </w:pPr>
          </w:p>
        </w:tc>
        <w:tc>
          <w:tcPr>
            <w:tcW w:w="10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2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20" w:type="dxa"/>
            <w:vAlign w:val="bottom"/>
          </w:tcPr>
          <w:p>
            <w:pPr>
              <w:jc w:val="right"/>
              <w:ind w:right="6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4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2010</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26,883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92,165,913</w:t>
            </w:r>
          </w:p>
        </w:tc>
        <w:tc>
          <w:tcPr>
            <w:tcW w:w="1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  922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549,931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52,726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(57,048)</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5,850,775</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$(191,140)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355,391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174,979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174,979</w:t>
            </w:r>
          </w:p>
        </w:tc>
        <w:tc>
          <w:tcPr>
            <w:tcW w:w="0" w:type="dxa"/>
            <w:vAlign w:val="bottom"/>
          </w:tcPr>
          <w:p>
            <w:pPr>
              <w:spacing w:after="0"/>
              <w:rPr>
                <w:sz w:val="1"/>
                <w:szCs w:val="1"/>
                <w:color w:val="auto"/>
              </w:rPr>
            </w:pPr>
          </w:p>
        </w:tc>
      </w:tr>
      <w:tr>
        <w:trPr>
          <w:trHeight w:val="149"/>
        </w:trPr>
        <w:tc>
          <w:tcPr>
            <w:tcW w:w="4040" w:type="dxa"/>
            <w:vAlign w:val="bottom"/>
          </w:tcPr>
          <w:p>
            <w:pPr>
              <w:ind w:left="220"/>
              <w:spacing w:after="0" w:line="149" w:lineRule="exact"/>
              <w:rPr>
                <w:sz w:val="20"/>
                <w:szCs w:val="20"/>
                <w:color w:val="auto"/>
              </w:rPr>
            </w:pPr>
            <w:r>
              <w:rPr>
                <w:rFonts w:ascii="Arial" w:cs="Arial" w:eastAsia="Arial" w:hAnsi="Arial"/>
                <w:sz w:val="14"/>
                <w:szCs w:val="14"/>
                <w:color w:val="auto"/>
              </w:rPr>
              <w:t>Other comprehensive income (loss) - net of tax:</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Currency translation adjustments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(8,937)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(8,937)</w:t>
            </w:r>
          </w:p>
        </w:tc>
        <w:tc>
          <w:tcPr>
            <w:tcW w:w="0" w:type="dxa"/>
            <w:vAlign w:val="bottom"/>
          </w:tcPr>
          <w:p>
            <w:pPr>
              <w:spacing w:after="0"/>
              <w:rPr>
                <w:sz w:val="1"/>
                <w:szCs w:val="1"/>
                <w:color w:val="auto"/>
              </w:rPr>
            </w:pPr>
          </w:p>
        </w:tc>
      </w:tr>
      <w:tr>
        <w:trPr>
          <w:trHeight w:val="149"/>
        </w:trPr>
        <w:tc>
          <w:tcPr>
            <w:tcW w:w="4040" w:type="dxa"/>
            <w:vAlign w:val="bottom"/>
          </w:tcPr>
          <w:p>
            <w:pPr>
              <w:ind w:left="660"/>
              <w:spacing w:after="0" w:line="149" w:lineRule="exact"/>
              <w:rPr>
                <w:sz w:val="20"/>
                <w:szCs w:val="20"/>
                <w:color w:val="auto"/>
              </w:rPr>
            </w:pPr>
            <w:r>
              <w:rPr>
                <w:rFonts w:ascii="Arial" w:cs="Arial" w:eastAsia="Arial" w:hAnsi="Arial"/>
                <w:sz w:val="14"/>
                <w:szCs w:val="14"/>
                <w:color w:val="auto"/>
              </w:rPr>
              <w:t>Amortization of interest rate hedge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1,093</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Available-for-sale securities: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1080"/>
              <w:spacing w:after="0" w:line="149" w:lineRule="exact"/>
              <w:rPr>
                <w:sz w:val="20"/>
                <w:szCs w:val="20"/>
                <w:color w:val="auto"/>
              </w:rPr>
            </w:pPr>
            <w:r>
              <w:rPr>
                <w:rFonts w:ascii="Arial" w:cs="Arial" w:eastAsia="Arial" w:hAnsi="Arial"/>
                <w:sz w:val="14"/>
                <w:szCs w:val="14"/>
                <w:color w:val="auto"/>
              </w:rPr>
              <w:t>Net unrealized gain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2,941</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2,941</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Adjustment for items reclassified to earnings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8,930</w:t>
            </w:r>
          </w:p>
        </w:tc>
        <w:tc>
          <w:tcPr>
            <w:tcW w:w="0" w:type="dxa"/>
            <w:vAlign w:val="bottom"/>
          </w:tcPr>
          <w:p>
            <w:pPr>
              <w:spacing w:after="0"/>
              <w:rPr>
                <w:sz w:val="1"/>
                <w:szCs w:val="1"/>
                <w:color w:val="auto"/>
              </w:rPr>
            </w:pPr>
          </w:p>
        </w:tc>
      </w:tr>
      <w:tr>
        <w:trPr>
          <w:trHeight w:val="149"/>
        </w:trPr>
        <w:tc>
          <w:tcPr>
            <w:tcW w:w="4040" w:type="dxa"/>
            <w:vAlign w:val="bottom"/>
          </w:tcPr>
          <w:p>
            <w:pPr>
              <w:ind w:left="660"/>
              <w:spacing w:after="0" w:line="149" w:lineRule="exact"/>
              <w:rPr>
                <w:sz w:val="20"/>
                <w:szCs w:val="20"/>
                <w:color w:val="auto"/>
              </w:rPr>
            </w:pPr>
            <w:r>
              <w:rPr>
                <w:rFonts w:ascii="Arial" w:cs="Arial" w:eastAsia="Arial" w:hAnsi="Arial"/>
                <w:sz w:val="14"/>
                <w:szCs w:val="14"/>
                <w:color w:val="auto"/>
              </w:rPr>
              <w:t>Employee benefit plans: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Net actuarial gain</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16,769</w:t>
            </w:r>
          </w:p>
        </w:tc>
        <w:tc>
          <w:tcPr>
            <w:tcW w:w="0" w:type="dxa"/>
            <w:vAlign w:val="bottom"/>
          </w:tcPr>
          <w:p>
            <w:pPr>
              <w:spacing w:after="0"/>
              <w:rPr>
                <w:sz w:val="1"/>
                <w:szCs w:val="1"/>
                <w:color w:val="auto"/>
              </w:rPr>
            </w:pPr>
          </w:p>
        </w:tc>
      </w:tr>
      <w:tr>
        <w:trPr>
          <w:trHeight w:val="156"/>
        </w:trPr>
        <w:tc>
          <w:tcPr>
            <w:tcW w:w="4040" w:type="dxa"/>
            <w:vAlign w:val="bottom"/>
          </w:tcPr>
          <w:p>
            <w:pPr>
              <w:ind w:left="1080"/>
              <w:spacing w:after="0" w:line="149" w:lineRule="exact"/>
              <w:rPr>
                <w:sz w:val="20"/>
                <w:szCs w:val="20"/>
                <w:color w:val="auto"/>
              </w:rPr>
            </w:pPr>
            <w:r>
              <w:rPr>
                <w:rFonts w:ascii="Arial" w:cs="Arial" w:eastAsia="Arial" w:hAnsi="Arial"/>
                <w:sz w:val="14"/>
                <w:szCs w:val="14"/>
                <w:color w:val="auto"/>
              </w:rPr>
              <w:t>Adjustment for items reclassified to earnings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197,319</w:t>
            </w:r>
          </w:p>
        </w:tc>
        <w:tc>
          <w:tcPr>
            <w:tcW w:w="0" w:type="dxa"/>
            <w:vAlign w:val="bottom"/>
          </w:tcPr>
          <w:p>
            <w:pPr>
              <w:spacing w:after="0"/>
              <w:rPr>
                <w:sz w:val="1"/>
                <w:szCs w:val="1"/>
                <w:color w:val="auto"/>
              </w:rPr>
            </w:pPr>
          </w:p>
        </w:tc>
      </w:tr>
      <w:tr>
        <w:trPr>
          <w:trHeight w:val="156"/>
        </w:trPr>
        <w:tc>
          <w:tcPr>
            <w:tcW w:w="4040" w:type="dxa"/>
            <w:vAlign w:val="bottom"/>
          </w:tcPr>
          <w:p>
            <w:pPr>
              <w:spacing w:after="0" w:line="155" w:lineRule="exact"/>
              <w:rPr>
                <w:sz w:val="20"/>
                <w:szCs w:val="20"/>
                <w:color w:val="auto"/>
              </w:rPr>
            </w:pPr>
            <w:r>
              <w:rPr>
                <w:rFonts w:ascii="Arial" w:cs="Arial" w:eastAsia="Arial" w:hAnsi="Arial"/>
                <w:sz w:val="14"/>
                <w:szCs w:val="14"/>
                <w:color w:val="auto"/>
              </w:rPr>
              <w:t>Business acquisitions and related equity transactions: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Class A common stock issued/issuable (including related</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4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amortization)</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315,617</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46,220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46,223</w:t>
            </w:r>
          </w:p>
        </w:tc>
        <w:tc>
          <w:tcPr>
            <w:tcW w:w="0" w:type="dxa"/>
            <w:vAlign w:val="bottom"/>
          </w:tcPr>
          <w:p>
            <w:pPr>
              <w:spacing w:after="0"/>
              <w:rPr>
                <w:sz w:val="1"/>
                <w:szCs w:val="1"/>
                <w:color w:val="auto"/>
              </w:rPr>
            </w:pPr>
          </w:p>
        </w:tc>
      </w:tr>
      <w:tr>
        <w:trPr>
          <w:trHeight w:val="149"/>
        </w:trPr>
        <w:tc>
          <w:tcPr>
            <w:tcW w:w="4040" w:type="dxa"/>
            <w:vAlign w:val="bottom"/>
          </w:tcPr>
          <w:p>
            <w:pPr>
              <w:ind w:left="220"/>
              <w:spacing w:after="0" w:line="149" w:lineRule="exact"/>
              <w:rPr>
                <w:sz w:val="20"/>
                <w:szCs w:val="20"/>
                <w:color w:val="auto"/>
              </w:rPr>
            </w:pPr>
            <w:r>
              <w:rPr>
                <w:rFonts w:ascii="Arial" w:cs="Arial" w:eastAsia="Arial" w:hAnsi="Arial"/>
                <w:sz w:val="14"/>
                <w:szCs w:val="14"/>
                <w:color w:val="auto"/>
                <w:w w:val="91"/>
              </w:rPr>
              <w:t>Conversion of Series A preferred stock into Class A common stock</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572,988</w:t>
            </w:r>
          </w:p>
        </w:tc>
        <w:tc>
          <w:tcPr>
            <w:tcW w:w="1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share-based incentive compensation</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286,957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286,957</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(10,656)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(50,581)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(50,581)</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4,686,892</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(149,981)</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(149,981)</w:t>
            </w:r>
          </w:p>
        </w:tc>
        <w:tc>
          <w:tcPr>
            <w:tcW w:w="0" w:type="dxa"/>
            <w:vAlign w:val="bottom"/>
          </w:tcPr>
          <w:p>
            <w:pPr>
              <w:spacing w:after="0"/>
              <w:rPr>
                <w:sz w:val="1"/>
                <w:szCs w:val="1"/>
                <w:color w:val="auto"/>
              </w:rPr>
            </w:pPr>
          </w:p>
        </w:tc>
      </w:tr>
      <w:tr>
        <w:trPr>
          <w:trHeight w:val="138"/>
        </w:trPr>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 connection with share-based</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(286,847)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2"/>
              </w:rPr>
              <w:t>(6,690,159)</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229,271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(57,576)</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w w:val="92"/>
              </w:rPr>
              <w:t>Repurchase of common membership interests from LAZ-MD Holdings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(6,812)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3,000,000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(116,100)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040" w:type="dxa"/>
            <w:vAlign w:val="bottom"/>
          </w:tcPr>
          <w:p>
            <w:pPr>
              <w:spacing w:after="0" w:line="138" w:lineRule="exact"/>
              <w:rPr>
                <w:sz w:val="20"/>
                <w:szCs w:val="20"/>
                <w:color w:val="auto"/>
              </w:rPr>
            </w:pPr>
            <w:r>
              <w:rPr>
                <w:rFonts w:ascii="Arial" w:cs="Arial" w:eastAsia="Arial" w:hAnsi="Arial"/>
                <w:sz w:val="14"/>
                <w:szCs w:val="14"/>
                <w:color w:val="auto"/>
                <w:w w:val="92"/>
              </w:rPr>
              <w:t>Class A common stock issued in exchange for Lazard Group common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220"/>
              <w:spacing w:after="0" w:line="149" w:lineRule="exact"/>
              <w:rPr>
                <w:sz w:val="20"/>
                <w:szCs w:val="20"/>
                <w:color w:val="auto"/>
              </w:rPr>
            </w:pPr>
            <w:r>
              <w:rPr>
                <w:rFonts w:ascii="Arial" w:cs="Arial" w:eastAsia="Arial" w:hAnsi="Arial"/>
                <w:sz w:val="14"/>
                <w:szCs w:val="14"/>
                <w:color w:val="auto"/>
                <w:w w:val="99"/>
              </w:rPr>
              <w:t>membership interests, including in connection with secondary</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40" w:type="dxa"/>
            <w:vAlign w:val="bottom"/>
          </w:tcPr>
          <w:p>
            <w:pPr>
              <w:ind w:left="220"/>
              <w:spacing w:after="0" w:line="159" w:lineRule="exact"/>
              <w:rPr>
                <w:sz w:val="20"/>
                <w:szCs w:val="20"/>
                <w:color w:val="auto"/>
              </w:rPr>
            </w:pPr>
            <w:r>
              <w:rPr>
                <w:rFonts w:ascii="Arial" w:cs="Arial" w:eastAsia="Arial" w:hAnsi="Arial"/>
                <w:sz w:val="14"/>
                <w:szCs w:val="14"/>
                <w:color w:val="auto"/>
              </w:rPr>
              <w:t>offerings</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23,643,419</w:t>
            </w:r>
          </w:p>
        </w:tc>
        <w:tc>
          <w:tcPr>
            <w:tcW w:w="160" w:type="dxa"/>
            <w:vAlign w:val="bottom"/>
          </w:tcPr>
          <w:p>
            <w:pPr>
              <w:spacing w:after="0"/>
              <w:rPr>
                <w:sz w:val="13"/>
                <w:szCs w:val="13"/>
                <w:color w:val="auto"/>
              </w:rPr>
            </w:pPr>
          </w:p>
        </w:tc>
        <w:tc>
          <w:tcPr>
            <w:tcW w:w="4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236</w:t>
            </w: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(236)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related to noncontrolling interests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(11,450)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31,508</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2010</w:t>
            </w: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22,021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ind w:left="16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w w:val="89"/>
              </w:rPr>
              <w:t>119,697,937</w:t>
            </w:r>
          </w:p>
        </w:tc>
        <w:tc>
          <w:tcPr>
            <w:tcW w:w="4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79"/>
              </w:rPr>
              <w:t>$</w:t>
            </w:r>
            <w:r>
              <w:rPr>
                <w:rFonts w:ascii="Arial" w:cs="Arial" w:eastAsia="Arial" w:hAnsi="Arial"/>
                <w:sz w:val="14"/>
                <w:szCs w:val="14"/>
                <w:b w:val="1"/>
                <w:bCs w:val="1"/>
                <w:color w:val="auto"/>
                <w:w w:val="79"/>
              </w:rPr>
              <w:t>1,197</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758,841</w:t>
            </w:r>
          </w:p>
        </w:tc>
        <w:tc>
          <w:tcPr>
            <w:tcW w:w="1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6"/>
              </w:rPr>
              <w:t>166,468</w:t>
            </w:r>
          </w:p>
        </w:tc>
        <w:tc>
          <w:tcPr>
            <w:tcW w:w="100" w:type="dxa"/>
            <w:vAlign w:val="bottom"/>
          </w:tcPr>
          <w:p>
            <w:pPr>
              <w:spacing w:after="0"/>
              <w:rPr>
                <w:sz w:val="13"/>
                <w:szCs w:val="13"/>
                <w:color w:val="auto"/>
              </w:rPr>
            </w:pP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(46,158)</w:t>
            </w:r>
          </w:p>
        </w:tc>
        <w:tc>
          <w:tcPr>
            <w:tcW w:w="7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9"/>
              </w:rPr>
              <w:t>6,847,508</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(227,950)</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652,398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5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STOCKHOLDERS’ EQUITY FOR THE YEARS ENDED DECEMBER 31, 2012, 2011 AND 2010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20" w:type="dxa"/>
            <w:vAlign w:val="bottom"/>
            <w:gridSpan w:val="3"/>
            <w:vMerge w:val="restart"/>
          </w:tcPr>
          <w:p>
            <w:pPr>
              <w:jc w:val="center"/>
              <w:ind w:left="52"/>
              <w:spacing w:after="0"/>
              <w:rPr>
                <w:sz w:val="20"/>
                <w:szCs w:val="20"/>
                <w:color w:val="auto"/>
              </w:rPr>
            </w:pPr>
            <w:r>
              <w:rPr>
                <w:rFonts w:ascii="Arial" w:cs="Arial" w:eastAsia="Arial" w:hAnsi="Arial"/>
                <w:sz w:val="14"/>
                <w:szCs w:val="14"/>
                <w:b w:val="1"/>
                <w:bCs w:val="1"/>
                <w:color w:val="auto"/>
                <w:w w:val="85"/>
              </w:rPr>
              <w:t>Series 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40" w:type="dxa"/>
            <w:vAlign w:val="bottom"/>
          </w:tcPr>
          <w:p>
            <w:pPr>
              <w:spacing w:after="0"/>
              <w:rPr>
                <w:sz w:val="4"/>
                <w:szCs w:val="4"/>
                <w:color w:val="auto"/>
              </w:rPr>
            </w:pPr>
          </w:p>
        </w:tc>
        <w:tc>
          <w:tcPr>
            <w:tcW w:w="720" w:type="dxa"/>
            <w:vAlign w:val="bottom"/>
            <w:gridSpan w:val="3"/>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40" w:type="dxa"/>
            <w:vAlign w:val="bottom"/>
          </w:tcPr>
          <w:p>
            <w:pPr>
              <w:spacing w:after="0"/>
              <w:rPr>
                <w:sz w:val="4"/>
                <w:szCs w:val="4"/>
                <w:color w:val="auto"/>
              </w:rPr>
            </w:pPr>
          </w:p>
        </w:tc>
        <w:tc>
          <w:tcPr>
            <w:tcW w:w="640" w:type="dxa"/>
            <w:vAlign w:val="bottom"/>
            <w:gridSpan w:val="2"/>
            <w:vMerge w:val="restart"/>
          </w:tcPr>
          <w:p>
            <w:pPr>
              <w:jc w:val="center"/>
              <w:ind w:left="132"/>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4"/>
            <w:vMerge w:val="restart"/>
          </w:tcPr>
          <w:p>
            <w:pPr>
              <w:jc w:val="right"/>
              <w:ind w:right="112"/>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Paid-In-</w:t>
            </w:r>
          </w:p>
        </w:tc>
        <w:tc>
          <w:tcPr>
            <w:tcW w:w="6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2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20" w:type="dxa"/>
            <w:vAlign w:val="bottom"/>
          </w:tcPr>
          <w:p>
            <w:pPr>
              <w:jc w:val="right"/>
              <w:ind w:right="1"/>
              <w:spacing w:after="0"/>
              <w:rPr>
                <w:sz w:val="20"/>
                <w:szCs w:val="20"/>
                <w:color w:val="auto"/>
              </w:rPr>
            </w:pPr>
            <w:r>
              <w:rPr>
                <w:rFonts w:ascii="Arial" w:cs="Arial" w:eastAsia="Arial" w:hAnsi="Arial"/>
                <w:sz w:val="10"/>
                <w:szCs w:val="10"/>
                <w:b w:val="1"/>
                <w:bCs w:val="1"/>
                <w:color w:val="auto"/>
                <w:w w:val="71"/>
              </w:rPr>
              <w:t>$</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Shares(*)</w:t>
            </w: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Capital</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22,021</w:t>
            </w:r>
          </w:p>
        </w:tc>
        <w:tc>
          <w:tcPr>
            <w:tcW w:w="18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119,697,937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$1,197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$ 166,468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174,917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 - net of tax:</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Currency translation adjustments</w:t>
            </w: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(8,760)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640"/>
              <w:spacing w:after="0" w:line="149" w:lineRule="exact"/>
              <w:rPr>
                <w:sz w:val="20"/>
                <w:szCs w:val="20"/>
                <w:color w:val="auto"/>
              </w:rPr>
            </w:pPr>
            <w:r>
              <w:rPr>
                <w:rFonts w:ascii="Arial" w:cs="Arial" w:eastAsia="Arial" w:hAnsi="Arial"/>
                <w:sz w:val="14"/>
                <w:szCs w:val="14"/>
                <w:color w:val="auto"/>
              </w:rPr>
              <w:t>Amortization of interest rate hedge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(36,256)</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Adjustments for items reclassified to earnings</w:t>
            </w: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132,992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acquisitions and related equity transactions:</w:t>
            </w: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w w:val="89"/>
              </w:rPr>
              <w:t>Class A common stock issued/issuable (including related amortization)</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41,800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Conversion of Series A preferred stock into Class A common stock</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(14,100)</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2,434,561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Delivery of Class A common stock</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(126,812)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(3,515,362)</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123,411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share-based incentive compensation</w:t>
            </w: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260,816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12,092</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(70,572)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6,135,189</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(204,835)</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(204,835)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 of Class A common stock in connection with share-based</w:t>
            </w:r>
          </w:p>
        </w:tc>
        <w:tc>
          <w:tcPr>
            <w:tcW w:w="4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compensation and related tax benefits of $972</w:t>
            </w:r>
          </w:p>
        </w:tc>
        <w:tc>
          <w:tcPr>
            <w:tcW w:w="4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(297,779)</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2"/>
              </w:rPr>
              <w:t>(5,975,318)</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204,992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(92,787)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tcPr>
          <w:p>
            <w:pPr>
              <w:spacing w:after="0" w:line="138" w:lineRule="exact"/>
              <w:rPr>
                <w:sz w:val="20"/>
                <w:szCs w:val="20"/>
                <w:color w:val="auto"/>
              </w:rPr>
            </w:pPr>
            <w:r>
              <w:rPr>
                <w:rFonts w:ascii="Arial" w:cs="Arial" w:eastAsia="Arial" w:hAnsi="Arial"/>
                <w:sz w:val="14"/>
                <w:szCs w:val="14"/>
                <w:color w:val="auto"/>
              </w:rPr>
              <w:t>Repurchase of common membership interests from</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40" w:type="dxa"/>
            <w:vAlign w:val="bottom"/>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(753)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Class A common stock issued in exchange for Lazard Group common</w:t>
            </w:r>
          </w:p>
        </w:tc>
        <w:tc>
          <w:tcPr>
            <w:tcW w:w="4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46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876,814</w:t>
            </w: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tcPr>
          <w:p>
            <w:pPr>
              <w:spacing w:after="0" w:line="138" w:lineRule="exact"/>
              <w:rPr>
                <w:sz w:val="20"/>
                <w:szCs w:val="20"/>
                <w:color w:val="auto"/>
              </w:rPr>
            </w:pPr>
            <w:r>
              <w:rPr>
                <w:rFonts w:ascii="Arial" w:cs="Arial" w:eastAsia="Arial" w:hAnsi="Arial"/>
                <w:sz w:val="14"/>
                <w:szCs w:val="14"/>
                <w:color w:val="auto"/>
                <w:w w:val="95"/>
              </w:rPr>
              <w:t>Adjustment related to the change in Lazard Ltd’s ownership in Lazard</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40" w:type="dxa"/>
            <w:vAlign w:val="bottom"/>
          </w:tcPr>
          <w:p>
            <w:pPr>
              <w:ind w:left="200"/>
              <w:spacing w:after="0" w:line="159" w:lineRule="exact"/>
              <w:rPr>
                <w:sz w:val="20"/>
                <w:szCs w:val="20"/>
                <w:color w:val="auto"/>
              </w:rPr>
            </w:pPr>
            <w:r>
              <w:rPr>
                <w:rFonts w:ascii="Arial" w:cs="Arial" w:eastAsia="Arial" w:hAnsi="Arial"/>
                <w:sz w:val="14"/>
                <w:szCs w:val="14"/>
                <w:color w:val="auto"/>
              </w:rPr>
              <w:t>Group</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(1,580)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related to noncontrolling interests</w:t>
            </w:r>
          </w:p>
        </w:tc>
        <w:tc>
          <w:tcPr>
            <w:tcW w:w="4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12,421</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12,140</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December 31, 2011</w:t>
            </w: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gridSpan w:val="2"/>
            <w:vMerge w:val="continue"/>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87"/>
              </w:rPr>
              <w:t>123,009,312</w:t>
            </w: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1,230</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659,013</w:t>
            </w:r>
          </w:p>
        </w:tc>
        <w:tc>
          <w:tcPr>
            <w:tcW w:w="1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$ 258,646</w:t>
            </w:r>
          </w:p>
        </w:tc>
        <w:tc>
          <w:tcPr>
            <w:tcW w:w="100" w:type="dxa"/>
            <w:vAlign w:val="bottom"/>
          </w:tcPr>
          <w:p>
            <w:pPr>
              <w:spacing w:after="0"/>
              <w:rPr>
                <w:sz w:val="13"/>
                <w:szCs w:val="13"/>
                <w:color w:val="auto"/>
              </w:rPr>
            </w:pP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(88,364)</w:t>
            </w:r>
          </w:p>
        </w:tc>
        <w:tc>
          <w:tcPr>
            <w:tcW w:w="7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9"/>
              </w:rPr>
              <w:t>3,492,017</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(104,382)</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726,143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left="2920"/>
        <w:spacing w:after="0" w:line="262" w:lineRule="auto"/>
        <w:rPr>
          <w:sz w:val="20"/>
          <w:szCs w:val="20"/>
          <w:color w:val="auto"/>
        </w:rPr>
      </w:pPr>
      <w:r>
        <w:rPr>
          <w:rFonts w:ascii="Arial" w:cs="Arial" w:eastAsia="Arial" w:hAnsi="Arial"/>
          <w:sz w:val="18"/>
          <w:szCs w:val="18"/>
          <w:b w:val="1"/>
          <w:bCs w:val="1"/>
          <w:color w:val="auto"/>
        </w:rPr>
        <w:t>CONDENSED STATEMENTS OF CHANGES IN STOCKHOLDERS’ EQUITY FOR THE YEARS ENDED DECEMBER 2012, 2011 AND 2010 (dollars in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 January 1, 2012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Comprehensive income (loss):</w:t>
      </w:r>
    </w:p>
    <w:p>
      <w:pPr>
        <w:ind w:left="220"/>
        <w:spacing w:after="0" w:line="221" w:lineRule="auto"/>
        <w:rPr>
          <w:sz w:val="20"/>
          <w:szCs w:val="20"/>
          <w:color w:val="auto"/>
        </w:rPr>
      </w:pPr>
      <w:r>
        <w:rPr>
          <w:rFonts w:ascii="Arial" w:cs="Arial" w:eastAsia="Arial" w:hAnsi="Arial"/>
          <w:sz w:val="14"/>
          <w:szCs w:val="14"/>
          <w:color w:val="auto"/>
        </w:rPr>
        <w:t>Net income</w:t>
      </w:r>
    </w:p>
    <w:p>
      <w:pPr>
        <w:ind w:left="220"/>
        <w:spacing w:after="0" w:line="221" w:lineRule="auto"/>
        <w:rPr>
          <w:sz w:val="20"/>
          <w:szCs w:val="20"/>
          <w:color w:val="auto"/>
        </w:rPr>
      </w:pPr>
      <w:r>
        <w:rPr>
          <w:rFonts w:ascii="Arial" w:cs="Arial" w:eastAsia="Arial" w:hAnsi="Arial"/>
          <w:sz w:val="14"/>
          <w:szCs w:val="14"/>
          <w:color w:val="auto"/>
        </w:rPr>
        <w:t>Other comprehensive income (loss) - net of tax:</w:t>
      </w:r>
    </w:p>
    <w:p>
      <w:pPr>
        <w:ind w:left="660"/>
        <w:spacing w:after="0" w:line="222" w:lineRule="auto"/>
        <w:rPr>
          <w:sz w:val="20"/>
          <w:szCs w:val="20"/>
          <w:color w:val="auto"/>
        </w:rPr>
      </w:pPr>
      <w:r>
        <w:rPr>
          <w:rFonts w:ascii="Arial" w:cs="Arial" w:eastAsia="Arial" w:hAnsi="Arial"/>
          <w:sz w:val="14"/>
          <w:szCs w:val="14"/>
          <w:color w:val="auto"/>
        </w:rPr>
        <w:t>Currency translation adjustments</w:t>
      </w:r>
    </w:p>
    <w:p>
      <w:pPr>
        <w:ind w:left="660"/>
        <w:spacing w:after="0" w:line="221" w:lineRule="auto"/>
        <w:rPr>
          <w:sz w:val="20"/>
          <w:szCs w:val="20"/>
          <w:color w:val="auto"/>
        </w:rPr>
      </w:pPr>
      <w:r>
        <w:rPr>
          <w:rFonts w:ascii="Arial" w:cs="Arial" w:eastAsia="Arial" w:hAnsi="Arial"/>
          <w:sz w:val="14"/>
          <w:szCs w:val="14"/>
          <w:color w:val="auto"/>
        </w:rPr>
        <w:t>Amortization of interest rate hedge</w:t>
      </w:r>
    </w:p>
    <w:p>
      <w:pPr>
        <w:ind w:left="660"/>
        <w:spacing w:after="0" w:line="222" w:lineRule="auto"/>
        <w:rPr>
          <w:sz w:val="20"/>
          <w:szCs w:val="20"/>
          <w:color w:val="auto"/>
        </w:rPr>
      </w:pPr>
      <w:r>
        <w:rPr>
          <w:rFonts w:ascii="Arial" w:cs="Arial" w:eastAsia="Arial" w:hAnsi="Arial"/>
          <w:sz w:val="14"/>
          <w:szCs w:val="14"/>
          <w:color w:val="auto"/>
        </w:rPr>
        <w:t>Employee benefit plans:</w:t>
      </w:r>
    </w:p>
    <w:p>
      <w:pPr>
        <w:ind w:left="1080"/>
        <w:spacing w:after="0" w:line="221" w:lineRule="auto"/>
        <w:rPr>
          <w:sz w:val="20"/>
          <w:szCs w:val="20"/>
          <w:color w:val="auto"/>
        </w:rPr>
      </w:pPr>
      <w:r>
        <w:rPr>
          <w:rFonts w:ascii="Arial" w:cs="Arial" w:eastAsia="Arial" w:hAnsi="Arial"/>
          <w:sz w:val="14"/>
          <w:szCs w:val="14"/>
          <w:color w:val="auto"/>
        </w:rPr>
        <w:t>Net actuarial loss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Adjustments for items reclassified to earnings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Comprehensive income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Business acquisitions and related equity transactions: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800" w:type="dxa"/>
            <w:vAlign w:val="bottom"/>
            <w:gridSpan w:val="3"/>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Series A</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8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54"/>
        </w:trPr>
        <w:tc>
          <w:tcPr>
            <w:tcW w:w="114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12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140" w:type="dxa"/>
            <w:vAlign w:val="bottom"/>
            <w:gridSpan w:val="5"/>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Paid-In-</w:t>
            </w:r>
          </w:p>
        </w:tc>
        <w:tc>
          <w:tcPr>
            <w:tcW w:w="7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20" w:type="dxa"/>
            <w:vAlign w:val="bottom"/>
            <w:gridSpan w:val="4"/>
            <w:vMerge w:val="continue"/>
          </w:tcPr>
          <w:p>
            <w:pPr>
              <w:spacing w:after="0"/>
              <w:rPr>
                <w:sz w:val="9"/>
                <w:szCs w:val="9"/>
                <w:color w:val="auto"/>
              </w:rPr>
            </w:pPr>
          </w:p>
        </w:tc>
        <w:tc>
          <w:tcPr>
            <w:tcW w:w="84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Net of Tax</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2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659,013</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$ 258,646</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84,309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84,309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15,431</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15,431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1,042</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(39,817)</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(39,817)</w:t>
            </w:r>
          </w:p>
        </w:tc>
        <w:tc>
          <w:tcPr>
            <w:tcW w:w="0" w:type="dxa"/>
            <w:vAlign w:val="bottom"/>
          </w:tcPr>
          <w:p>
            <w:pPr>
              <w:spacing w:after="0"/>
              <w:rPr>
                <w:sz w:val="1"/>
                <w:szCs w:val="1"/>
                <w:color w:val="auto"/>
              </w:rPr>
            </w:pPr>
          </w:p>
        </w:tc>
      </w:tr>
      <w:tr>
        <w:trPr>
          <w:trHeight w:val="159"/>
        </w:trPr>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4,347</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4,347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65,312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-994410</wp:posOffset>
            </wp:positionV>
            <wp:extent cx="7246620"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-779780</wp:posOffset>
            </wp:positionV>
            <wp:extent cx="7246620"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-591185</wp:posOffset>
            </wp:positionV>
            <wp:extent cx="724662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-402590</wp:posOffset>
            </wp:positionV>
            <wp:extent cx="7246620"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-213995</wp:posOffset>
            </wp:positionV>
            <wp:extent cx="7246620" cy="946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8890</wp:posOffset>
            </wp:positionV>
            <wp:extent cx="724662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3560" w:space="360"/>
            <w:col w:w="75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3920" w:type="dxa"/>
            <w:vAlign w:val="bottom"/>
          </w:tcPr>
          <w:p>
            <w:pPr>
              <w:ind w:left="220"/>
              <w:spacing w:after="0"/>
              <w:rPr>
                <w:sz w:val="20"/>
                <w:szCs w:val="20"/>
                <w:color w:val="auto"/>
              </w:rPr>
            </w:pPr>
            <w:r>
              <w:rPr>
                <w:rFonts w:ascii="Arial" w:cs="Arial" w:eastAsia="Arial" w:hAnsi="Arial"/>
                <w:sz w:val="14"/>
                <w:szCs w:val="14"/>
                <w:color w:val="auto"/>
                <w:w w:val="93"/>
              </w:rPr>
              <w:t>Class A common stock issuable (including related amortization)</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4,030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4,030</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Delivery of Class A common stock</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(1,633)</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2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(57,287)</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Amortization of share-based incentive compensation</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306,642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306,642</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24,990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(25,200)</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(135,108)</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(135,108)</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12,817,196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(354,464)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(354,464)</w:t>
            </w:r>
          </w:p>
        </w:tc>
        <w:tc>
          <w:tcPr>
            <w:tcW w:w="0" w:type="dxa"/>
            <w:vAlign w:val="bottom"/>
          </w:tcPr>
          <w:p>
            <w:pPr>
              <w:spacing w:after="0"/>
              <w:rPr>
                <w:sz w:val="1"/>
                <w:szCs w:val="1"/>
                <w:color w:val="auto"/>
              </w:rPr>
            </w:pPr>
          </w:p>
        </w:tc>
      </w:tr>
      <w:tr>
        <w:trPr>
          <w:trHeight w:val="138"/>
        </w:trPr>
        <w:tc>
          <w:tcPr>
            <w:tcW w:w="3920" w:type="dxa"/>
            <w:vAlign w:val="bottom"/>
          </w:tcPr>
          <w:p>
            <w:pPr>
              <w:spacing w:after="0" w:line="138" w:lineRule="exact"/>
              <w:rPr>
                <w:sz w:val="20"/>
                <w:szCs w:val="20"/>
                <w:color w:val="auto"/>
              </w:rPr>
            </w:pPr>
            <w:r>
              <w:rPr>
                <w:rFonts w:ascii="Arial" w:cs="Arial" w:eastAsia="Arial" w:hAnsi="Arial"/>
                <w:sz w:val="14"/>
                <w:szCs w:val="14"/>
                <w:color w:val="auto"/>
                <w:w w:val="95"/>
              </w:rPr>
              <w:t>Delivery of Class A common stock in connection with share-based</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ind w:left="220"/>
              <w:spacing w:after="0" w:line="159" w:lineRule="exact"/>
              <w:rPr>
                <w:sz w:val="20"/>
                <w:szCs w:val="20"/>
                <w:color w:val="auto"/>
              </w:rPr>
            </w:pPr>
            <w:r>
              <w:rPr>
                <w:rFonts w:ascii="Arial" w:cs="Arial" w:eastAsia="Arial" w:hAnsi="Arial"/>
                <w:sz w:val="14"/>
                <w:szCs w:val="14"/>
                <w:color w:val="auto"/>
              </w:rPr>
              <w:t>incentive compensation and related tax expense of $972</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(153,274)</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(3,448,988)</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107,431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(45,843)</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Modification of equity incentive compensation award</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(26,601)</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(26,601)</w:t>
            </w:r>
          </w:p>
        </w:tc>
        <w:tc>
          <w:tcPr>
            <w:tcW w:w="0" w:type="dxa"/>
            <w:vAlign w:val="bottom"/>
          </w:tcPr>
          <w:p>
            <w:pPr>
              <w:spacing w:after="0"/>
              <w:rPr>
                <w:sz w:val="1"/>
                <w:szCs w:val="1"/>
                <w:color w:val="auto"/>
              </w:rPr>
            </w:pPr>
          </w:p>
        </w:tc>
      </w:tr>
      <w:tr>
        <w:trPr>
          <w:trHeight w:val="138"/>
        </w:trPr>
        <w:tc>
          <w:tcPr>
            <w:tcW w:w="3920" w:type="dxa"/>
            <w:vAlign w:val="bottom"/>
          </w:tcPr>
          <w:p>
            <w:pPr>
              <w:spacing w:after="0" w:line="138" w:lineRule="exact"/>
              <w:rPr>
                <w:sz w:val="20"/>
                <w:szCs w:val="20"/>
                <w:color w:val="auto"/>
              </w:rPr>
            </w:pPr>
            <w:r>
              <w:rPr>
                <w:rFonts w:ascii="Arial" w:cs="Arial" w:eastAsia="Arial" w:hAnsi="Arial"/>
                <w:sz w:val="14"/>
                <w:szCs w:val="14"/>
                <w:color w:val="auto"/>
                <w:w w:val="89"/>
              </w:rPr>
              <w:t>Class A common stock issued in exchange for Lazard Group common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ind w:left="220"/>
              <w:spacing w:after="0" w:line="159" w:lineRule="exact"/>
              <w:rPr>
                <w:sz w:val="20"/>
                <w:szCs w:val="20"/>
                <w:color w:val="auto"/>
              </w:rPr>
            </w:pPr>
            <w:r>
              <w:rPr>
                <w:rFonts w:ascii="Arial" w:cs="Arial" w:eastAsia="Arial" w:hAnsi="Arial"/>
                <w:sz w:val="14"/>
                <w:szCs w:val="14"/>
                <w:color w:val="auto"/>
              </w:rPr>
              <w:t>membership interests</w:t>
            </w:r>
          </w:p>
        </w:tc>
        <w:tc>
          <w:tcPr>
            <w:tcW w:w="500" w:type="dxa"/>
            <w:vAlign w:val="bottom"/>
          </w:tcPr>
          <w:p>
            <w:pPr>
              <w:spacing w:after="0"/>
              <w:rPr>
                <w:sz w:val="13"/>
                <w:szCs w:val="13"/>
                <w:color w:val="auto"/>
              </w:rPr>
            </w:pPr>
          </w:p>
        </w:tc>
        <w:tc>
          <w:tcPr>
            <w:tcW w:w="1500" w:type="dxa"/>
            <w:vAlign w:val="bottom"/>
            <w:gridSpan w:val="5"/>
          </w:tcPr>
          <w:p>
            <w:pPr>
              <w:jc w:val="right"/>
              <w:ind w:right="140"/>
              <w:spacing w:after="0" w:line="159" w:lineRule="exact"/>
              <w:rPr>
                <w:sz w:val="20"/>
                <w:szCs w:val="20"/>
                <w:color w:val="auto"/>
              </w:rPr>
            </w:pPr>
            <w:r>
              <w:rPr>
                <w:rFonts w:ascii="Arial" w:cs="Arial" w:eastAsia="Arial" w:hAnsi="Arial"/>
                <w:sz w:val="14"/>
                <w:szCs w:val="14"/>
                <w:color w:val="auto"/>
              </w:rPr>
              <w:t>5,207,112</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52</w:t>
            </w:r>
          </w:p>
        </w:tc>
        <w:tc>
          <w:tcPr>
            <w:tcW w:w="9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(52)</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related to noncontrolling interests</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32,935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29,755</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2012</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200" w:type="dxa"/>
            <w:vAlign w:val="bottom"/>
          </w:tcPr>
          <w:p>
            <w:pPr>
              <w:spacing w:after="0"/>
              <w:rPr>
                <w:sz w:val="13"/>
                <w:szCs w:val="13"/>
                <w:color w:val="auto"/>
              </w:rPr>
            </w:pPr>
          </w:p>
        </w:tc>
        <w:tc>
          <w:tcPr>
            <w:tcW w:w="130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color w:val="auto"/>
              </w:rPr>
              <w:t>$  –   128,216,424</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1,282</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  846,050</w:t>
            </w:r>
          </w:p>
        </w:tc>
        <w:tc>
          <w:tcPr>
            <w:tcW w:w="1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$ 182,647</w:t>
            </w:r>
          </w:p>
        </w:tc>
        <w:tc>
          <w:tcPr>
            <w:tcW w:w="160" w:type="dxa"/>
            <w:vAlign w:val="bottom"/>
          </w:tcPr>
          <w:p>
            <w:pPr>
              <w:spacing w:after="0"/>
              <w:rPr>
                <w:sz w:val="13"/>
                <w:szCs w:val="13"/>
                <w:color w:val="auto"/>
              </w:rPr>
            </w:pPr>
          </w:p>
        </w:tc>
        <w:tc>
          <w:tcPr>
            <w:tcW w:w="26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w w:val="76"/>
              </w:rPr>
              <w:t>$</w:t>
            </w: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(110,541)  12,802,938</w:t>
            </w:r>
          </w:p>
        </w:tc>
        <w:tc>
          <w:tcPr>
            <w:tcW w:w="160" w:type="dxa"/>
            <w:vAlign w:val="bottom"/>
          </w:tcPr>
          <w:p>
            <w:pPr>
              <w:spacing w:after="0"/>
              <w:rPr>
                <w:sz w:val="13"/>
                <w:szCs w:val="13"/>
                <w:color w:val="auto"/>
              </w:rPr>
            </w:pPr>
          </w:p>
        </w:tc>
        <w:tc>
          <w:tcPr>
            <w:tcW w:w="92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(349,782)  $</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569,656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80" w:hanging="332"/>
        <w:spacing w:after="0" w:line="186" w:lineRule="auto"/>
        <w:tabs>
          <w:tab w:leader="none" w:pos="340" w:val="left"/>
        </w:tabs>
        <w:numPr>
          <w:ilvl w:val="0"/>
          <w:numId w:val="90"/>
        </w:numPr>
        <w:rPr>
          <w:rFonts w:ascii="Arial" w:cs="Arial" w:eastAsia="Arial" w:hAnsi="Arial"/>
          <w:sz w:val="22"/>
          <w:szCs w:val="22"/>
          <w:color w:val="auto"/>
          <w:vertAlign w:val="superscript"/>
        </w:rPr>
      </w:pPr>
      <w:r>
        <w:rPr>
          <w:rFonts w:ascii="Arial" w:cs="Arial" w:eastAsia="Arial" w:hAnsi="Arial"/>
          <w:sz w:val="14"/>
          <w:szCs w:val="14"/>
          <w:color w:val="auto"/>
        </w:rPr>
        <w:t>Includes 119,697,936, 123,009,311 and 128,216,423 shares of the Company’s Class A common stock issued at December 31, 2010, 2011 and 2012,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2012 and 2011, and for each of the three years in the period ended December 31, 2012,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460" w:right="2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000" w:type="dxa"/>
            <w:vAlign w:val="bottom"/>
          </w:tcPr>
          <w:p>
            <w:pPr>
              <w:spacing w:after="0"/>
              <w:rPr>
                <w:sz w:val="14"/>
                <w:szCs w:val="14"/>
                <w:color w:val="auto"/>
              </w:rPr>
            </w:pPr>
          </w:p>
        </w:tc>
        <w:tc>
          <w:tcPr>
            <w:tcW w:w="422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Capacity</w:t>
            </w:r>
          </w:p>
        </w:tc>
        <w:tc>
          <w:tcPr>
            <w:tcW w:w="122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Dominick Ragone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Dominick Ragone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Andrew M. Alper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Andrew M. Alper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D. Parsons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Richard D. Parsons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28, 2013</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II-1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55" w:name="page156"/>
    <w:bookmarkEnd w:id="155"/>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5"/>
          </w:tcPr>
          <w:p>
            <w:pPr>
              <w:jc w:val="right"/>
              <w:ind w:right="7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123,885</w:t>
            </w:r>
          </w:p>
        </w:tc>
        <w:tc>
          <w:tcPr>
            <w:tcW w:w="5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235,499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243,650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(182,234)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106,470</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110,919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117,119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127,398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160,154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230,355</w:t>
            </w:r>
          </w:p>
        </w:tc>
        <w:tc>
          <w:tcPr>
            <w:tcW w:w="5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346,418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360,769</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185,294</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5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107,890</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24,905</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106,470</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117,119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127,398</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160,154</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2.16(d)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3.08(e)</w:t>
            </w: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1.16(g)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Deficiency in the coverage of operating income (loss) before fixed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 to total fixed charges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182,234</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60" w:hanging="452"/>
        <w:spacing w:after="0" w:line="323"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pacing w:after="0" w:line="25"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7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Group LLC</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International Holdings, Inc.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333-126752 and No. 333-154977 each on Form S-8 and Registration Statement No. 333-165511 on Form S-3 of our reports dated February 28, 2013, relating to the consolidated financial statements and financial statement schedule of Lazard Ltd, and the effectiveness of Lazard Ltd’s internal control over financial reporting appearing in this Annual Report on Form 10-K of Lazard Ltd for the year ended December 31, 2012.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amp;"/>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1)"/>
      <w:numFmt w:val="decimal"/>
      <w:start w:val="1"/>
    </w:lvl>
  </w:abstractNum>
  <w:abstractNum w:abstractNumId="20">
    <w:nsid w:val="180115BE"/>
    <w:multiLevelType w:val="hybridMultilevel"/>
    <w:lvl w:ilvl="0">
      <w:lvlJc w:val="left"/>
      <w:lvlText w:val="(%1)"/>
      <w:numFmt w:val="lowerLetter"/>
      <w:start w:val="3"/>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lowerRoman"/>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1)"/>
      <w:numFmt w:val="lowerLetter"/>
      <w:start w:val="1"/>
    </w:lvl>
  </w:abstractNum>
  <w:abstractNum w:abstractNumId="28">
    <w:nsid w:val="3F6AB60F"/>
    <w:multiLevelType w:val="hybridMultilevel"/>
    <w:lvl w:ilvl="0">
      <w:lvlJc w:val="left"/>
      <w:lvlText w:val="(%1)"/>
      <w:numFmt w:val="lowerLetter"/>
      <w:start w:val="1"/>
    </w:lvl>
  </w:abstractNum>
  <w:abstractNum w:abstractNumId="29">
    <w:nsid w:val="61574095"/>
    <w:multiLevelType w:val="hybridMultilevel"/>
    <w:lvl w:ilvl="0">
      <w:lvlJc w:val="left"/>
      <w:lvlText w:val="(%1)"/>
      <w:numFmt w:val="lowerRoman"/>
      <w:start w:val="1"/>
    </w:lvl>
  </w:abstractNum>
  <w:abstractNum w:abstractNumId="30">
    <w:nsid w:val="7E0C57B1"/>
    <w:multiLevelType w:val="hybridMultilevel"/>
    <w:lvl w:ilvl="0">
      <w:lvlJc w:val="left"/>
      <w:lvlText w:val="(%1)"/>
      <w:numFmt w:val="lowerLetter"/>
      <w:start w:val="1"/>
    </w:lvl>
  </w:abstractNum>
  <w:abstractNum w:abstractNumId="31">
    <w:nsid w:val="77AE35EB"/>
    <w:multiLevelType w:val="hybridMultilevel"/>
    <w:lvl w:ilvl="0">
      <w:lvlJc w:val="left"/>
      <w:lvlText w:val="(%1)"/>
      <w:numFmt w:val="lowerLetter"/>
      <w:start w:val="1"/>
    </w:lvl>
  </w:abstractNum>
  <w:abstractNum w:abstractNumId="32">
    <w:nsid w:val="579BE4F1"/>
    <w:multiLevelType w:val="hybridMultilevel"/>
    <w:lvl w:ilvl="0">
      <w:lvlJc w:val="left"/>
      <w:lvlText w:val="(%1)"/>
      <w:numFmt w:val="lowerLetter"/>
      <w:start w:val="1"/>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1)"/>
      <w:numFmt w:val="lowerLetter"/>
      <w:start w:val="2"/>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4"/>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1."/>
      <w:numFmt w:val="decimal"/>
      <w:start w:val="2"/>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3"/>
    </w:lvl>
  </w:abstractNum>
  <w:abstractNum w:abstractNumId="53">
    <w:nsid w:val="5DC79EA8"/>
    <w:multiLevelType w:val="hybridMultilevel"/>
    <w:lvl w:ilvl="0">
      <w:lvlJc w:val="left"/>
      <w:lvlText w:val="%1."/>
      <w:numFmt w:val="decimal"/>
      <w:start w:val="4"/>
    </w:lvl>
  </w:abstractNum>
  <w:abstractNum w:abstractNumId="54">
    <w:nsid w:val="540A471C"/>
    <w:multiLevelType w:val="hybridMultilevel"/>
    <w:lvl w:ilvl="0">
      <w:lvlJc w:val="left"/>
      <w:lvlText w:val="%1."/>
      <w:numFmt w:val="decimal"/>
      <w:start w:val="5"/>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decimal"/>
      <w:start w:val="6"/>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decimal"/>
      <w:start w:val="7"/>
    </w:lvl>
  </w:abstractNum>
  <w:abstractNum w:abstractNumId="61">
    <w:nsid w:val="A0382C5"/>
    <w:multiLevelType w:val="hybridMultilevel"/>
    <w:lvl w:ilvl="0">
      <w:lvlJc w:val="left"/>
      <w:lvlText w:val="%1."/>
      <w:numFmt w:val="decimal"/>
      <w:start w:val="8"/>
    </w:lvl>
  </w:abstractNum>
  <w:abstractNum w:abstractNumId="62">
    <w:nsid w:val="8F2B15E"/>
    <w:multiLevelType w:val="hybridMultilevel"/>
    <w:lvl w:ilvl="0">
      <w:lvlJc w:val="left"/>
      <w:lvlText w:val="%1."/>
      <w:numFmt w:val="decimal"/>
      <w:start w:val="9"/>
    </w:lvl>
  </w:abstractNum>
  <w:abstractNum w:abstractNumId="63">
    <w:nsid w:val="1A32234B"/>
    <w:multiLevelType w:val="hybridMultilevel"/>
    <w:lvl w:ilvl="0">
      <w:lvlJc w:val="left"/>
      <w:lvlText w:val="%1"/>
      <w:numFmt w:val="decimal"/>
      <w:start w:val="1"/>
    </w:lvl>
    <w:lvl w:ilvl="1">
      <w:lvlJc w:val="left"/>
      <w:lvlText w:val="(%2)"/>
      <w:numFmt w:val="lowerLetter"/>
      <w:start w:val="1"/>
    </w:lvl>
  </w:abstractNum>
  <w:abstractNum w:abstractNumId="64">
    <w:nsid w:val="3B0FD379"/>
    <w:multiLevelType w:val="hybridMultilevel"/>
    <w:lvl w:ilvl="0">
      <w:lvlJc w:val="left"/>
      <w:lvlText w:val="%1."/>
      <w:numFmt w:val="decimal"/>
      <w:start w:val="10"/>
    </w:lvl>
    <w:lvl w:ilvl="1">
      <w:lvlJc w:val="left"/>
      <w:lvlText w:val="%2"/>
      <w:numFmt w:val="lowerLetter"/>
      <w:start w:val="1"/>
    </w:lvl>
  </w:abstractNum>
  <w:abstractNum w:abstractNumId="65">
    <w:nsid w:val="68EB2F63"/>
    <w:multiLevelType w:val="hybridMultilevel"/>
    <w:lvl w:ilvl="0">
      <w:lvlJc w:val="left"/>
      <w:lvlText w:val="%1."/>
      <w:numFmt w:val="decimal"/>
      <w:start w:val="1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decimal"/>
      <w:start w:val="12"/>
    </w:lvl>
  </w:abstractNum>
  <w:abstractNum w:abstractNumId="68">
    <w:nsid w:val="6A5EE64"/>
    <w:multiLevelType w:val="hybridMultilevel"/>
    <w:lvl w:ilvl="0">
      <w:lvlJc w:val="left"/>
      <w:lvlText w:val="%1."/>
      <w:numFmt w:val="decimal"/>
      <w:start w:val="13"/>
    </w:lvl>
  </w:abstractNum>
  <w:abstractNum w:abstractNumId="69">
    <w:nsid w:val="14330624"/>
    <w:multiLevelType w:val="hybridMultilevel"/>
    <w:lvl w:ilvl="0">
      <w:lvlJc w:val="left"/>
      <w:lvlText w:val="%1."/>
      <w:numFmt w:val="decimal"/>
      <w:start w:val="14"/>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decimal"/>
      <w:start w:val="15"/>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decimal"/>
      <w:start w:val="16"/>
    </w:lvl>
  </w:abstractNum>
  <w:abstractNum w:abstractNumId="76">
    <w:nsid w:val="6F6DD9AC"/>
    <w:multiLevelType w:val="hybridMultilevel"/>
    <w:lvl w:ilvl="0">
      <w:lvlJc w:val="left"/>
      <w:lvlText w:val="%1."/>
      <w:numFmt w:val="decimal"/>
      <w:start w:val="17"/>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1)"/>
      <w:numFmt w:val="lowerRoman"/>
      <w:start w:val="1"/>
    </w:lvl>
  </w:abstractNum>
  <w:abstractNum w:abstractNumId="79">
    <w:nsid w:val="76272110"/>
    <w:multiLevelType w:val="hybridMultilevel"/>
    <w:lvl w:ilvl="0">
      <w:lvlJc w:val="left"/>
      <w:lvlText w:val="%1."/>
      <w:numFmt w:val="decimal"/>
      <w:start w:val="18"/>
    </w:lvl>
  </w:abstractNum>
  <w:abstractNum w:abstractNumId="80">
    <w:nsid w:val="4C04A8AF"/>
    <w:multiLevelType w:val="hybridMultilevel"/>
    <w:lvl w:ilvl="0">
      <w:lvlJc w:val="left"/>
      <w:lvlText w:val="%1."/>
      <w:numFmt w:val="decimal"/>
      <w:start w:val="20"/>
    </w:lvl>
  </w:abstractNum>
  <w:abstractNum w:abstractNumId="81">
    <w:nsid w:val="1716703B"/>
    <w:multiLevelType w:val="hybridMultilevel"/>
    <w:lvl w:ilvl="0">
      <w:lvlJc w:val="left"/>
      <w:lvlText w:val="%1."/>
      <w:numFmt w:val="decimal"/>
      <w:start w:val="2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lowerLetter"/>
      <w:start w:val="2"/>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decimal"/>
      <w:start w:val="1"/>
    </w:lvl>
  </w:abstractNum>
  <w:abstractNum w:abstractNumId="87">
    <w:nsid w:val="46B7D447"/>
    <w:multiLevelType w:val="hybridMultilevel"/>
    <w:lvl w:ilvl="0">
      <w:lvlJc w:val="left"/>
      <w:lvlText w:val="(%1)"/>
      <w:numFmt w:val="decimal"/>
      <w:start w:val="2"/>
    </w:lvl>
  </w:abstractNum>
  <w:abstractNum w:abstractNumId="88">
    <w:nsid w:val="4A2AC315"/>
    <w:multiLevelType w:val="hybridMultilevel"/>
    <w:lvl w:ilvl="0">
      <w:lvlJc w:val="left"/>
      <w:lvlText w:val="(%1)"/>
      <w:numFmt w:val="lowerLetter"/>
      <w:start w:val="1"/>
    </w:lvl>
    <w:lvl w:ilvl="1">
      <w:lvlJc w:val="left"/>
      <w:lvlText w:val="%2."/>
      <w:numFmt w:val="decimal"/>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lowerLetter"/>
      <w:start w:val="1"/>
    </w:lvl>
    <w:lvl w:ilvl="1">
      <w:lvlJc w:val="left"/>
      <w:lvlText w:val="•"/>
      <w:numFmt w:val="bullet"/>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2019-12-07T09:29:06Z</dcterms:created>
  <dcterms:modified xsi:type="dcterms:W3CDTF">2019-12-07T09:29:06Z</dcterms:modified>
</cp:coreProperties>
</file>