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03"/>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71"/>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49"/>
        </w:trPr>
        <w:tc>
          <w:tcPr>
            <w:tcW w:w="290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97"/>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93"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342"/>
        <w:spacing w:after="0" w:line="268" w:lineRule="auto"/>
        <w:rPr>
          <w:sz w:val="20"/>
          <w:szCs w:val="20"/>
          <w:color w:val="auto"/>
        </w:rPr>
      </w:pPr>
      <w:r>
        <w:rPr>
          <w:rFonts w:ascii="Arial" w:cs="Arial" w:eastAsia="Arial" w:hAnsi="Arial"/>
          <w:sz w:val="18"/>
          <w:szCs w:val="18"/>
          <w:color w:val="auto"/>
        </w:rPr>
        <w:t>As of October 24, 2012, there were 125,657,420 shares of the Registrant’s Class A common stock (including 11,905,371 shares held by subsidiaries)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September 30, 2012 of approximately 94.9%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6">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9"/>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340" w:type="dxa"/>
            <w:vAlign w:val="bottom"/>
            <w:gridSpan w:val="7"/>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September 30, 2012 and</w:t>
              </w:r>
            </w:hyperlink>
          </w:p>
        </w:tc>
        <w:tc>
          <w:tcPr>
            <w:tcW w:w="4700" w:type="dxa"/>
            <w:vAlign w:val="bottom"/>
            <w:gridSpan w:val="4"/>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6340" w:type="dxa"/>
            <w:vAlign w:val="bottom"/>
            <w:tcBorders>
              <w:bottom w:val="single" w:sz="8" w:color="0000EE"/>
            </w:tcBorders>
            <w:gridSpan w:val="7"/>
            <w:vMerge w:val="continue"/>
          </w:tcPr>
          <w:p>
            <w:pPr>
              <w:spacing w:after="0"/>
              <w:rPr>
                <w:sz w:val="13"/>
                <w:szCs w:val="13"/>
                <w:color w:val="auto"/>
              </w:rPr>
            </w:pPr>
          </w:p>
        </w:tc>
        <w:tc>
          <w:tcPr>
            <w:tcW w:w="470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31,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1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nine month periods ended</w:t>
              </w:r>
            </w:hyperlink>
          </w:p>
        </w:tc>
        <w:tc>
          <w:tcPr>
            <w:tcW w:w="39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September 30, 2012 and 2011</w:t>
              </w:r>
            </w:hyperlink>
          </w:p>
        </w:tc>
        <w:tc>
          <w:tcPr>
            <w:tcW w:w="872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1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nine month periods ended September 30, 2012 and 2011</w:t>
              </w:r>
            </w:hyperlink>
          </w:p>
        </w:tc>
        <w:tc>
          <w:tcPr>
            <w:tcW w:w="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 periods ended</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September 30, 2012 and 2011</w:t>
              </w:r>
            </w:hyperlink>
          </w:p>
        </w:tc>
        <w:tc>
          <w:tcPr>
            <w:tcW w:w="3680" w:type="dxa"/>
            <w:vAlign w:val="bottom"/>
            <w:tcBorders>
              <w:top w:val="single" w:sz="8" w:color="0000EE"/>
            </w:tcBorders>
            <w:gridSpan w:val="2"/>
          </w:tcPr>
          <w:p>
            <w:pPr>
              <w:spacing w:after="0"/>
              <w:rPr>
                <w:sz w:val="17"/>
                <w:szCs w:val="17"/>
                <w:color w:val="auto"/>
              </w:rPr>
            </w:pPr>
          </w:p>
        </w:tc>
        <w:tc>
          <w:tcPr>
            <w:tcW w:w="50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96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Stockholders’ Equity for the nine month periods ended September 30, 2012 and 2011</w:t>
              </w:r>
            </w:hyperlink>
          </w:p>
        </w:tc>
        <w:tc>
          <w:tcPr>
            <w:tcW w:w="14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1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3"/>
          </w:tcPr>
          <w:p>
            <w:pPr>
              <w:spacing w:after="0"/>
              <w:rPr>
                <w:sz w:val="24"/>
                <w:szCs w:val="24"/>
                <w:color w:val="auto"/>
              </w:rPr>
            </w:pPr>
          </w:p>
        </w:tc>
        <w:tc>
          <w:tcPr>
            <w:tcW w:w="21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$832,940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266,680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61,863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75,506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w w:val="94"/>
              </w:rPr>
              <w:t>Receivables (net of allowance for doubtful accounts of $22,324 and $19,450 at September 30, 2012 and December 31,</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respectively):</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Fees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389,346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84,063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484,311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439,435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378,521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8"/>
              </w:rPr>
              <w:t>Property (net of accumulated amortization and depreciation of $272,740 and $266,673 at September 30, 2012 and</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December 31, 2011, respectively)</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216,412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168,429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$33,094 and $26,922 at September 30, 2012 and</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2011, respectively)</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395,442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assets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297,863</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$2,994,946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2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900" w:type="dxa"/>
            <w:vAlign w:val="bottom"/>
          </w:tcPr>
          <w:p>
            <w:pPr>
              <w:jc w:val="right"/>
              <w:spacing w:after="0"/>
              <w:rPr>
                <w:sz w:val="20"/>
                <w:szCs w:val="20"/>
                <w:color w:val="auto"/>
              </w:rPr>
            </w:pPr>
            <w:r>
              <w:rPr>
                <w:rFonts w:ascii="Arial" w:cs="Arial" w:eastAsia="Arial" w:hAnsi="Arial"/>
                <w:sz w:val="18"/>
                <w:szCs w:val="18"/>
                <w:color w:val="auto"/>
              </w:rPr>
              <w:t>$262,206</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301,174</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900" w:type="dxa"/>
            <w:vAlign w:val="bottom"/>
          </w:tcPr>
          <w:p>
            <w:pPr>
              <w:jc w:val="right"/>
              <w:spacing w:after="0"/>
              <w:rPr>
                <w:sz w:val="20"/>
                <w:szCs w:val="20"/>
                <w:color w:val="auto"/>
              </w:rPr>
            </w:pPr>
            <w:r>
              <w:rPr>
                <w:rFonts w:ascii="Arial" w:cs="Arial" w:eastAsia="Arial" w:hAnsi="Arial"/>
                <w:sz w:val="18"/>
                <w:szCs w:val="18"/>
                <w:color w:val="auto"/>
              </w:rPr>
              <w:t>1,076,850</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18,148</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900" w:type="dxa"/>
            <w:vAlign w:val="bottom"/>
          </w:tcPr>
          <w:p>
            <w:pPr>
              <w:jc w:val="right"/>
              <w:spacing w:after="0"/>
              <w:rPr>
                <w:sz w:val="20"/>
                <w:szCs w:val="20"/>
                <w:color w:val="auto"/>
              </w:rPr>
            </w:pPr>
            <w:r>
              <w:rPr>
                <w:rFonts w:ascii="Arial" w:cs="Arial" w:eastAsia="Arial" w:hAnsi="Arial"/>
                <w:sz w:val="18"/>
                <w:szCs w:val="18"/>
                <w:color w:val="auto"/>
              </w:rPr>
              <w:t>3,037</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499,705</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900" w:type="dxa"/>
            <w:vAlign w:val="bottom"/>
          </w:tcPr>
          <w:p>
            <w:pPr>
              <w:jc w:val="right"/>
              <w:spacing w:after="0"/>
              <w:rPr>
                <w:sz w:val="20"/>
                <w:szCs w:val="20"/>
                <w:color w:val="auto"/>
              </w:rPr>
            </w:pPr>
            <w:r>
              <w:rPr>
                <w:rFonts w:ascii="Arial" w:cs="Arial" w:eastAsia="Arial" w:hAnsi="Arial"/>
                <w:sz w:val="18"/>
                <w:szCs w:val="18"/>
                <w:color w:val="auto"/>
              </w:rPr>
              <w:t>2,161,120</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2,215,080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September 30, 2012 and December 31, 2011</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w w:val="90"/>
              </w:rPr>
              <w:t>Class A, par value $.01 per share (500,000,000 shares authorized; 123,201,012 and 123,009,311 shares issued</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w w:val="97"/>
              </w:rPr>
              <w:t>at September 30, 2012 and December 31, 2011, respectively, including shares held by subsidiaries as</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indicated below)</w:t>
            </w:r>
          </w:p>
        </w:tc>
        <w:tc>
          <w:tcPr>
            <w:tcW w:w="900" w:type="dxa"/>
            <w:vAlign w:val="bottom"/>
          </w:tcPr>
          <w:p>
            <w:pPr>
              <w:jc w:val="right"/>
              <w:spacing w:after="0"/>
              <w:rPr>
                <w:sz w:val="20"/>
                <w:szCs w:val="20"/>
                <w:color w:val="auto"/>
              </w:rPr>
            </w:pPr>
            <w:r>
              <w:rPr>
                <w:rFonts w:ascii="Arial" w:cs="Arial" w:eastAsia="Arial" w:hAnsi="Arial"/>
                <w:sz w:val="18"/>
                <w:szCs w:val="18"/>
                <w:color w:val="auto"/>
              </w:rPr>
              <w:t>1,232</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Class B, par value $.01 per share (1 share authorized, issued and outstanding at September 30, 2012 and</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December 31, 2011)</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900" w:type="dxa"/>
            <w:vAlign w:val="bottom"/>
          </w:tcPr>
          <w:p>
            <w:pPr>
              <w:jc w:val="right"/>
              <w:spacing w:after="0"/>
              <w:rPr>
                <w:sz w:val="20"/>
                <w:szCs w:val="20"/>
                <w:color w:val="auto"/>
              </w:rPr>
            </w:pPr>
            <w:r>
              <w:rPr>
                <w:rFonts w:ascii="Arial" w:cs="Arial" w:eastAsia="Arial" w:hAnsi="Arial"/>
                <w:sz w:val="18"/>
                <w:szCs w:val="18"/>
                <w:color w:val="auto"/>
              </w:rPr>
              <w:t>750,647</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270,245</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(81,408)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(88,364)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940,716</w:t>
            </w:r>
          </w:p>
        </w:tc>
        <w:tc>
          <w:tcPr>
            <w:tcW w:w="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4"/>
              </w:rPr>
              <w:t>Class A common stock held by subsidiaries, at cost (8,531,305 and 3,492,017 shares at September 30, 2012 and</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December 31, 2011, respectively)</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(226,889)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713,827</w:t>
            </w:r>
          </w:p>
        </w:tc>
        <w:tc>
          <w:tcPr>
            <w:tcW w:w="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119,999</w:t>
            </w:r>
          </w:p>
        </w:tc>
        <w:tc>
          <w:tcPr>
            <w:tcW w:w="940" w:type="dxa"/>
            <w:vAlign w:val="bottom"/>
          </w:tcPr>
          <w:p>
            <w:pPr>
              <w:jc w:val="right"/>
              <w:spacing w:after="0"/>
              <w:rPr>
                <w:sz w:val="20"/>
                <w:szCs w:val="20"/>
                <w:color w:val="auto"/>
              </w:rPr>
            </w:pPr>
            <w:r>
              <w:rPr>
                <w:rFonts w:ascii="Arial" w:cs="Arial" w:eastAsia="Arial" w:hAnsi="Arial"/>
                <w:sz w:val="18"/>
                <w:szCs w:val="18"/>
                <w:color w:val="auto"/>
              </w:rPr>
              <w:t>140,713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833,826</w:t>
            </w:r>
          </w:p>
        </w:tc>
        <w:tc>
          <w:tcPr>
            <w:tcW w:w="44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2,994,946</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0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26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20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1260" w:type="dxa"/>
            <w:vAlign w:val="bottom"/>
            <w:tcBorders>
              <w:top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280" w:type="dxa"/>
            <w:vAlign w:val="bottom"/>
            <w:vMerge w:val="continue"/>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banking and other advisory fees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$218,262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$248,358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732,109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$ 711,781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Money management fees</w:t>
            </w:r>
          </w:p>
        </w:tc>
        <w:tc>
          <w:tcPr>
            <w:tcW w:w="1120" w:type="dxa"/>
            <w:vAlign w:val="bottom"/>
          </w:tcPr>
          <w:p>
            <w:pPr>
              <w:jc w:val="right"/>
              <w:spacing w:after="0"/>
              <w:rPr>
                <w:sz w:val="20"/>
                <w:szCs w:val="20"/>
                <w:color w:val="auto"/>
              </w:rPr>
            </w:pPr>
            <w:r>
              <w:rPr>
                <w:rFonts w:ascii="Arial" w:cs="Arial" w:eastAsia="Arial" w:hAnsi="Arial"/>
                <w:sz w:val="18"/>
                <w:szCs w:val="18"/>
                <w:color w:val="auto"/>
              </w:rPr>
              <w:t>214,867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213,276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621,070</w:t>
            </w:r>
          </w:p>
        </w:tc>
        <w:tc>
          <w:tcPr>
            <w:tcW w:w="1080" w:type="dxa"/>
            <w:vAlign w:val="bottom"/>
          </w:tcPr>
          <w:p>
            <w:pPr>
              <w:jc w:val="right"/>
              <w:spacing w:after="0"/>
              <w:rPr>
                <w:sz w:val="20"/>
                <w:szCs w:val="20"/>
                <w:color w:val="auto"/>
              </w:rPr>
            </w:pPr>
            <w:r>
              <w:rPr>
                <w:rFonts w:ascii="Arial" w:cs="Arial" w:eastAsia="Arial" w:hAnsi="Arial"/>
                <w:sz w:val="18"/>
                <w:szCs w:val="18"/>
                <w:color w:val="auto"/>
              </w:rPr>
              <w:t>658,874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color w:val="auto"/>
              </w:rPr>
              <w:t>15,602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19,531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55,379</w:t>
            </w:r>
          </w:p>
        </w:tc>
        <w:tc>
          <w:tcPr>
            <w:tcW w:w="1080" w:type="dxa"/>
            <w:vAlign w:val="bottom"/>
          </w:tcPr>
          <w:p>
            <w:pPr>
              <w:jc w:val="right"/>
              <w:spacing w:after="0"/>
              <w:rPr>
                <w:sz w:val="20"/>
                <w:szCs w:val="20"/>
                <w:color w:val="auto"/>
              </w:rPr>
            </w:pPr>
            <w:r>
              <w:rPr>
                <w:rFonts w:ascii="Arial" w:cs="Arial" w:eastAsia="Arial" w:hAnsi="Arial"/>
                <w:sz w:val="18"/>
                <w:szCs w:val="18"/>
                <w:color w:val="auto"/>
              </w:rPr>
              <w:t>64,601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449,464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484,583</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1,413,156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20,658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22,164</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61,401</w:t>
            </w:r>
          </w:p>
        </w:tc>
        <w:tc>
          <w:tcPr>
            <w:tcW w:w="1080" w:type="dxa"/>
            <w:vAlign w:val="bottom"/>
          </w:tcPr>
          <w:p>
            <w:pPr>
              <w:jc w:val="right"/>
              <w:spacing w:after="0"/>
              <w:rPr>
                <w:sz w:val="20"/>
                <w:szCs w:val="20"/>
                <w:color w:val="auto"/>
              </w:rPr>
            </w:pPr>
            <w:r>
              <w:rPr>
                <w:rFonts w:ascii="Arial" w:cs="Arial" w:eastAsia="Arial" w:hAnsi="Arial"/>
                <w:sz w:val="18"/>
                <w:szCs w:val="18"/>
                <w:color w:val="auto"/>
              </w:rPr>
              <w:t>68,795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428,806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462,419</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1,351,755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1,377,734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273,532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905,527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Occupancy and equipment</w:t>
            </w:r>
          </w:p>
        </w:tc>
        <w:tc>
          <w:tcPr>
            <w:tcW w:w="1120" w:type="dxa"/>
            <w:vAlign w:val="bottom"/>
          </w:tcPr>
          <w:p>
            <w:pPr>
              <w:jc w:val="right"/>
              <w:spacing w:after="0"/>
              <w:rPr>
                <w:sz w:val="20"/>
                <w:szCs w:val="20"/>
                <w:color w:val="auto"/>
              </w:rPr>
            </w:pPr>
            <w:r>
              <w:rPr>
                <w:rFonts w:ascii="Arial" w:cs="Arial" w:eastAsia="Arial" w:hAnsi="Arial"/>
                <w:sz w:val="18"/>
                <w:szCs w:val="18"/>
                <w:color w:val="auto"/>
              </w:rPr>
              <w:t>25,680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24,345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80,309</w:t>
            </w:r>
          </w:p>
        </w:tc>
        <w:tc>
          <w:tcPr>
            <w:tcW w:w="1080" w:type="dxa"/>
            <w:vAlign w:val="bottom"/>
          </w:tcPr>
          <w:p>
            <w:pPr>
              <w:jc w:val="right"/>
              <w:spacing w:after="0"/>
              <w:rPr>
                <w:sz w:val="20"/>
                <w:szCs w:val="20"/>
                <w:color w:val="auto"/>
              </w:rPr>
            </w:pPr>
            <w:r>
              <w:rPr>
                <w:rFonts w:ascii="Arial" w:cs="Arial" w:eastAsia="Arial" w:hAnsi="Arial"/>
                <w:sz w:val="18"/>
                <w:szCs w:val="18"/>
                <w:color w:val="auto"/>
              </w:rPr>
              <w:t>70,030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and business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69,685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Technology and information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21,474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20,417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63,142</w:t>
            </w:r>
          </w:p>
        </w:tc>
        <w:tc>
          <w:tcPr>
            <w:tcW w:w="1080" w:type="dxa"/>
            <w:vAlign w:val="bottom"/>
          </w:tcPr>
          <w:p>
            <w:pPr>
              <w:jc w:val="right"/>
              <w:spacing w:after="0"/>
              <w:rPr>
                <w:sz w:val="20"/>
                <w:szCs w:val="20"/>
                <w:color w:val="auto"/>
              </w:rPr>
            </w:pPr>
            <w:r>
              <w:rPr>
                <w:rFonts w:ascii="Arial" w:cs="Arial" w:eastAsia="Arial" w:hAnsi="Arial"/>
                <w:sz w:val="18"/>
                <w:szCs w:val="18"/>
                <w:color w:val="auto"/>
              </w:rPr>
              <w:t>60,566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Professional services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11,434</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31,099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Fund administration and outsourced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13,179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14,019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39,300</w:t>
            </w:r>
          </w:p>
        </w:tc>
        <w:tc>
          <w:tcPr>
            <w:tcW w:w="1080" w:type="dxa"/>
            <w:vAlign w:val="bottom"/>
          </w:tcPr>
          <w:p>
            <w:pPr>
              <w:jc w:val="right"/>
              <w:spacing w:after="0"/>
              <w:rPr>
                <w:sz w:val="20"/>
                <w:szCs w:val="20"/>
                <w:color w:val="auto"/>
              </w:rPr>
            </w:pPr>
            <w:r>
              <w:rPr>
                <w:rFonts w:ascii="Arial" w:cs="Arial" w:eastAsia="Arial" w:hAnsi="Arial"/>
                <w:sz w:val="18"/>
                <w:szCs w:val="18"/>
                <w:color w:val="auto"/>
              </w:rPr>
              <w:t>40,777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color w:val="auto"/>
              </w:rPr>
              <w:t>7,825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9,374</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27,439</w:t>
            </w:r>
          </w:p>
        </w:tc>
        <w:tc>
          <w:tcPr>
            <w:tcW w:w="1080" w:type="dxa"/>
            <w:vAlign w:val="bottom"/>
          </w:tcPr>
          <w:p>
            <w:pPr>
              <w:jc w:val="right"/>
              <w:spacing w:after="0"/>
              <w:rPr>
                <w:sz w:val="20"/>
                <w:szCs w:val="20"/>
                <w:color w:val="auto"/>
              </w:rPr>
            </w:pPr>
            <w:r>
              <w:rPr>
                <w:rFonts w:ascii="Arial" w:cs="Arial" w:eastAsia="Arial" w:hAnsi="Arial"/>
                <w:sz w:val="18"/>
                <w:szCs w:val="18"/>
                <w:color w:val="auto"/>
              </w:rPr>
              <w:t>27,839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382,080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374,681</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1,222,673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46,726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87,738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129,082</w:t>
            </w:r>
          </w:p>
        </w:tc>
        <w:tc>
          <w:tcPr>
            <w:tcW w:w="1080" w:type="dxa"/>
            <w:vAlign w:val="bottom"/>
          </w:tcPr>
          <w:p>
            <w:pPr>
              <w:jc w:val="right"/>
              <w:spacing w:after="0"/>
              <w:rPr>
                <w:sz w:val="20"/>
                <w:szCs w:val="20"/>
                <w:color w:val="auto"/>
              </w:rPr>
            </w:pPr>
            <w:r>
              <w:rPr>
                <w:rFonts w:ascii="Arial" w:cs="Arial" w:eastAsia="Arial" w:hAnsi="Arial"/>
                <w:sz w:val="18"/>
                <w:szCs w:val="18"/>
                <w:color w:val="auto"/>
              </w:rPr>
              <w:t>250,386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20,605</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33,673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67,133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96,891</w:t>
            </w:r>
          </w:p>
        </w:tc>
        <w:tc>
          <w:tcPr>
            <w:tcW w:w="1080" w:type="dxa"/>
            <w:vAlign w:val="bottom"/>
          </w:tcPr>
          <w:p>
            <w:pPr>
              <w:jc w:val="right"/>
              <w:spacing w:after="0"/>
              <w:rPr>
                <w:sz w:val="20"/>
                <w:szCs w:val="20"/>
                <w:color w:val="auto"/>
              </w:rPr>
            </w:pPr>
            <w:r>
              <w:rPr>
                <w:rFonts w:ascii="Arial" w:cs="Arial" w:eastAsia="Arial" w:hAnsi="Arial"/>
                <w:sz w:val="18"/>
                <w:szCs w:val="18"/>
                <w:color w:val="auto"/>
              </w:rPr>
              <w:t>198,682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LESS - NET INCOME ATTRIBUTABLE TO NONCONTROLLING</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INTERESTS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$ 33,301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$ 62,699</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89,674</w:t>
            </w:r>
          </w:p>
        </w:tc>
        <w:tc>
          <w:tcPr>
            <w:tcW w:w="1080" w:type="dxa"/>
            <w:vAlign w:val="bottom"/>
          </w:tcPr>
          <w:p>
            <w:pPr>
              <w:jc w:val="right"/>
              <w:spacing w:after="0"/>
              <w:rPr>
                <w:sz w:val="20"/>
                <w:szCs w:val="20"/>
                <w:color w:val="auto"/>
              </w:rPr>
            </w:pPr>
            <w:r>
              <w:rPr>
                <w:rFonts w:ascii="Arial" w:cs="Arial" w:eastAsia="Arial" w:hAnsi="Arial"/>
                <w:sz w:val="18"/>
                <w:szCs w:val="18"/>
                <w:color w:val="auto"/>
              </w:rPr>
              <w:t>$ 179,710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6280" w:type="dxa"/>
            <w:vAlign w:val="bottom"/>
          </w:tcPr>
          <w:p>
            <w:pPr>
              <w:ind w:left="22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115,603,351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118,315,944</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117,689,404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117,586,028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66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spacing w:after="0"/>
              <w:rPr>
                <w:sz w:val="20"/>
                <w:szCs w:val="20"/>
                <w:color w:val="auto"/>
              </w:rPr>
            </w:pPr>
            <w:r>
              <w:rPr>
                <w:rFonts w:ascii="Arial" w:cs="Arial" w:eastAsia="Arial" w:hAnsi="Arial"/>
                <w:sz w:val="18"/>
                <w:szCs w:val="18"/>
                <w:color w:val="auto"/>
              </w:rPr>
              <w:t>135,380,036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136,857,956</w:t>
            </w:r>
          </w:p>
        </w:tc>
        <w:tc>
          <w:tcPr>
            <w:tcW w:w="220" w:type="dxa"/>
            <w:vAlign w:val="bottom"/>
          </w:tcPr>
          <w:p>
            <w:pPr>
              <w:spacing w:after="0"/>
              <w:rPr>
                <w:sz w:val="19"/>
                <w:szCs w:val="19"/>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135,537,050</w:t>
            </w:r>
          </w:p>
        </w:tc>
        <w:tc>
          <w:tcPr>
            <w:tcW w:w="1080" w:type="dxa"/>
            <w:vAlign w:val="bottom"/>
          </w:tcPr>
          <w:p>
            <w:pPr>
              <w:jc w:val="right"/>
              <w:spacing w:after="0"/>
              <w:rPr>
                <w:sz w:val="20"/>
                <w:szCs w:val="20"/>
                <w:color w:val="auto"/>
              </w:rPr>
            </w:pPr>
            <w:r>
              <w:rPr>
                <w:rFonts w:ascii="Arial" w:cs="Arial" w:eastAsia="Arial" w:hAnsi="Arial"/>
                <w:sz w:val="18"/>
                <w:szCs w:val="18"/>
                <w:color w:val="auto"/>
              </w:rPr>
              <w:t>138,265,494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6280" w:type="dxa"/>
            <w:vAlign w:val="bottom"/>
          </w:tcPr>
          <w:p>
            <w:pPr>
              <w:ind w:left="220"/>
              <w:spacing w:after="0"/>
              <w:rPr>
                <w:sz w:val="20"/>
                <w:szCs w:val="20"/>
                <w:color w:val="auto"/>
              </w:rPr>
            </w:pPr>
            <w:r>
              <w:rPr>
                <w:rFonts w:ascii="Arial" w:cs="Arial" w:eastAsia="Arial" w:hAnsi="Arial"/>
                <w:sz w:val="18"/>
                <w:szCs w:val="18"/>
                <w:b w:val="1"/>
                <w:bCs w:val="1"/>
                <w:color w:val="auto"/>
              </w:rPr>
              <w:t>NET INCOME PER SHARE OF COMMON STOCK:</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660"/>
              <w:spacing w:after="0"/>
              <w:rPr>
                <w:sz w:val="20"/>
                <w:szCs w:val="20"/>
                <w:color w:val="auto"/>
              </w:rPr>
            </w:pPr>
            <w:r>
              <w:rPr>
                <w:rFonts w:ascii="Arial" w:cs="Arial" w:eastAsia="Arial" w:hAnsi="Arial"/>
                <w:sz w:val="18"/>
                <w:szCs w:val="18"/>
                <w:color w:val="auto"/>
              </w:rPr>
              <w:t>Diluted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$0.70</w:t>
            </w: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9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33,673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$ 67,133</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$96,891</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198,682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14,306</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(38,496)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12,352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264</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264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791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Actuarial loss (net of tax benefits of $994 and $2,402 for the three months ended</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060"/>
              <w:spacing w:after="0"/>
              <w:rPr>
                <w:sz w:val="20"/>
                <w:szCs w:val="20"/>
                <w:color w:val="auto"/>
              </w:rPr>
            </w:pPr>
            <w:r>
              <w:rPr>
                <w:rFonts w:ascii="Arial" w:cs="Arial" w:eastAsia="Arial" w:hAnsi="Arial"/>
                <w:sz w:val="18"/>
                <w:szCs w:val="18"/>
                <w:color w:val="auto"/>
                <w:w w:val="98"/>
              </w:rPr>
              <w:t>September 30, 2012 and 2011, respectively, and $3,719 and $4,308 for the nine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1060"/>
              <w:spacing w:after="0"/>
              <w:rPr>
                <w:sz w:val="20"/>
                <w:szCs w:val="20"/>
                <w:color w:val="auto"/>
              </w:rPr>
            </w:pPr>
            <w:r>
              <w:rPr>
                <w:rFonts w:ascii="Arial" w:cs="Arial" w:eastAsia="Arial" w:hAnsi="Arial"/>
                <w:sz w:val="18"/>
                <w:szCs w:val="18"/>
                <w:color w:val="auto"/>
              </w:rPr>
              <w:t>months ended September 30, 2012 and 2011, respectively)</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(1,893)</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(4,585)</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(7,947)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Adjustment for items reclassified to earnings (net of tax expense of $278 and $261 for</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the three months ended September 30, 2012 and 2011, respectively, and $856 and</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$778 for the nine months ended September 30, 2012 and 2011, respectively)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(42,257)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7,640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24,876</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104,531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spacing w:after="0" w:line="201" w:lineRule="exact"/>
              <w:rPr>
                <w:sz w:val="20"/>
                <w:szCs w:val="20"/>
                <w:color w:val="auto"/>
              </w:rPr>
            </w:pPr>
            <w:r>
              <w:rPr>
                <w:rFonts w:ascii="Arial" w:cs="Arial" w:eastAsia="Arial" w:hAnsi="Arial"/>
                <w:sz w:val="18"/>
                <w:szCs w:val="18"/>
                <w:b w:val="1"/>
                <w:bCs w:val="1"/>
                <w:color w:val="auto"/>
              </w:rPr>
              <w:t>LESS - COMPREHENSIVE INCOME ATTRIBUTABLE TO NONCONTROLLING</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580" w:type="dxa"/>
            <w:vAlign w:val="bottom"/>
          </w:tcPr>
          <w:p>
            <w:pPr>
              <w:jc w:val="right"/>
              <w:spacing w:after="0"/>
              <w:rPr>
                <w:sz w:val="20"/>
                <w:szCs w:val="20"/>
                <w:color w:val="auto"/>
              </w:rPr>
            </w:pPr>
            <w:r>
              <w:rPr>
                <w:rFonts w:ascii="Arial" w:cs="Arial" w:eastAsia="Arial" w:hAnsi="Arial"/>
                <w:sz w:val="18"/>
                <w:szCs w:val="18"/>
                <w:color w:val="auto"/>
              </w:rPr>
              <w:t>1,086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7,784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46,067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$ 22,853</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$ 96,747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168,400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96,891</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w w:val="97"/>
              </w:rPr>
              <w:t>Amortization of deferred expenses, share-based incentive compensation and interest rate hedge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252,812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228,213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Gain on extinguishment of debt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18,465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23,115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(55,135)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(54,449)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(28,361)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(55,770)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(230,935)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239,826</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(71,722)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(69,564)</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Subordinated debt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(17,399)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Purchase of Class A common stock</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(222,679)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A common stock dividends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(66,219)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(40,686)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(347,416)</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(484,734)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(170,851)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(219,801)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1,003,791</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1,209,695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EQUIVALENTS—September 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832,940</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989,894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b w:val="1"/>
                <w:bCs w:val="1"/>
                <w:color w:val="auto"/>
              </w:rPr>
              <w:t>Supplemental investing non-cash transaction: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A common stock issued/issuable in connection with business acquisitions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80" w:type="dxa"/>
            <w:vAlign w:val="bottom"/>
            <w:gridSpan w:val="3"/>
            <w:vMerge w:val="restart"/>
          </w:tcPr>
          <w:p>
            <w:pPr>
              <w:jc w:val="center"/>
              <w:ind w:left="112"/>
              <w:spacing w:after="0"/>
              <w:rPr>
                <w:sz w:val="20"/>
                <w:szCs w:val="20"/>
                <w:color w:val="auto"/>
              </w:rPr>
            </w:pPr>
            <w:r>
              <w:rPr>
                <w:rFonts w:ascii="Arial" w:cs="Arial" w:eastAsia="Arial" w:hAnsi="Arial"/>
                <w:sz w:val="14"/>
                <w:szCs w:val="14"/>
                <w:b w:val="1"/>
                <w:bCs w:val="1"/>
                <w:color w:val="auto"/>
                <w:w w:val="82"/>
              </w:rPr>
              <w:t>Series A</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86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Preferred</w:t>
            </w: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600" w:type="dxa"/>
            <w:vAlign w:val="bottom"/>
            <w:gridSpan w:val="2"/>
            <w:vMerge w:val="restart"/>
          </w:tcPr>
          <w:p>
            <w:pPr>
              <w:jc w:val="center"/>
              <w:ind w:left="192"/>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9"/>
              </w:rPr>
              <w:t>Held By a Subsidiary</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40" w:type="dxa"/>
            <w:vAlign w:val="bottom"/>
          </w:tcPr>
          <w:p>
            <w:pPr>
              <w:spacing w:after="0"/>
              <w:rPr>
                <w:sz w:val="9"/>
                <w:szCs w:val="9"/>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6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180" w:type="dxa"/>
            <w:vAlign w:val="bottom"/>
          </w:tcPr>
          <w:p>
            <w:pPr>
              <w:jc w:val="right"/>
              <w:ind w:right="45"/>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 (*)</w:t>
            </w: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2011</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22,021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119,697,937</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$1,197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758,841</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$ 166,468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(46,158)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6,847,508</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$(227,950)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652,398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143,719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796,117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6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179,710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179,710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198,682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ind w:left="200"/>
              <w:spacing w:after="0" w:line="138" w:lineRule="exact"/>
              <w:rPr>
                <w:sz w:val="20"/>
                <w:szCs w:val="20"/>
                <w:color w:val="auto"/>
              </w:rPr>
            </w:pPr>
            <w:r>
              <w:rPr>
                <w:rFonts w:ascii="Arial" w:cs="Arial" w:eastAsia="Arial" w:hAnsi="Arial"/>
                <w:sz w:val="14"/>
                <w:szCs w:val="14"/>
                <w:color w:val="auto"/>
                <w:w w:val="92"/>
              </w:rPr>
              <w:t>Other comprehensive income (loss) -</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420"/>
              <w:spacing w:after="0" w:line="159" w:lineRule="exact"/>
              <w:rPr>
                <w:sz w:val="20"/>
                <w:szCs w:val="20"/>
                <w:color w:val="auto"/>
              </w:rPr>
            </w:pPr>
            <w:r>
              <w:rPr>
                <w:rFonts w:ascii="Arial" w:cs="Arial" w:eastAsia="Arial" w:hAnsi="Arial"/>
                <w:sz w:val="14"/>
                <w:szCs w:val="14"/>
                <w:color w:val="auto"/>
              </w:rPr>
              <w:t>net of tax:</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(5,866)</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(5,866)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(6,322)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ind w:left="640"/>
              <w:spacing w:after="0" w:line="138" w:lineRule="exact"/>
              <w:rPr>
                <w:sz w:val="20"/>
                <w:szCs w:val="20"/>
                <w:color w:val="auto"/>
              </w:rPr>
            </w:pPr>
            <w:r>
              <w:rPr>
                <w:rFonts w:ascii="Arial" w:cs="Arial" w:eastAsia="Arial" w:hAnsi="Arial"/>
                <w:sz w:val="14"/>
                <w:szCs w:val="14"/>
                <w:color w:val="auto"/>
                <w:w w:val="98"/>
              </w:rPr>
              <w:t>Amortization of interest rate</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749</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749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(7,778)</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(7,778)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(437)</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3"/>
              </w:rPr>
              <w:t>Adjustments for items</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1,585</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1,585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89</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1,674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4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168,400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18,210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186,610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Business acquisitions and related equity</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transactions:</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420"/>
              <w:spacing w:after="0" w:line="149" w:lineRule="exact"/>
              <w:rPr>
                <w:sz w:val="20"/>
                <w:szCs w:val="20"/>
                <w:color w:val="auto"/>
              </w:rPr>
            </w:pPr>
            <w:r>
              <w:rPr>
                <w:rFonts w:ascii="Arial" w:cs="Arial" w:eastAsia="Arial" w:hAnsi="Arial"/>
                <w:sz w:val="14"/>
                <w:szCs w:val="14"/>
                <w:color w:val="auto"/>
                <w:w w:val="92"/>
              </w:rPr>
              <w:t>issued/issuable (including related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40" w:type="dxa"/>
            <w:vAlign w:val="bottom"/>
          </w:tcPr>
          <w:p>
            <w:pPr>
              <w:ind w:left="420"/>
              <w:spacing w:after="0"/>
              <w:rPr>
                <w:sz w:val="20"/>
                <w:szCs w:val="20"/>
                <w:color w:val="auto"/>
              </w:rPr>
            </w:pPr>
            <w:r>
              <w:rPr>
                <w:rFonts w:ascii="Arial" w:cs="Arial" w:eastAsia="Arial" w:hAnsi="Arial"/>
                <w:sz w:val="14"/>
                <w:szCs w:val="14"/>
                <w:color w:val="auto"/>
              </w:rPr>
              <w:t>amortization)</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41,688</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41,688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3,115</w:t>
            </w:r>
          </w:p>
        </w:tc>
        <w:tc>
          <w:tcPr>
            <w:tcW w:w="1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44,803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Conversion of Series A preferred</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2"/>
              </w:rPr>
              <w:t>stock into Class A common stock</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1"/>
              </w:rPr>
              <w:t>(14,100)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2,434,561</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(25)</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200"/>
              <w:spacing w:after="0" w:line="149" w:lineRule="exact"/>
              <w:rPr>
                <w:sz w:val="20"/>
                <w:szCs w:val="20"/>
                <w:color w:val="auto"/>
              </w:rPr>
            </w:pPr>
            <w:r>
              <w:rPr>
                <w:rFonts w:ascii="Arial" w:cs="Arial" w:eastAsia="Arial" w:hAnsi="Arial"/>
                <w:sz w:val="14"/>
                <w:szCs w:val="14"/>
                <w:color w:val="auto"/>
                <w:w w:val="99"/>
              </w:rPr>
              <w:t>Delivery of Class A common stock</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(45,935)</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2"/>
              </w:rPr>
              <w:t>(1,247,555)</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45,147</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(788)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Amortization of share-based incentive</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200,230</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200,230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11,236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211,466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9,140</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(9,194)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(51,409)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(51,409)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(51,409)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4,318,916</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(158,617)</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(158,617)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(158,617)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Delivery of Class A common stock in</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9"/>
              </w:rPr>
              <w:t>connection with share-based incentive</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9"/>
              </w:rPr>
              <w:t>compensation and related tax benefits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$2,178</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(290,059)</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2"/>
              </w:rPr>
              <w:t>(5,820,438)</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199,827</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(90,232)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(90,159)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spacing w:after="0" w:line="138" w:lineRule="exact"/>
              <w:rPr>
                <w:sz w:val="20"/>
                <w:szCs w:val="20"/>
                <w:color w:val="auto"/>
              </w:rPr>
            </w:pPr>
            <w:r>
              <w:rPr>
                <w:rFonts w:ascii="Arial" w:cs="Arial" w:eastAsia="Arial" w:hAnsi="Arial"/>
                <w:sz w:val="14"/>
                <w:szCs w:val="14"/>
                <w:color w:val="auto"/>
              </w:rPr>
              <w:t>Repurchase of common membership</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200"/>
              <w:spacing w:after="0" w:line="149" w:lineRule="exact"/>
              <w:rPr>
                <w:sz w:val="20"/>
                <w:szCs w:val="20"/>
                <w:color w:val="auto"/>
              </w:rPr>
            </w:pPr>
            <w:r>
              <w:rPr>
                <w:rFonts w:ascii="Arial" w:cs="Arial" w:eastAsia="Arial" w:hAnsi="Arial"/>
                <w:sz w:val="14"/>
                <w:szCs w:val="14"/>
                <w:color w:val="auto"/>
              </w:rPr>
              <w:t>interests from</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200"/>
              <w:spacing w:after="0" w:line="159" w:lineRule="exact"/>
              <w:rPr>
                <w:sz w:val="20"/>
                <w:szCs w:val="20"/>
                <w:color w:val="auto"/>
              </w:rPr>
            </w:pPr>
            <w:r>
              <w:rPr>
                <w:rFonts w:ascii="Arial" w:cs="Arial" w:eastAsia="Arial" w:hAnsi="Arial"/>
                <w:sz w:val="14"/>
                <w:szCs w:val="14"/>
                <w:color w:val="auto"/>
              </w:rPr>
              <w:t>LAZ-MD Holdings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(751)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(751)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exchange for Lazard Group common</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membership interests</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738,655</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spacing w:after="0" w:line="138" w:lineRule="exact"/>
              <w:rPr>
                <w:sz w:val="20"/>
                <w:szCs w:val="20"/>
                <w:color w:val="auto"/>
              </w:rPr>
            </w:pPr>
            <w:r>
              <w:rPr>
                <w:rFonts w:ascii="Arial" w:cs="Arial" w:eastAsia="Arial" w:hAnsi="Arial"/>
                <w:sz w:val="14"/>
                <w:szCs w:val="14"/>
                <w:color w:val="auto"/>
              </w:rPr>
              <w:t>Adjustment related to the change in</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200"/>
              <w:spacing w:after="0" w:line="149" w:lineRule="exact"/>
              <w:rPr>
                <w:sz w:val="20"/>
                <w:szCs w:val="20"/>
                <w:color w:val="auto"/>
              </w:rPr>
            </w:pPr>
            <w:r>
              <w:rPr>
                <w:rFonts w:ascii="Arial" w:cs="Arial" w:eastAsia="Arial" w:hAnsi="Arial"/>
                <w:sz w:val="14"/>
                <w:szCs w:val="14"/>
                <w:color w:val="auto"/>
              </w:rPr>
              <w:t>Lazard Ltd’s ownership in Lazard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200"/>
              <w:spacing w:after="0" w:line="159" w:lineRule="exact"/>
              <w:rPr>
                <w:sz w:val="20"/>
                <w:szCs w:val="20"/>
                <w:color w:val="auto"/>
              </w:rPr>
            </w:pPr>
            <w:r>
              <w:rPr>
                <w:rFonts w:ascii="Arial" w:cs="Arial" w:eastAsia="Arial" w:hAnsi="Arial"/>
                <w:sz w:val="14"/>
                <w:szCs w:val="14"/>
                <w:color w:val="auto"/>
              </w:rPr>
              <w:t>Group</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(1,580)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(1,580)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Distributions to noncontrolling interests,</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(17,610)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(17,610)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spacing w:after="0" w:line="138" w:lineRule="exact"/>
              <w:rPr>
                <w:sz w:val="20"/>
                <w:szCs w:val="20"/>
                <w:color w:val="auto"/>
              </w:rPr>
            </w:pPr>
            <w:r>
              <w:rPr>
                <w:rFonts w:ascii="Arial" w:cs="Arial" w:eastAsia="Arial" w:hAnsi="Arial"/>
                <w:sz w:val="14"/>
                <w:szCs w:val="14"/>
                <w:color w:val="auto"/>
              </w:rPr>
              <w:t>Other adjustments related to</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200"/>
              <w:spacing w:after="0" w:line="159" w:lineRule="exact"/>
              <w:rPr>
                <w:sz w:val="20"/>
                <w:szCs w:val="20"/>
                <w:color w:val="auto"/>
              </w:rPr>
            </w:pPr>
            <w:r>
              <w:rPr>
                <w:rFonts w:ascii="Arial" w:cs="Arial" w:eastAsia="Arial" w:hAnsi="Arial"/>
                <w:sz w:val="14"/>
                <w:szCs w:val="14"/>
                <w:color w:val="auto"/>
              </w:rPr>
              <w:t>noncontrolling interests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14,258</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(244)</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14,014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(14,014)</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September 30, 2011</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122,871,153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1,229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685,800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0"/>
              </w:rPr>
              <w:t>$ 285,575</w:t>
            </w: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(57,712)</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4,098,431</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(141,593)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773,299</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144,683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917,982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40" w:right="26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119,697,936 and 122,871,152 shares of the Company’s Class A common stock issued at January 1, 2011 and September 30, 2011,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740" w:type="dxa"/>
            <w:vAlign w:val="bottom"/>
            <w:gridSpan w:val="3"/>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2"/>
              </w:rPr>
              <w:t>Series A</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4"/>
                <w:szCs w:val="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40" w:type="dxa"/>
            <w:vAlign w:val="bottom"/>
          </w:tcPr>
          <w:p>
            <w:pPr>
              <w:spacing w:after="0"/>
              <w:rPr>
                <w:sz w:val="9"/>
                <w:szCs w:val="9"/>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6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4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2012</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123,009,312</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$1,230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659,013</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$ 258,646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(88,364)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3,492,017</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$(104,382)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726,143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140,713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866,856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89,674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89,674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96,891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w w:val="88"/>
              </w:rPr>
              <w:t>Other comprehensive income (loss) -</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420"/>
              <w:spacing w:after="0" w:line="159" w:lineRule="exact"/>
              <w:rPr>
                <w:sz w:val="20"/>
                <w:szCs w:val="20"/>
                <w:color w:val="auto"/>
              </w:rPr>
            </w:pPr>
            <w:r>
              <w:rPr>
                <w:rFonts w:ascii="Arial" w:cs="Arial" w:eastAsia="Arial" w:hAnsi="Arial"/>
                <w:sz w:val="14"/>
                <w:szCs w:val="14"/>
                <w:color w:val="auto"/>
              </w:rPr>
              <w:t>net of tax:</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11,547</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11,547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12,352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640"/>
              <w:spacing w:after="0" w:line="138" w:lineRule="exact"/>
              <w:rPr>
                <w:sz w:val="20"/>
                <w:szCs w:val="20"/>
                <w:color w:val="auto"/>
              </w:rPr>
            </w:pPr>
            <w:r>
              <w:rPr>
                <w:rFonts w:ascii="Arial" w:cs="Arial" w:eastAsia="Arial" w:hAnsi="Arial"/>
                <w:sz w:val="14"/>
                <w:szCs w:val="14"/>
                <w:color w:val="auto"/>
                <w:w w:val="93"/>
              </w:rPr>
              <w:t>Amortization of interest rate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751</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751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(7,545)</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(7,545)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(402)</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2,320</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2,320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124</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2,444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96,747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7,784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104,531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Business acquisitions and related equity</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transactions:</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420"/>
              <w:spacing w:after="0" w:line="149" w:lineRule="exact"/>
              <w:rPr>
                <w:sz w:val="20"/>
                <w:szCs w:val="20"/>
                <w:color w:val="auto"/>
              </w:rPr>
            </w:pPr>
            <w:r>
              <w:rPr>
                <w:rFonts w:ascii="Arial" w:cs="Arial" w:eastAsia="Arial" w:hAnsi="Arial"/>
                <w:sz w:val="14"/>
                <w:szCs w:val="14"/>
                <w:color w:val="auto"/>
              </w:rPr>
              <w:t>issued/issuable (including</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tcPr>
          <w:p>
            <w:pPr>
              <w:ind w:left="420"/>
              <w:spacing w:after="0"/>
              <w:rPr>
                <w:sz w:val="20"/>
                <w:szCs w:val="20"/>
                <w:color w:val="auto"/>
              </w:rPr>
            </w:pPr>
            <w:r>
              <w:rPr>
                <w:rFonts w:ascii="Arial" w:cs="Arial" w:eastAsia="Arial" w:hAnsi="Arial"/>
                <w:sz w:val="14"/>
                <w:szCs w:val="14"/>
                <w:color w:val="auto"/>
              </w:rPr>
              <w:t>related amortization)</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3,369</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3,369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3,549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Amortization of share-based incentive</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209,036</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209,036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11,139</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220,175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11,770</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(11,856)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(66,219)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(66,219)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8,235,306</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(222,679)</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(222,679)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(222,679)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Delivery of Class A common stock in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incentive compensation and related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 expense of $972</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(141,781)</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2"/>
              </w:rPr>
              <w:t>(3,196,018)</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100,172</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(41,609)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(41,658)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w w:val="89"/>
              </w:rPr>
              <w:t>exchange for Lazard Group common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membership 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191,701</w:t>
            </w:r>
          </w:p>
        </w:tc>
        <w:tc>
          <w:tcPr>
            <w:tcW w:w="5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Distributions to noncontrolling interests,</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(15,855)</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(15,855)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Deconsolidation of investment</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companies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(14,783)</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(14,783)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Adjustments related to noncontrolling</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9,242</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(117)</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9,125</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(9,125)</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September 30, 2012</w:t>
            </w: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80" w:type="dxa"/>
            <w:vAlign w:val="bottom"/>
            <w:gridSpan w:val="2"/>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ind w:left="140"/>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123,201,013</w:t>
            </w:r>
          </w:p>
        </w:tc>
        <w:tc>
          <w:tcPr>
            <w:tcW w:w="56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1,232</w:t>
            </w:r>
          </w:p>
        </w:tc>
        <w:tc>
          <w:tcPr>
            <w:tcW w:w="120" w:type="dxa"/>
            <w:vAlign w:val="bottom"/>
            <w:gridSpan w:val="2"/>
          </w:tcPr>
          <w:p>
            <w:pPr>
              <w:ind w:left="6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750,647</w:t>
            </w:r>
          </w:p>
        </w:tc>
        <w:tc>
          <w:tcPr>
            <w:tcW w:w="14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0"/>
              </w:rPr>
              <w:t>$ 270,245</w:t>
            </w:r>
          </w:p>
        </w:tc>
        <w:tc>
          <w:tcPr>
            <w:tcW w:w="100" w:type="dxa"/>
            <w:vAlign w:val="bottom"/>
          </w:tcPr>
          <w:p>
            <w:pPr>
              <w:spacing w:after="0"/>
              <w:rPr>
                <w:sz w:val="13"/>
                <w:szCs w:val="13"/>
                <w:color w:val="auto"/>
              </w:rPr>
            </w:pPr>
          </w:p>
        </w:tc>
        <w:tc>
          <w:tcPr>
            <w:tcW w:w="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(81,408)</w:t>
            </w: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9"/>
              </w:rPr>
              <w:t>8,531,305</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(226,889)</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713,827</w:t>
            </w: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119,999</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833,826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40" w:right="24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123,009,311 and 123,201,012 shares of the Company’s Class A common stock issued at January 1, 2012 and September 30, 2012,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0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individuals.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Lazard Ltd indirectly held approximately 94.9% and 94.8% of all outstanding Lazard Group common membership interests as of September 30, 2012 and December 31, 2011, respectively. Lazard Ltd, through its control of the managing members of Lazard Group, controls Lazard Group, which is governed by an Operating Agreement dated as of May 10, 2005, as amended (the “Operating Agreement”). LAZ-MD Holdings LLC (“LAZ-MD Holdings”), an entity owned by Lazard Group’s current and former managing directors, held approximately 5.1% and 5.2% of the outstanding Lazard Group common membership interests as of September 30, 2012 and December 31, 2011, respectively. Additionally, LAZ-MD Holdings was the sole owner of the one issued and outstanding share of Lazard Ltd’s Class B common stock (the “Class B common stock”) which provided LAZ-MD Holdings with approximately 5.1% and 5.2% of the voting power but no economic rights in the Company as of such respective dates.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sole operating asset is our indirect ownership of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investment solutions and investment management services in equity and fixed income strategies, alternative investments and private equity funds to corporations, public funds, sovereign entities, endowments and foundations, labor funds, financial intermediaries and private clients globally.</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record outstanding indebtedness in our Corporate segment.</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accompanying condensed consolidated financial statements of Lazard Ltd have been prepared pursuant to the rules and regulations of the U.S. Securities and Exchange Commission (the “SEC”) regarding interim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2011 (the “Form 10-K”). The accompanying December 31, 2011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and nine month periods ended September 30, 2012 are not necessarily indicative of the results to be expected for any future interim or annual period.</w:t>
      </w:r>
    </w:p>
    <w:p>
      <w:pPr>
        <w:spacing w:after="0" w:line="4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1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—In the first quarter of 2012, the Company adopted the amended fair value measurement guidance issued by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Board (the “FASB”), which the FASB stated was designed to achieve common 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are required, including (i) a quantitative disclosure of the unobservable inputs and assumptions used in the measurement, (ii) the valuation processes used and the sensitivity of fair value measurements related to investments categorized within Level 3 of the hierarchy of fair value measurements to 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became effective for interim and annual periods beginning after December 15, 2011 and is applied prospectively. The adoption of the amended fair value measurement guidance did not have a material impact on the Company’s consolidated financial statements, primarily because substantially all Level 3 assets are carried at net asset value (“NAV”) or its equivalent.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Other Comprehensive Income</w:t>
      </w:r>
      <w:r>
        <w:rPr>
          <w:rFonts w:ascii="Arial" w:cs="Arial" w:eastAsia="Arial" w:hAnsi="Arial"/>
          <w:sz w:val="18"/>
          <w:szCs w:val="18"/>
          <w:color w:val="auto"/>
        </w:rPr>
        <w:t>—In the first quarter of 2012, the Company adopted the FASB’s amended guidance regarding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the FASB stated was designed to improve comparability, consistency and transparency. The amendment required that all changes in comprehensive income be presented either in (i) a single continuous statement of comprehensive income or in (ii) two separate but consecutive statements. The amendment was to be applied retrospectively and is effective with interim and annual periods beginning after December 15, 2011, with early adoption permitted. The Company elected the two-statement method.</w:t>
      </w:r>
    </w:p>
    <w:p>
      <w:pPr>
        <w:spacing w:after="0" w:line="26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Company’s “receivables” consist of receivables from fees, customers and other and related parties, net of an allowance for doubtful accounts.</w:t>
      </w:r>
    </w:p>
    <w:p>
      <w:pPr>
        <w:spacing w:after="0" w:line="194"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Receivables are stated net of an estimated allowance for doubtful accounts of $22,324 and $19,450 at September 30, 2012 and December 31, 2011, respectively, for certain past due amounts and for specific accounts deemed uncollectible, which may include situations where a fee is in dispute. The Company recorded net bad debt expense of $1,553 and $2,701 for the three month and nine month periods ended September 30, 2012, respectively, and $1,445 and $4,875 for the three month and nine month periods ended September 30, 2011, respectively. In addition, the Company recorded charge-offs, foreign currency translation and other adjustments, which resulted in a net increase (decrease) to the allowance for doubtful accounts of $15 and $173 for the three month and nine month periods ended September 30, 2012, respectively, and $(513) and $(2,435) for the three month and nine month periods ended September 30, 2011, respectively. At September 30, 2012 and December 31, 2011, the Company had receivables deemed past due or uncollectible of $25,990 and $22,785, respectively.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Company’s investments and securities sold, not yet purchased, consist of the following at September 30, 2012 and December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Equities (a)</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207,695</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156,053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Interests in alternative asset management funds (a)</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31,673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income funds (a)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117,194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205,996</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185,502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439,435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 (included in “debt” above)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432,147</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60" w:type="dxa"/>
            <w:vAlign w:val="bottom"/>
            <w:gridSpan w:val="3"/>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2,793</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Equities, interests in alternative asset management funds and fixed income funds include investments with fair values of $76,280, $3,577 and $21,856, respectively, at September 30, 2012 and $19,857, $2,256 and $5,212, respectively, at December 31, 2011,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13 of Notes to Condensed Consolidated Financial Statements).</w:t>
      </w:r>
    </w:p>
    <w:p>
      <w:pPr>
        <w:spacing w:after="0" w:line="14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Debt securities primarily consist of seed investments in Asset Management products and non-U.S. government debt securities.</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Equities primarily consist of (i) seed investments in Asset Management products, which in turn invest in marketable equity securities of large-, mid- and small-cap domestic, international and global companies and include investments in public and private asset management funds managed by LAM and (ii) amounts relating to Lazard Fund Interests discussed above.</w:t>
      </w:r>
    </w:p>
    <w:p>
      <w:pPr>
        <w:spacing w:after="0" w:line="14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Interests in alternative asset management funds primarily consist of general partner (“GP”) interests in various Lazard-managed alternative asset management funds.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Fixed income funds primarily consist of (i) seed investments in Asset Management products, which invest in fixed income securities and (ii) amounts relating to Lazard Fund Interests discussed above.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w:t>
      </w:r>
    </w:p>
    <w:p>
      <w:pPr>
        <w:ind w:right="340" w:firstLine="8"/>
        <w:spacing w:after="0" w:line="254" w:lineRule="auto"/>
        <w:tabs>
          <w:tab w:leader="none" w:pos="3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Edgewater Growth Capital Partners III, L.P. (“EGCP III”), a private equity fund primarily making equity and buyout investments in lower middle market companies, (iv) Lazard Senior Housing Partners LP (“Senior Housing”), which targets controlling interests in companies and assets in the senior housing, extended-stay hotel and shopping center sectors, and (v) Lazard Australia Corporate Opportunities Fund 2 (“COF 2”), a Lazard-managed Australian private equity fund targeting Australasian mid-market investments.</w:t>
      </w:r>
    </w:p>
    <w:p>
      <w:pPr>
        <w:spacing w:after="0" w:line="144"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Private equity investments consolidated but not owned by Lazard relate to the economic interests that are owned by the management team and other investors in the Edgewater Funds (“Edgewater”) which aggregated $19,734 and $18,502 at September 30, 2012 and December 31, 2011, respectively.</w:t>
      </w:r>
    </w:p>
    <w:p>
      <w:pPr>
        <w:spacing w:after="0" w:line="62"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During the three month and nine month periods ended September 30, 2012 and 2011, the Company reported in “revenue-other” on its condensed consolidated statements of operations gross unrealized investment gains and losses pertaining to “trading” securities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9"/>
              </w:rPr>
              <w:t>Three Month Period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Nine Month Period Ended</w:t>
            </w:r>
          </w:p>
        </w:tc>
      </w:tr>
      <w:tr>
        <w:trPr>
          <w:trHeight w:val="161"/>
        </w:trPr>
        <w:tc>
          <w:tcPr>
            <w:tcW w:w="4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7"/>
              </w:rPr>
              <w:t>Ended September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ind w:left="360"/>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4,081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3,778</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2,536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1,670</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6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14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considered Level 1 assets when their respective fair values are based on unadjusted quoted prices in active markets and are considered Level 2 assets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fair value of equities is principally classified as Level 1, Level 2 or Level 3 as follows: marketable equity securities are classified as Level 1 and are valued based on the last trade price on the primary exchange for that security; public asset management funds are classified as Level 1 and are valued based on the reported closing price for the fund; investments in private asset management funds redeemable in the near term are classified as Level 2 and valued at NAV or its equivalent, which is primarily determined based on information provided by fund managers and, secondarily, from external pricing services to the extent managed by LAM; and Level 3 represents equities valued based on NAV or its equivalent that are not redeemable within the near term.</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fair value of interests in alternative asset management funds is classified as either Level 2 or Level 3 depending on the time frame of any applicable redemption restriction, and is valued at NAV or its equivalent, which is primarily determined based on information provided by fund managers and, secondarily, from external pricing services to the extent managed by LAM.</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investments in fixed income funds are considered Level 1 assets when the fair values are primarily based on the reported closing price for the fund or Level 2 assets when the fair values are primarily based on NAV or its equivalent and are redeemable in the near future.</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primarily based on NAV or its equivalent. Such investments are not redeemable within the near term.</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the fair values of interest rate swaps are based on the interest rate yield curve; and the fair value of derivative liabilities related to Lazard Fund Interests and other similar deferred compensation arrangements is based on the value of the underlying investments, adjusted for estimated forfeitures.</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and December 31, 2011 into the three-level fair value hierarchy in accordance with fair value measurement disclosure requirements: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September 30, 2012</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6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Investments: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21,877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25,192</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170,043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207,695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Interests in alternative asset management funds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28,238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31,673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35,460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50,393</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117,194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117,194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227,380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83,988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120,825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432,193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2,793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101,238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101,238</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2,793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101,238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104,031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December 31, 2011</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6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Investments: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34,132</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115,380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37,332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156,053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Interests in alternative asset management funds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13,569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27,539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31,121</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122,718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122,718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160,030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78,635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133,100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371,765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4,282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30,713</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4,282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30,713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34,995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300" w:type="dxa"/>
            <w:vAlign w:val="bottom"/>
            <w:vMerge w:val="restart"/>
          </w:tcPr>
          <w:p>
            <w:pPr>
              <w:jc w:val="right"/>
              <w:ind w:right="13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2012 and 2011.</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and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and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Three Months Ended September 30, 2012</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Net Unrealized/</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Included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Purchases/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Sales/</w:t>
            </w:r>
          </w:p>
        </w:tc>
        <w:tc>
          <w:tcPr>
            <w:tcW w:w="14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4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113,991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2,945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117,194</w:t>
            </w:r>
          </w:p>
        </w:tc>
        <w:tc>
          <w:tcPr>
            <w:tcW w:w="100" w:type="dxa"/>
            <w:vAlign w:val="bottom"/>
          </w:tcPr>
          <w:p>
            <w:pPr>
              <w:spacing w:after="0"/>
              <w:rPr>
                <w:sz w:val="18"/>
                <w:szCs w:val="18"/>
                <w:color w:val="auto"/>
              </w:rPr>
            </w:pPr>
          </w:p>
        </w:tc>
      </w:tr>
      <w:tr>
        <w:trPr>
          <w:trHeight w:val="27"/>
        </w:trPr>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$ 118,798</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120,825</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4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Nine Months Ended September 30, 2012</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Included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Purchases/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Sales/</w:t>
            </w:r>
          </w:p>
        </w:tc>
        <w:tc>
          <w:tcPr>
            <w:tcW w:w="14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4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(3,160)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11,828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5,697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(23,093)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117,194</w:t>
            </w:r>
          </w:p>
        </w:tc>
        <w:tc>
          <w:tcPr>
            <w:tcW w:w="100" w:type="dxa"/>
            <w:vAlign w:val="bottom"/>
          </w:tcPr>
          <w:p>
            <w:pPr>
              <w:spacing w:after="0"/>
              <w:rPr>
                <w:sz w:val="18"/>
                <w:szCs w:val="18"/>
                <w:color w:val="auto"/>
              </w:rPr>
            </w:pPr>
          </w:p>
        </w:tc>
      </w:tr>
      <w:tr>
        <w:trPr>
          <w:trHeight w:val="27"/>
        </w:trPr>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133,100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5,717</w:t>
            </w:r>
          </w:p>
        </w:tc>
        <w:tc>
          <w:tcPr>
            <w:tcW w:w="13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(29,976)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120,825</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4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Three Months Ended September 30, 2011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Included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Purchases/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Sales/</w:t>
            </w:r>
          </w:p>
        </w:tc>
        <w:tc>
          <w:tcPr>
            <w:tcW w:w="14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4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174,704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(963)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17,158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(45,058)(b)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(3,063)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142,778</w:t>
            </w:r>
          </w:p>
        </w:tc>
        <w:tc>
          <w:tcPr>
            <w:tcW w:w="100" w:type="dxa"/>
            <w:vAlign w:val="bottom"/>
          </w:tcPr>
          <w:p>
            <w:pPr>
              <w:spacing w:after="0"/>
              <w:rPr>
                <w:sz w:val="18"/>
                <w:szCs w:val="18"/>
                <w:color w:val="auto"/>
              </w:rPr>
            </w:pPr>
          </w:p>
        </w:tc>
      </w:tr>
      <w:tr>
        <w:trPr>
          <w:trHeight w:val="27"/>
        </w:trPr>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174,839</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25,686</w:t>
            </w:r>
          </w:p>
        </w:tc>
        <w:tc>
          <w:tcPr>
            <w:tcW w:w="13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(45,058)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151,432</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602"/>
              <w:spacing w:after="0"/>
              <w:rPr>
                <w:sz w:val="20"/>
                <w:szCs w:val="20"/>
                <w:color w:val="auto"/>
              </w:rPr>
            </w:pPr>
            <w:r>
              <w:rPr>
                <w:rFonts w:ascii="Arial" w:cs="Arial" w:eastAsia="Arial" w:hAnsi="Arial"/>
                <w:sz w:val="18"/>
                <w:szCs w:val="18"/>
                <w:color w:val="auto"/>
                <w:w w:val="79"/>
              </w:rPr>
              <w:t>16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w w:val="91"/>
              </w:rPr>
              <w:t>Nine Months Ended September 30, 2011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Realized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Included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6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Beginning</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8"/>
              </w:rPr>
              <w:t>Sales/</w:t>
            </w:r>
          </w:p>
        </w:tc>
        <w:tc>
          <w:tcPr>
            <w:tcW w:w="12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Other (a)</w:t>
            </w:r>
          </w:p>
        </w:tc>
        <w:tc>
          <w:tcPr>
            <w:tcW w:w="3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2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163,482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30,233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(54,218)(b)</w:t>
            </w: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142,778</w:t>
            </w:r>
          </w:p>
        </w:tc>
        <w:tc>
          <w:tcPr>
            <w:tcW w:w="100" w:type="dxa"/>
            <w:vAlign w:val="bottom"/>
          </w:tcPr>
          <w:p>
            <w:pPr>
              <w:spacing w:after="0"/>
              <w:rPr>
                <w:sz w:val="18"/>
                <w:szCs w:val="18"/>
                <w:color w:val="auto"/>
              </w:rPr>
            </w:pPr>
          </w:p>
        </w:tc>
      </w:tr>
      <w:tr>
        <w:trPr>
          <w:trHeight w:val="27"/>
        </w:trPr>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163,798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38,761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(54,413)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151,432</w:t>
            </w:r>
          </w:p>
        </w:tc>
        <w:tc>
          <w:tcPr>
            <w:tcW w:w="10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for the three month and nine month periods ended September 30, 2012 and the three month and nine month periods ended September 30, 2011 include net unrealized gains (losses) of $(460), $9,103, $(829) and $2,988, respectively.</w:t>
      </w:r>
    </w:p>
    <w:p>
      <w:pPr>
        <w:spacing w:after="0" w:line="131" w:lineRule="exact"/>
        <w:rPr>
          <w:rFonts w:ascii="Arial" w:cs="Arial" w:eastAsia="Arial" w:hAnsi="Arial"/>
          <w:sz w:val="18"/>
          <w:szCs w:val="18"/>
          <w:color w:val="auto"/>
        </w:rPr>
      </w:pPr>
    </w:p>
    <w:p>
      <w:pPr>
        <w:ind w:right="220" w:firstLine="464"/>
        <w:spacing w:after="0" w:line="332"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Sales/dispositions of private equity investments for the three month and nine month periods ended September 30, 2011 include $42,800 and $49,500, respectively, in connection with a reduction of interests in certain funds of Edgewater as such funds are no longer consolidated by Lazard.</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Fair Value of Certain Investments Based on NAV</w:t>
      </w:r>
      <w:r>
        <w:rPr>
          <w:rFonts w:ascii="Arial" w:cs="Arial" w:eastAsia="Arial" w:hAnsi="Arial"/>
          <w:sz w:val="18"/>
          <w:szCs w:val="18"/>
          <w:color w:val="auto"/>
        </w:rPr>
        <w:t>—The Company’s Level 2 and Level 3 investments at September 30, 2012 and December 31,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certain investments that are valued using NAV or its equivalent as a practical expedient in determining fair value. Information with respect thereto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w w:val="96"/>
              </w:rPr>
              <w:t>September 30, 2012</w:t>
            </w: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20" w:type="dxa"/>
            <w:vAlign w:val="bottom"/>
            <w:gridSpan w:val="6"/>
          </w:tcPr>
          <w:p>
            <w:pPr>
              <w:jc w:val="right"/>
              <w:ind w:right="720"/>
              <w:spacing w:after="0" w:line="129" w:lineRule="exact"/>
              <w:rPr>
                <w:sz w:val="20"/>
                <w:szCs w:val="20"/>
                <w:color w:val="auto"/>
              </w:rPr>
            </w:pPr>
            <w:r>
              <w:rPr>
                <w:rFonts w:ascii="Arial" w:cs="Arial" w:eastAsia="Arial" w:hAnsi="Arial"/>
                <w:sz w:val="14"/>
                <w:szCs w:val="14"/>
                <w:b w:val="1"/>
                <w:bCs w:val="1"/>
                <w:color w:val="auto"/>
                <w:w w:val="98"/>
              </w:rPr>
              <w:t>Estimated Liquidation Period of</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28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Investments Not Redeemable</w:t>
            </w: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Investments Redeemable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1"/>
                <w:szCs w:val="11"/>
                <w:color w:val="auto"/>
              </w:rPr>
            </w:pP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Unfunded</w:t>
            </w: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Not</w:t>
            </w:r>
          </w:p>
        </w:tc>
        <w:tc>
          <w:tcPr>
            <w:tcW w:w="16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Next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5-10</w:t>
            </w:r>
          </w:p>
        </w:tc>
        <w:tc>
          <w:tcPr>
            <w:tcW w:w="480" w:type="dxa"/>
            <w:vAlign w:val="bottom"/>
          </w:tcPr>
          <w:p>
            <w:pPr>
              <w:spacing w:after="0"/>
              <w:rPr>
                <w:sz w:val="12"/>
                <w:szCs w:val="12"/>
                <w:color w:val="auto"/>
              </w:rPr>
            </w:pPr>
          </w:p>
        </w:tc>
        <w:tc>
          <w:tcPr>
            <w:tcW w:w="6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Redeemable</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4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Interests in alternative asset management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funds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31,673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Private equity</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115,571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34,047</w:t>
            </w:r>
          </w:p>
        </w:tc>
        <w:tc>
          <w:tcPr>
            <w:tcW w:w="14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23%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198,736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34,047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restart"/>
          </w:tcPr>
          <w:p>
            <w:pPr>
              <w:jc w:val="right"/>
              <w:ind w:right="568"/>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w w:val="85"/>
              </w:rPr>
              <w:t>December 31, 2011</w:t>
            </w: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0" w:type="dxa"/>
            <w:vAlign w:val="bottom"/>
            <w:gridSpan w:val="6"/>
          </w:tcPr>
          <w:p>
            <w:pPr>
              <w:jc w:val="right"/>
              <w:ind w:right="700"/>
              <w:spacing w:after="0" w:line="129" w:lineRule="exact"/>
              <w:rPr>
                <w:sz w:val="20"/>
                <w:szCs w:val="20"/>
                <w:color w:val="auto"/>
              </w:rPr>
            </w:pPr>
            <w:r>
              <w:rPr>
                <w:rFonts w:ascii="Arial" w:cs="Arial" w:eastAsia="Arial" w:hAnsi="Arial"/>
                <w:sz w:val="14"/>
                <w:szCs w:val="14"/>
                <w:b w:val="1"/>
                <w:bCs w:val="1"/>
                <w:color w:val="auto"/>
                <w:w w:val="98"/>
              </w:rPr>
              <w:t>Estimated Liquidation Period of</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28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Investments Not Redeemable</w:t>
            </w: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Investments Redeemable</w:t>
            </w: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4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Redemption</w:t>
            </w: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Next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5-10</w:t>
            </w:r>
          </w:p>
        </w:tc>
        <w:tc>
          <w:tcPr>
            <w:tcW w:w="480" w:type="dxa"/>
            <w:vAlign w:val="bottom"/>
          </w:tcPr>
          <w:p>
            <w:pPr>
              <w:spacing w:after="0"/>
              <w:rPr>
                <w:sz w:val="12"/>
                <w:szCs w:val="12"/>
                <w:color w:val="auto"/>
              </w:rPr>
            </w:pPr>
          </w:p>
        </w:tc>
        <w:tc>
          <w:tcPr>
            <w:tcW w:w="6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r>
      <w:tr>
        <w:trPr>
          <w:trHeight w:val="161"/>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Commitments</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4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Interests in alternative asset management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funds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Private equity</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121,276</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52,197</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185,970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See Note 4 of Notes to Condensed Consolidated Financial Statements for discussion of significant investment strategies of investments with values based on NAV.</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September 30, 2012, the current maximum unfunded commitments by the Company for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contributions to investment funds related to (i) CP II, amounting to $2,124 for potential “follow-on investments” and/or for fund expenses through the earlier of February 25, 2017 or the liquidation of the fund, (ii) EGCP III, amounting to $23,776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 as of that date remaining committed until October 12, 2023 in respect of “follow-on investments” and/or fund expenses) or the liquidation of the fund and (iii) COF 2, amounting to $8,147,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 as of that date remaining committed until November 11, 2019 in respect of “follow-on investments” and/or fund expenses) or the liquidation of the fund.</w:t>
      </w:r>
    </w:p>
    <w:p>
      <w:pPr>
        <w:spacing w:after="0" w:line="24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on the consolidated statements of operations.</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expected to be delivered upon settlement of Lazard Fund Interests awards, which is reported in “revenue-other” in the consolidated statements of operations.</w:t>
      </w:r>
    </w:p>
    <w:p>
      <w:pPr>
        <w:spacing w:after="0" w:line="19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tables below represent the fair values of the Company’s derivative instruments reported within “other assets” and “other liabilities” and the fair value of the Company’s derivative liabilities relating to its obligations pertaining to Lazard Fund Interests and other similar deferred compensation arrangements reported within “accrued compensation and benefits” (see Note 13 of Notes to Condensed Consolidated Financial Statements) on the accompanying condensed consolidated statements of financial condition as of September 30, 2012 and December 31, 2011: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9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5,089</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Equity and fixed income swaps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91,053</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101,238</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30,713</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gains (losses) with respect to derivative instruments (predominantly included in “revenue-other”) and the Company’s derivative liabilities relating to its obligations pertaining to Lazard Fund Interests and other similar deferred compensation arrangements (included in “compensation and benefits” expense) as reflected on the accompanying condensed consolidated statements of operations for the three month and nine month periods ended September 30, 2012 and 2011, by type of derivative,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(4,728)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3,961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(4,639)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 and 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(14,096)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(15,576)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22,532</w:t>
            </w:r>
          </w:p>
        </w:tc>
        <w:tc>
          <w:tcPr>
            <w:tcW w:w="4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(19,983)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$ 10,414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management team retained a substantial economic interest in such entities. Edgewater’s activities are recorded in the Company’s Asset Management segment.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On December 30, 2011, 285,715 Initial Shares and 57,287 Earnout Shares became unrestricted or were otherwise delivered.</w:t>
      </w:r>
    </w:p>
    <w:p>
      <w:pPr>
        <w:spacing w:after="0" w:line="26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2012 and December 31, 2011 property-net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Estimated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Depreciable</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9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Life in Years</w:t>
            </w:r>
          </w:p>
        </w:tc>
        <w:tc>
          <w:tcPr>
            <w:tcW w:w="16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163,234</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164,168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60" w:type="dxa"/>
            <w:vAlign w:val="bottom"/>
          </w:tcPr>
          <w:p>
            <w:pPr>
              <w:jc w:val="right"/>
              <w:spacing w:after="0"/>
              <w:rPr>
                <w:sz w:val="20"/>
                <w:szCs w:val="20"/>
                <w:color w:val="auto"/>
              </w:rPr>
            </w:pPr>
            <w:r>
              <w:rPr>
                <w:rFonts w:ascii="Arial" w:cs="Arial" w:eastAsia="Arial" w:hAnsi="Arial"/>
                <w:sz w:val="18"/>
                <w:szCs w:val="18"/>
                <w:color w:val="auto"/>
              </w:rPr>
              <w:t>2 - 20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182,070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159,191</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3 - 10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118,020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85,396</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25,828</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26,347</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489,152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435,102</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272,740</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266,673</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Property-net</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216,412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168,429</w:t>
            </w:r>
          </w:p>
        </w:tc>
        <w:tc>
          <w:tcPr>
            <w:tcW w:w="100" w:type="dxa"/>
            <w:vAlign w:val="bottom"/>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2012 and December 31, 2011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260" w:type="dxa"/>
            <w:vAlign w:val="bottom"/>
            <w:gridSpan w:val="3"/>
          </w:tcPr>
          <w:p>
            <w:pPr>
              <w:ind w:left="1440"/>
              <w:spacing w:after="0"/>
              <w:rPr>
                <w:sz w:val="20"/>
                <w:szCs w:val="20"/>
                <w:color w:val="auto"/>
              </w:rPr>
            </w:pPr>
            <w:r>
              <w:rPr>
                <w:rFonts w:ascii="Arial" w:cs="Arial" w:eastAsia="Arial" w:hAnsi="Arial"/>
                <w:sz w:val="14"/>
                <w:szCs w:val="14"/>
                <w:b w:val="1"/>
                <w:bCs w:val="1"/>
                <w:color w:val="auto"/>
                <w:w w:val="83"/>
              </w:rPr>
              <w:t>September 30,</w:t>
            </w:r>
          </w:p>
        </w:tc>
        <w:tc>
          <w:tcPr>
            <w:tcW w:w="1420" w:type="dxa"/>
            <w:vAlign w:val="bottom"/>
            <w:gridSpan w:val="4"/>
          </w:tcPr>
          <w:p>
            <w:pPr>
              <w:ind w:left="5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44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364,761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356,657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30,681</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395,442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393,099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At September 30, 2012 and December 31, 2011, goodwill of $300,220 and $292,116, respectively, was attributable to the Company’s Financial Advisory segment and, at such respective dates, $64,541 of goodwill was attributable to the Company’s Asset Management segment.</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nine month periods ended September 30, 2012, and 2011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$313,229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2"/>
              </w:rPr>
              <w:t>Business acquisitions, including, in the 2011 period, $39,654 of additional contingent consideration</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earned relating to prior year business acquisitions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Balance, September 30</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364,761</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September 30, 2012 and December 31, 2011,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September 30, 2012</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$20,858</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23,212</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9,823</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19,800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30,681</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63,364</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Amortization expense of intangible assets for the three month and nine month periods ended September 30, 2012 was $2,494 and $6,172, respectively, and for the three month and nine month periods ended September 30, 2011 was $1,716 and $4,896, respectively. Estimated future amortization expense is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Future</w:t>
            </w:r>
          </w:p>
        </w:tc>
        <w:tc>
          <w:tcPr>
            <w:tcW w:w="0" w:type="dxa"/>
            <w:vAlign w:val="bottom"/>
          </w:tcPr>
          <w:p>
            <w:pPr>
              <w:spacing w:after="0"/>
              <w:rPr>
                <w:sz w:val="1"/>
                <w:szCs w:val="1"/>
                <w:color w:val="auto"/>
              </w:rPr>
            </w:pPr>
          </w:p>
        </w:tc>
      </w:tr>
      <w:tr>
        <w:trPr>
          <w:trHeight w:val="149"/>
        </w:trPr>
        <w:tc>
          <w:tcPr>
            <w:tcW w:w="8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82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3"/>
              </w:rPr>
              <w:t>Expense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2012 (October 1 through December 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2013</w:t>
            </w: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214630</wp:posOffset>
            </wp:positionV>
            <wp:extent cx="7200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50" w:lineRule="exact"/>
        <w:rPr>
          <w:sz w:val="20"/>
          <w:szCs w:val="20"/>
          <w:color w:val="auto"/>
        </w:rPr>
      </w:pPr>
    </w:p>
    <w:p>
      <w:pPr>
        <w:ind w:left="5620" w:right="3260" w:hanging="4707"/>
        <w:spacing w:after="0" w:line="440" w:lineRule="auto"/>
        <w:tabs>
          <w:tab w:leader="none" w:pos="14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 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September 30, 2012 and December 31, 2011: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Initial</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2"/>
              </w:rPr>
              <w:t>Annual</w:t>
            </w: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Outstanding As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43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5"/>
                <w:szCs w:val="5"/>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34"/>
        </w:trPr>
        <w:tc>
          <w:tcPr>
            <w:tcW w:w="4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1"/>
              </w:rPr>
              <w:t>Principal</w:t>
            </w: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Maturity</w:t>
            </w:r>
          </w:p>
        </w:tc>
        <w:tc>
          <w:tcPr>
            <w:tcW w:w="112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6"/>
              </w:rPr>
              <w:t>Interest</w:t>
            </w:r>
          </w:p>
        </w:tc>
        <w:tc>
          <w:tcPr>
            <w:tcW w:w="86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Amount</w:t>
            </w:r>
          </w:p>
        </w:tc>
        <w:tc>
          <w:tcPr>
            <w:tcW w:w="8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Date</w:t>
            </w:r>
          </w:p>
        </w:tc>
        <w:tc>
          <w:tcPr>
            <w:tcW w:w="112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Lazard Group 7.125% Senior Notes</w:t>
            </w:r>
          </w:p>
        </w:tc>
        <w:tc>
          <w:tcPr>
            <w:tcW w:w="18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$550,000</w:t>
            </w: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3"/>
              </w:rPr>
              <w:t>5/15/15</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w w:val="94"/>
              </w:rPr>
              <w:t>7.125%</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528,500</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44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6/15/17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9/25/15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1,076,850</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September 30, 2012, the annual interest rate for a loan accruing interest (based on the Federal Funds overnight rate), including the applicable margin, was 0.90%. At September 30, 2012 and December 31, 2011, no amounts were outstanding under the Credit Facility or the prior revolving credit facility, respectively.</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as well as the indenture and the supplemental indentures relating to Lazard Group’s senior notes, contain certain covenants, events of default and other customary provisions, including, where applicable, a customary make-whole provision in the event of early redemption. As of September 30, 2012, the Company was in compliance with all of these provisions. All of the Company’s senior debt obligations are unsecured.</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September 30, 2012, the Company had approximately $301,000 in unused lines of credit available to it, including the Credit Facility, and unused lines of credit available to LFB of approximately $91,000 (at September 30, 2012, exchange rates) and Edgewater of $55,000. In addition, LFB has access to the Eurosystem Covered Bond Purchase Program of the Banque de France.</w:t>
      </w:r>
    </w:p>
    <w:p>
      <w:pPr>
        <w:spacing w:after="0" w:line="14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Company’s senior debt at September 30, 2012 and December 31, 2011 is recorded at historical amounts. At those dates, the fair value of such senior debt outstanding was approximately $1,208,000 and $1,138,000, respectively, and exceeded the aggregate carrying value by approximately $131,000 and $61,000, respectively. The fair value of the Company’s senior debt was estimated using a discounted cash flow analysis based on the Company’s current borrowing rates for similar types of borrowing arrangements or based on market quotations, where available. The Company’s senior debt would be categorized within Level 2 of the hierarchy of fair value measurements if carried at fair value at both September 30, 2012 and December 31, 2011.</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Subordinated Debt</w:t>
      </w:r>
      <w:r>
        <w:rPr>
          <w:rFonts w:ascii="Arial" w:cs="Arial" w:eastAsia="Arial" w:hAnsi="Arial"/>
          <w:sz w:val="18"/>
          <w:szCs w:val="18"/>
          <w:color w:val="auto"/>
        </w:rPr>
        <w:t>—On July 22, 2011, the Company repurchased its then outstanding $150,000 subordinated promissory note, at a cost, excluding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of $131,829. Such repurchase resulted in a pre-tax gain of $18,171, which was recognized by the Company in the third quarter of 2011 and included in “revenue-other” on the accompanying condensed consolidated statement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2012, LFB had approximately $5,000 of such indemnifications and held approximately $4,000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September 30, 2012 aggregated approximately $22,000.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See Notes 5, 7 and 14 of Notes to Condensed Consolidated Financial Statements for information regarding commitments relating to investment capital funding commitments, business acquisitions and obligations to fund our pension plans, respectively.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September 30, 2012, LFB had no such underwriting commitments.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b w:val="1"/>
          <w:bCs w:val="1"/>
          <w:i w:val="1"/>
          <w:iCs w:val="1"/>
          <w:color w:val="auto"/>
        </w:rPr>
        <w:t>Issuance of Class A Common Shares</w:t>
      </w:r>
      <w:r>
        <w:rPr>
          <w:rFonts w:ascii="Arial" w:cs="Arial" w:eastAsia="Arial" w:hAnsi="Arial"/>
          <w:sz w:val="15"/>
          <w:szCs w:val="15"/>
          <w:color w:val="auto"/>
        </w:rPr>
        <w:t>—During the third quarter of 2011, the Company issued an aggregate of 3,682,116 shares (including 1,247,555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shares delivered from Class A common stock held by a subsidiary) of Class A common stock in connection with certain prior year business acquisitions.</w:t>
      </w:r>
    </w:p>
    <w:p>
      <w:pPr>
        <w:spacing w:after="0" w:line="6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b w:val="1"/>
          <w:bCs w:val="1"/>
          <w:i w:val="1"/>
          <w:iCs w:val="1"/>
          <w:color w:val="auto"/>
        </w:rPr>
        <w:t>Lazard Group Distributions—</w:t>
      </w:r>
      <w:r>
        <w:rPr>
          <w:rFonts w:ascii="Arial" w:cs="Arial" w:eastAsia="Arial" w:hAnsi="Arial"/>
          <w:sz w:val="15"/>
          <w:szCs w:val="15"/>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nine month periods ended September 30, 2012 and 2011, Lazard Group distributed the following amounts to subsidiaries of Lazard Ltd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LAZ-MD Holdings (none of which related to tax distributions):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0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02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Subsidiaries of Lazard Ltd</w:t>
            </w:r>
          </w:p>
        </w:tc>
        <w:tc>
          <w:tcPr>
            <w:tcW w:w="3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$66,219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$51,409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37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69,948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54,689</w:t>
            </w:r>
          </w:p>
        </w:tc>
        <w:tc>
          <w:tcPr>
            <w:tcW w:w="10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32"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 During the nine month periods ended September 30, 2012 and 2011, Lazard Ltd issued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191,701 and 738,655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February 2011, October 2011 and April 2012, the Board of Directors of Lazard Ltd authorized, on a cumulative basis,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repurchase of up to $250,000, $125,000 and $125,000, respectively, in aggregate cost of Class A common stock and Lazard Group common membership interests through December 31, 2012, December 31, 2013 and December 31, 2013, respectively. The Company’s prior share repurchase authorizations expired on December 31, 2009 and December 31, 2011. The Company expects that the share repurchase program, with respect to the Class A common stock, will continue to be used, among other ways, to offset a portion of the shares that have been or will be issued under the Lazard Ltd 2005 Equity Incentive Plan (the “2005 Plan”) and the Lazard Ltd 2008 Incentive Compensation Plan (the “2008 Plan”). Pursuant to such authorizations, purchases have been made in the open market or through privately negotiated transactions. During the nine month period ended September 30, 2012, the Company purchased 8,235,306 shares of Class A common stock, at an aggregate cost of $222,679 (no Lazard Group common membership interests were purchased during such nine month period).</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of September 30, 2012, $114,463 of the current aggregate share repurchase amount authorized as of such date remained available under the share repurchase program, all of which expires on December 31, 2013. In addition, under the terms of the 2005 Plan and the 2008 Plan, upon the vesting of restricted stock units (“RSUs”), shares of Class A common stock may be withheld by the Company to cover the recipient’s estimated income tax liability (see Note 13 of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During the nine month period ended September 30, 2012, the Company had written trading plans under Rule 10b5-1 of the Securities Exchange Act of 1934 in place, pursuant to which it effected stock repurchases through the open market.</w:t>
      </w:r>
    </w:p>
    <w:p>
      <w:pPr>
        <w:spacing w:after="0" w:line="132"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October 2012, the Board of Directors of Lazard Ltd authorized the repurchase of up to an additional $200,000 in aggregate cost of Class A common stock and Lazard Group common membership interests through December 31, 2014. During the period October 1 through October 24, 2012, the Company purchased 3,374,308 shares of Class A common stock, at an aggregate cost of $97,858 (including shares of Class A common stock received from members of LAZ-MD Holdings in exchange for a like number of LAZ-MD Holdings exchangeable interests). No Lazard Group common membership interests were purchased during such period. After giving effect to these purchases, and the additional share repurchase authorization described above, $216,605 of the current aggregate share repurchase amount authorized remained available under the share repurchase program as of October 24, 2012, $16,605 of which expires on December 31, 2013 and $200,000 of which expires on December 31, 2014.</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preferred stock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B preferred stock. The Series A and Series B preferred shares are each non-participating securities that are or were each convertible into Class A common stock, and have no voting or dividend rights. During the nine month period ended September 30, 2011, 14,100 shares of Series A preferred stock were converted into shares of Class A common stock. The remaining 7,921 shares of Series A preferred stock were outstanding as of both September 30, 2012 and December 31, 2011, and no shares of Series B preferred stock were outstanding at such respective dates. At September 30, 2012, no shares of Series A preferred stock were convertible into shares of Class A common stock on a contingent or a non-contingent basis.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components of AOCI at September 30, 2012 and December 31, 2011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Interest rate hedge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(2,766)</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(98,140)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(92,637)</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(84,835)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(92,475)</w:t>
            </w:r>
          </w:p>
        </w:tc>
        <w:tc>
          <w:tcPr>
            <w:tcW w:w="0" w:type="dxa"/>
            <w:vAlign w:val="bottom"/>
          </w:tcPr>
          <w:p>
            <w:pPr>
              <w:spacing w:after="0"/>
              <w:rPr>
                <w:sz w:val="1"/>
                <w:szCs w:val="1"/>
                <w:color w:val="auto"/>
              </w:rPr>
            </w:pPr>
          </w:p>
        </w:tc>
      </w:tr>
      <w:tr>
        <w:trPr>
          <w:trHeight w:val="218"/>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(3,427)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color w:val="auto"/>
              </w:rPr>
              <w:t>Total Lazard Ltd AOCI</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4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(81,408)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(88,364)</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and (ii) Edgewater’s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vehicles that the Company is deemed to control, but does not own.</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September 30, 2012 and December 31, 2011, LAZ-MD Holdings held approximately 5.1% and 5.2%, respectively, of the outstanding Lazard Group common membership interests. Subject to certain limitations, LAZ-MD Holdings’ interests in Lazard Group are exchangeable for Class A common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tables summarize the changes in ownership interests in Lazard Group held by Lazard Ltd and LAZ-MD Holdings during the nine month periods ended September 30, 2012, and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Lazard Ltd</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LAZ-MD Holdings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Interests</w:t>
            </w: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Ownership</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Interests</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Ownership</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119,697,936</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7,652,625</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127,350,561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Activity January 1, 2011 to September 30, 2011:</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738,655</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(738,655)</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Business acquisitions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2,434,561</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2,434,561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Arial" w:cs="Arial" w:eastAsia="Arial" w:hAnsi="Arial"/>
                <w:sz w:val="18"/>
                <w:szCs w:val="18"/>
                <w:color w:val="auto"/>
                <w:w w:val="97"/>
              </w:rPr>
              <w:t>Repurchase of common membership interests from LAZ-MD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1060"/>
              <w:spacing w:after="0"/>
              <w:rPr>
                <w:sz w:val="20"/>
                <w:szCs w:val="20"/>
                <w:color w:val="auto"/>
              </w:rPr>
            </w:pPr>
            <w:r>
              <w:rPr>
                <w:rFonts w:ascii="Arial" w:cs="Arial" w:eastAsia="Arial" w:hAnsi="Arial"/>
                <w:sz w:val="18"/>
                <w:szCs w:val="18"/>
                <w:color w:val="auto"/>
              </w:rPr>
              <w:t>Holdings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(19,032)</w:t>
            </w: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122,871,152</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6,894,938</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129,766,090</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600" w:type="dxa"/>
            <w:vAlign w:val="bottom"/>
            <w:gridSpan w:val="2"/>
          </w:tcPr>
          <w:p>
            <w:pPr>
              <w:spacing w:after="0"/>
              <w:rPr>
                <w:sz w:val="20"/>
                <w:szCs w:val="20"/>
                <w:color w:val="auto"/>
              </w:rPr>
            </w:pPr>
            <w:r>
              <w:rPr>
                <w:rFonts w:ascii="Arial" w:cs="Arial" w:eastAsia="Arial" w:hAnsi="Arial"/>
                <w:sz w:val="18"/>
                <w:szCs w:val="18"/>
                <w:color w:val="auto"/>
              </w:rPr>
              <w:t>Balance, January 1, 2012</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123,009,311</w:t>
            </w:r>
          </w:p>
        </w:tc>
        <w:tc>
          <w:tcPr>
            <w:tcW w:w="38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94.8%</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6,756,779</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129,766,090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Activity January 1, 2012 to September 30, 2012:</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191,701</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(191,701)</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Balance, September 30, 2012</w:t>
            </w: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94.9%</w:t>
            </w: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5.1%</w:t>
            </w: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gridSpan w:val="2"/>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123,201,012</w:t>
            </w:r>
          </w:p>
        </w:tc>
        <w:tc>
          <w:tcPr>
            <w:tcW w:w="3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6,565,078</w:t>
            </w:r>
          </w:p>
        </w:tc>
        <w:tc>
          <w:tcPr>
            <w:tcW w:w="1140" w:type="dxa"/>
            <w:vAlign w:val="bottom"/>
            <w:gridSpan w:val="2"/>
            <w:vMerge w:val="continue"/>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129,766,090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nine month periods ended September 30, 2012 and 2011 did not materially impact Lazard Ltd’s stockholders’ equity.</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tables below summarize net income (loss) attributable to noncontrolling interests for the three month and nine month periods ended September 30, 2012 and 2011 and noncontrolling interests as of September 30, 2012 and December 31, 2011 as reflected in the Company’s accompanying condensed consolidated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Net Income (Loss) Attributable To</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4"/>
                <w:szCs w:val="14"/>
                <w:b w:val="1"/>
                <w:bCs w:val="1"/>
                <w:color w:val="auto"/>
                <w:w w:val="86"/>
              </w:rPr>
              <w:t>Noncontrolling Interests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gridSpan w:val="5"/>
          </w:tcPr>
          <w:p>
            <w:pPr>
              <w:jc w:val="right"/>
              <w:ind w:right="700"/>
              <w:spacing w:after="0" w:line="129" w:lineRule="exact"/>
              <w:rPr>
                <w:sz w:val="20"/>
                <w:szCs w:val="20"/>
                <w:color w:val="auto"/>
              </w:rPr>
            </w:pPr>
            <w:r>
              <w:rPr>
                <w:rFonts w:ascii="Arial" w:cs="Arial" w:eastAsia="Arial" w:hAnsi="Arial"/>
                <w:sz w:val="14"/>
                <w:szCs w:val="14"/>
                <w:b w:val="1"/>
                <w:bCs w:val="1"/>
                <w:color w:val="auto"/>
                <w:w w:val="96"/>
              </w:rPr>
              <w:t>Three Months Ended</w:t>
            </w:r>
          </w:p>
        </w:tc>
        <w:tc>
          <w:tcPr>
            <w:tcW w:w="1640" w:type="dxa"/>
            <w:vAlign w:val="bottom"/>
            <w:gridSpan w:val="3"/>
          </w:tcPr>
          <w:p>
            <w:pPr>
              <w:jc w:val="right"/>
              <w:ind w:right="156"/>
              <w:spacing w:after="0" w:line="129"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54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4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1,937</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$ 4,209</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$ 4,956</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Edgewater</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(1,704)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5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2,168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(362)</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00" w:type="dxa"/>
            <w:vAlign w:val="bottom"/>
            <w:vMerge w:val="continue"/>
          </w:tcPr>
          <w:p>
            <w:pPr>
              <w:spacing w:after="0"/>
              <w:rPr>
                <w:sz w:val="19"/>
                <w:szCs w:val="19"/>
                <w:color w:val="auto"/>
              </w:rPr>
            </w:pP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372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$ 4,434</w:t>
            </w:r>
          </w:p>
        </w:tc>
        <w:tc>
          <w:tcPr>
            <w:tcW w:w="52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$ 7,217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18,972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40" w:type="dxa"/>
            <w:vAlign w:val="bottom"/>
            <w:vMerge w:val="restart"/>
          </w:tcPr>
          <w:p>
            <w:pPr>
              <w:jc w:val="right"/>
              <w:ind w:right="1652"/>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6"/>
              </w:rPr>
              <w:t>Noncontrolling Interests</w:t>
            </w:r>
          </w:p>
        </w:tc>
      </w:t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02"/>
              <w:spacing w:after="0"/>
              <w:rPr>
                <w:sz w:val="20"/>
                <w:szCs w:val="20"/>
                <w:color w:val="auto"/>
              </w:rPr>
            </w:pPr>
            <w:r>
              <w:rPr>
                <w:rFonts w:ascii="Arial" w:cs="Arial" w:eastAsia="Arial" w:hAnsi="Arial"/>
                <w:sz w:val="14"/>
                <w:szCs w:val="14"/>
                <w:b w:val="1"/>
                <w:bCs w:val="1"/>
                <w:color w:val="auto"/>
                <w:w w:val="90"/>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8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75"/>
        </w:trPr>
        <w:tc>
          <w:tcPr>
            <w:tcW w:w="89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5"/>
                <w:szCs w:val="15"/>
                <w:color w:val="auto"/>
              </w:rPr>
            </w:pPr>
          </w:p>
        </w:tc>
      </w:tr>
      <w:tr>
        <w:trPr>
          <w:trHeight w:val="210"/>
        </w:trPr>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31,954</w:t>
            </w: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Edgewater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82,669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91,713</w:t>
            </w:r>
          </w:p>
        </w:tc>
        <w:tc>
          <w:tcPr>
            <w:tcW w:w="100" w:type="dxa"/>
            <w:vAlign w:val="bottom"/>
          </w:tcPr>
          <w:p>
            <w:pPr>
              <w:spacing w:after="0"/>
              <w:rPr>
                <w:sz w:val="18"/>
                <w:szCs w:val="18"/>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shd w:val="clear" w:color="auto" w:fill="CCEEFF"/>
          </w:tcPr>
          <w:p>
            <w:pPr>
              <w:spacing w:after="0"/>
              <w:rPr>
                <w:sz w:val="18"/>
                <w:szCs w:val="18"/>
                <w:color w:val="auto"/>
              </w:rPr>
            </w:pPr>
          </w:p>
        </w:tc>
      </w:tr>
      <w:tr>
        <w:trPr>
          <w:trHeight w:val="222"/>
        </w:trPr>
        <w:tc>
          <w:tcPr>
            <w:tcW w:w="89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119,999</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140,713</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Dividend Declared, October 2012</w:t>
      </w:r>
      <w:r>
        <w:rPr>
          <w:rFonts w:ascii="Arial" w:cs="Arial" w:eastAsia="Arial" w:hAnsi="Arial"/>
          <w:sz w:val="18"/>
          <w:szCs w:val="18"/>
          <w:color w:val="auto"/>
        </w:rPr>
        <w:t>—On October 24, 2012, the Board of Directors of Lazard Ltd declared a quarterly dividend of $0.20 per share on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payable on November 23, 2012, to stockholders of record on November 5, 2012.</w:t>
      </w:r>
    </w:p>
    <w:p>
      <w:pPr>
        <w:spacing w:after="0" w:line="25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nine month periods ended September 30, 2012 and 2011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restricted stock units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on the day prior to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following is a summary of the impact of share-based incentive plans on “compensation and benefits” expense (with respect to RSUs and restricted stock awards) and “professional services” expense (with respect to deferred stock unit awards (“DSUs”)) within the Company’s accompanying condensed consolidated statements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0"/>
              </w:rPr>
              <w:t>Three Months Ended</w:t>
            </w:r>
          </w:p>
        </w:tc>
        <w:tc>
          <w:tcPr>
            <w:tcW w:w="2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5"/>
              </w:rPr>
              <w:t>September 30,</w:t>
            </w:r>
          </w:p>
        </w:tc>
        <w:tc>
          <w:tcPr>
            <w:tcW w:w="2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11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70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3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RSUs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$65,952</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$58,489</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$211,271</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$200,899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374</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DSUs</w:t>
            </w:r>
          </w:p>
        </w:tc>
        <w:tc>
          <w:tcPr>
            <w:tcW w:w="3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1,366</w:t>
            </w:r>
          </w:p>
        </w:tc>
        <w:tc>
          <w:tcPr>
            <w:tcW w:w="66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67,689</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58,933</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220,175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$ 211,466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80" w:type="dxa"/>
            <w:vAlign w:val="bottom"/>
            <w:vMerge w:val="restart"/>
          </w:tcPr>
          <w:p>
            <w:pPr>
              <w:jc w:val="right"/>
              <w:ind w:right="1272"/>
              <w:spacing w:after="0"/>
              <w:rPr>
                <w:sz w:val="20"/>
                <w:szCs w:val="20"/>
                <w:color w:val="auto"/>
              </w:rPr>
            </w:pPr>
            <w:r>
              <w:rPr>
                <w:rFonts w:ascii="Arial" w:cs="Arial" w:eastAsia="Arial" w:hAnsi="Arial"/>
                <w:sz w:val="18"/>
                <w:szCs w:val="18"/>
                <w:color w:val="auto"/>
              </w:rPr>
              <w:t>27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and, for purposes of calculating diluted net income per share, RSUs are included in the diluted weighted average shares of Class A common stock outstanding using the “treasury stock” method.</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nine month periods ended September 30, 2012 and 2011, issuances of RSUs pertaining to such dividend participation rights and respective charges to “retained earnings”, net of estimated forfeitures (with corresponding credits to “additional paid-in-capital”)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9700" w:type="dxa"/>
            <w:vAlign w:val="bottom"/>
          </w:tcPr>
          <w:p>
            <w:pPr>
              <w:spacing w:after="0"/>
              <w:rPr>
                <w:sz w:val="14"/>
                <w:szCs w:val="14"/>
                <w:color w:val="auto"/>
              </w:rPr>
            </w:pPr>
          </w:p>
        </w:tc>
        <w:tc>
          <w:tcPr>
            <w:tcW w:w="172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7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210"/>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479,958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251,146</w:t>
            </w:r>
          </w:p>
        </w:tc>
        <w:tc>
          <w:tcPr>
            <w:tcW w:w="120" w:type="dxa"/>
            <w:vAlign w:val="bottom"/>
            <w:shd w:val="clear" w:color="auto" w:fill="CCEEFF"/>
          </w:tcPr>
          <w:p>
            <w:pPr>
              <w:spacing w:after="0"/>
              <w:rPr>
                <w:sz w:val="18"/>
                <w:szCs w:val="18"/>
                <w:color w:val="auto"/>
              </w:rPr>
            </w:pPr>
          </w:p>
        </w:tc>
      </w:tr>
      <w:tr>
        <w:trPr>
          <w:trHeight w:val="222"/>
        </w:trPr>
        <w:tc>
          <w:tcPr>
            <w:tcW w:w="970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680" w:type="dxa"/>
            <w:vAlign w:val="bottom"/>
          </w:tcPr>
          <w:p>
            <w:pPr>
              <w:jc w:val="right"/>
              <w:spacing w:after="0"/>
              <w:rPr>
                <w:sz w:val="20"/>
                <w:szCs w:val="20"/>
                <w:color w:val="auto"/>
              </w:rPr>
            </w:pPr>
            <w:r>
              <w:rPr>
                <w:rFonts w:ascii="Arial" w:cs="Arial" w:eastAsia="Arial" w:hAnsi="Arial"/>
                <w:sz w:val="18"/>
                <w:szCs w:val="18"/>
                <w:color w:val="auto"/>
              </w:rPr>
              <w:t>$11,770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$8,169</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Non-Executive members of the Board of Directors receive approximately 55% of their annual compensation for service on the Board of Directors and its committees in the form of DSUs, which resulted in 49,982 and 26,859 DSUs granted during the nine month periods ended September 30, 2012 and 2011,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 and resulted in nominal cash payments for the nine month periods ended September 30, 2012 and 2011.</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will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nine month periods ended September 30, 2012 and 2011, 7,988 and 5,371 DSUs, respectively, had been granted pursuant to such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2012 and 2011:</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100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20,751,829</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140,660</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 (including 479,958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8,121,632</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27.56</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57,970</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(401,065)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(4,425,534)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34.43</w:t>
            </w:r>
          </w:p>
        </w:tc>
        <w:tc>
          <w:tcPr>
            <w:tcW w:w="38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24,046,862</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198,630</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18"/>
                <w:szCs w:val="18"/>
                <w:color w:val="auto"/>
              </w:rPr>
            </w:pPr>
          </w:p>
        </w:tc>
      </w:tr>
      <w:tr>
        <w:trPr>
          <w:trHeight w:val="20"/>
        </w:trPr>
        <w:tc>
          <w:tcPr>
            <w:tcW w:w="620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4"/>
        </w:trPr>
        <w:tc>
          <w:tcPr>
            <w:tcW w:w="620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22,108,635</w:t>
            </w:r>
          </w:p>
        </w:tc>
        <w:tc>
          <w:tcPr>
            <w:tcW w:w="3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35.67</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121,737</w:t>
            </w:r>
          </w:p>
        </w:tc>
        <w:tc>
          <w:tcPr>
            <w:tcW w:w="3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251,146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6,764,420</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32,230</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(287,975)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37.73</w:t>
            </w:r>
          </w:p>
        </w:tc>
        <w:tc>
          <w:tcPr>
            <w:tcW w:w="38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(7,848,744)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8"/>
              </w:rPr>
              <w:t>(16,120)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CEEFF"/>
          </w:tcPr>
          <w:p>
            <w:pPr>
              <w:spacing w:after="0"/>
              <w:rPr>
                <w:sz w:val="18"/>
                <w:szCs w:val="18"/>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Balance, September 30, 2011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20,736,336</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36.99</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137,847</w:t>
            </w:r>
          </w:p>
        </w:tc>
        <w:tc>
          <w:tcPr>
            <w:tcW w:w="3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RSUs which vested during the nine month periods ended September 30, 2012 and 2011, the Company satisfied certain employees’ tax obligations in lieu of issuing 1,331,812 and 2,302,798 shares of Class A common stock in the respective periods. Accordingly, 3,093,722 and 5,545,946 shares of Class A common stock held by the Company were delivered during the respective periods. In addition, during the nine month period ended September 30, 2012, 42,432 shares of previously delivered Class A common stock were forfeited by certain former employees and returned to the Company.</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September 30, 2012, unrecognized RSU compensation expense, adjusted for estimated forfeitures, was approximately $257,000, with such unrecognized compensation expense expected to be recognized over a weighted average period of approximately 1.2 years subsequent to September 30, 2012.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periods ended September 30, 2012 and 2011:</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577,323</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(21,178)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(186,180)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465,297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80" w:type="dxa"/>
            <w:vAlign w:val="bottom"/>
            <w:shd w:val="clear" w:color="auto" w:fill="CCEEFF"/>
          </w:tcPr>
          <w:p>
            <w:pPr>
              <w:spacing w:after="0"/>
              <w:rPr>
                <w:sz w:val="18"/>
                <w:szCs w:val="18"/>
                <w:color w:val="auto"/>
              </w:rPr>
            </w:pPr>
          </w:p>
        </w:tc>
      </w:tr>
      <w:tr>
        <w:trPr>
          <w:trHeight w:val="20"/>
        </w:trPr>
        <w:tc>
          <w:tcPr>
            <w:tcW w:w="706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06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700" w:type="dxa"/>
            <w:vAlign w:val="bottom"/>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24"/>
                <w:szCs w:val="24"/>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327,238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(327,238)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shares of restricted Class A common stock that vested during the nine month periods ended September 30, 2012 and 2011, the Company satisfied certain employees’ tax obligations in lieu of delivering 28,129 and 68,866 shares of Class A common stock during the respective periods. Accordingly, 158,051 and 258,372 shares of Class A common stock held by the Company were delivered during the respective nine month periods.</w:t>
      </w:r>
    </w:p>
    <w:p>
      <w:pPr>
        <w:spacing w:after="0" w:line="10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September 30, 2012, unrecognized restricted stock expense was approximately $8,000, with such expense to be recognized over a weighted average period of approximately 1.8 years subsequent to September 30, 2012.</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purposes of calculating diluted net income per share, such awards are included in the diluted weighted average shares of Class A common stock outstanding using the “treasury stock” method.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Commencing in February 2011, the Company granted to eligible employees Lazard Fund Interests.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 Such changes in the fair value of the derivative liability are recorded to “compensation and benefits” expense within the Company’s consolidated statements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impact of which equally offsets the changes in fair value of investments which are currently expected to be delivered upon settlement of Lazard Fund Interests awards, which is reported in “revenue-other” in the consolidated statement of operations (see Note 6 of Notes to Condensed Consolidated Financial Statements).</w:t>
      </w:r>
    </w:p>
    <w:p>
      <w:pPr>
        <w:spacing w:after="0" w:line="6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nine month period ended September 30,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7"/>
              </w:rPr>
              <w:t>Prepaid</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Compensation</w:t>
            </w:r>
          </w:p>
        </w:tc>
      </w:tr>
      <w:tr>
        <w:trPr>
          <w:trHeight w:val="161"/>
        </w:trPr>
        <w:tc>
          <w:tcPr>
            <w:tcW w:w="790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64,658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64,658</w:t>
            </w: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(8,640)</w:t>
            </w: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(1,607)</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(1,706)</w:t>
            </w: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(including grants of awards to retirement-eligible recipients)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(24,508)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Increase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underlying investments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2,202</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Balance, September 30, 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56,426</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91,053</w:t>
            </w: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1.8 years subsequent to September 30, 2012.</w:t>
      </w:r>
    </w:p>
    <w:p>
      <w:pPr>
        <w:spacing w:after="0" w:line="132"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following is a summary of the impact of Lazard Fund Interests and other similar deferred compensation arrangements on “compensation and benefits” expense within the accompanying condensed consolidated statements of operations for the three and nine month periods ended September 30, 2012 and 2011: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w w:val="99"/>
              </w:rPr>
              <w:t>Three Months Ended</w:t>
            </w:r>
          </w:p>
        </w:tc>
        <w:tc>
          <w:tcPr>
            <w:tcW w:w="18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September 30,</w:t>
            </w:r>
          </w:p>
        </w:tc>
        <w:tc>
          <w:tcPr>
            <w:tcW w:w="18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12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12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after impact of forfeitures</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$ 2,480</w:t>
            </w: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$26,611</w:t>
            </w:r>
          </w:p>
        </w:tc>
        <w:tc>
          <w:tcPr>
            <w:tcW w:w="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$ 7,534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Change in fair value of underlying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4,728</w:t>
            </w:r>
          </w:p>
        </w:tc>
        <w:tc>
          <w:tcPr>
            <w:tcW w:w="6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(3,961)</w:t>
            </w:r>
          </w:p>
        </w:tc>
        <w:tc>
          <w:tcPr>
            <w:tcW w:w="580" w:type="dxa"/>
            <w:vAlign w:val="bottom"/>
          </w:tcPr>
          <w:p>
            <w:pPr>
              <w:jc w:val="right"/>
              <w:spacing w:after="0"/>
              <w:rPr>
                <w:sz w:val="20"/>
                <w:szCs w:val="20"/>
                <w:color w:val="auto"/>
              </w:rPr>
            </w:pPr>
            <w:r>
              <w:rPr>
                <w:rFonts w:ascii="Arial" w:cs="Arial" w:eastAsia="Arial" w:hAnsi="Arial"/>
                <w:sz w:val="18"/>
                <w:szCs w:val="18"/>
                <w:color w:val="auto"/>
              </w:rPr>
              <w:t>4,639</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14,354</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(1,481)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31,250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Management also evaluates from time to time whether to make voluntary contributions to the plans. The Company made a contribution to the U.S. pension plans during the nine month period ended September 30, 2012 of approximately $700.</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will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 in the account security arrangement at September 30, 2012 of approximately $16,500 has been recorded in “cash deposited with clearing organizations and other segregated cash” on the accompanying condensed consolidated statement of financial condition. Income on the escrow balance accretes to the Company and is recorded in interest income.</w:t>
      </w:r>
    </w:p>
    <w:p>
      <w:pPr>
        <w:spacing w:after="0" w:line="12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nine month period ended September 30, 2012, the Company contributed 1 million British pounds ($1,577 at September 30, 2012 exchange rates) to these U.K. pension plans, and no contributions were made to other non-U.S. pension plans.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net periodic benefit cost for the three month and nine month periods ended September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Pension Plans</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Medical Plans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8"/>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2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6,862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(6,637)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(7,763)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20"/>
              <w:spacing w:after="0"/>
              <w:rPr>
                <w:sz w:val="20"/>
                <w:szCs w:val="20"/>
                <w:color w:val="auto"/>
              </w:rPr>
            </w:pPr>
            <w:r>
              <w:rPr>
                <w:rFonts w:ascii="Arial" w:cs="Arial" w:eastAsia="Arial" w:hAnsi="Arial"/>
                <w:sz w:val="18"/>
                <w:szCs w:val="18"/>
                <w:color w:val="auto"/>
              </w:rPr>
              <w:t>Net periodic benefit cost</w:t>
            </w:r>
          </w:p>
        </w:tc>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vMerge w:val="continue"/>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1,471</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980" w:type="dxa"/>
            <w:vAlign w:val="bottom"/>
            <w:vMerge w:val="restart"/>
          </w:tcPr>
          <w:p>
            <w:pPr>
              <w:jc w:val="right"/>
              <w:ind w:right="147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Post-Retirement</w:t>
            </w:r>
          </w:p>
        </w:tc>
      </w:t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Pension Plans</w:t>
            </w: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Medical Plans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7"/>
          </w:tcPr>
          <w:p>
            <w:pPr>
              <w:ind w:left="180"/>
              <w:spacing w:after="0" w:line="142" w:lineRule="exact"/>
              <w:rPr>
                <w:sz w:val="20"/>
                <w:szCs w:val="20"/>
                <w:color w:val="auto"/>
              </w:rPr>
            </w:pPr>
            <w:r>
              <w:rPr>
                <w:rFonts w:ascii="Arial" w:cs="Arial" w:eastAsia="Arial" w:hAnsi="Arial"/>
                <w:sz w:val="14"/>
                <w:szCs w:val="14"/>
                <w:b w:val="1"/>
                <w:bCs w:val="1"/>
                <w:color w:val="auto"/>
                <w:w w:val="98"/>
              </w:rPr>
              <w:t>Nine Months Ended September 30,</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5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504</w:t>
            </w:r>
          </w:p>
        </w:tc>
        <w:tc>
          <w:tcPr>
            <w:tcW w:w="2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20,649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21,401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Expected return on plan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(19,931)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(23,029)</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Prior service cost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2,258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Settlement loss (a)</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right="140" w:firstLine="464"/>
        <w:spacing w:after="0" w:line="298" w:lineRule="auto"/>
        <w:tabs>
          <w:tab w:leader="none" w:pos="695" w:val="left"/>
        </w:tabs>
        <w:numPr>
          <w:ilvl w:val="1"/>
          <w:numId w:val="24"/>
        </w:numPr>
        <w:rPr>
          <w:rFonts w:ascii="Arial" w:cs="Arial" w:eastAsia="Arial" w:hAnsi="Arial"/>
          <w:sz w:val="16"/>
          <w:szCs w:val="16"/>
          <w:color w:val="auto"/>
        </w:rPr>
      </w:pPr>
      <w:r>
        <w:rPr>
          <w:rFonts w:ascii="Arial" w:cs="Arial" w:eastAsia="Arial" w:hAnsi="Arial"/>
          <w:sz w:val="16"/>
          <w:szCs w:val="16"/>
          <w:color w:val="auto"/>
        </w:rPr>
        <w:t>During the nine month period ended September 30, 2012, the Company’s pension plans in the U.S. made lump sum benefit payments in excess of the plans’ annual service and interest costs, which, under U.S. GAAP, requires that the plans’ obligations and assets be remeasured. The remeasurement of the plans resulted in the recognition of actuarial losses totaling $1,935 recorded in “other comprehensive income (loss), net of tax” (“OCI”), which, after recording a settlement loss of $886 recognized in “compensation and benefits” expense, resulted in a net charge to OCI of $1,049.</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w:t>
      </w:r>
    </w:p>
    <w:p>
      <w:pPr>
        <w:spacing w:after="0" w:line="38"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recorded income tax provisions of $13,053 and $32,191 for the three month and nine month periods ended September 30, 2012, respectively, and $20,605 and $51,704 for the three month and nine month periods ended September 30, 2011, respectively, representing effective tax rates of 27.9%, 24.9%, 23.5% and 20.6%, respectively. The difference between the U.S. federal statutory rate of 35.0% and the effective tax rates reflected above principally relates to (i) Lazard Group primarily operating as a limited liability company in the U.S., (ii) foreign source income (loss) not subject to U.S. income taxes, (iii) Lazard Group’s income from U.S. operations attributable to noncontrolling interests and (iv) U.S. state and local taxes (primarily UBT), which are incremental to the U.S. federal statutory tax rate.</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redemption of historical partner interests in connection with the Company’s separation and recapitalization that occurred in May 2005 and subsequent exchanges of LAZ-MD Holdings exchangeable interests for shares of Class A common stock have resulted, and future exchanges of LAZ-MD Holdings exchangeable interests for shares of Class A common stock may result, in increases in the tax basis of the tangible and intangible assets of Lazard Group. The tax receivable agreement dated as of May 10, 2005 with LFCM Holdings LLC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As a result, there is no provision for such payments in the nine month periods ended September 30, 2012 and 2011. If any provision is required pursuant to the tax receivable agreement, such amount would be fully offset by a reduction in the Company’s income tax expense.</w:t>
      </w:r>
    </w:p>
    <w:p>
      <w:pPr>
        <w:spacing w:after="0" w:line="24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three month and nine month periods ended September 30, 2012 and 2011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plus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such shares associated with shares of Class A common stock issuable on a non-contingent basis.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periods as in the basic net income per share calculation described above, plus,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extent applicable and dilutive, (i) interest expense on convertible debt, (ii) changes in net income attributable to noncontrolling interests resulting from assumed Class A common stock issuances in connection with share-based incentive compensation, convertible debt and convertible preferred stock and, on an “as-if-exchanged” basis, amounts applicable to LAZ-MD Holdings exchangeable interests and (iii) income tax related to (i) and (ii) above.</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as in the basic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calculation described above, plus, to the extent dilutive, the incremental number of shares of Class A common stock to settle share-based incentive compensation, convertible debt, convertible preferred stock and LAZ-MD Holdings exchangeable interests, using the “treasury stock” method, the “if converted” method or the “as-if-exchanged” basis, as applicable.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nine month periods ended September 30, 2012 and 2011 are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6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6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2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12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2012</w:t>
            </w:r>
          </w:p>
        </w:tc>
        <w:tc>
          <w:tcPr>
            <w:tcW w:w="1260" w:type="dxa"/>
            <w:vAlign w:val="bottom"/>
            <w:tcBorders>
              <w:top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$89,674</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0"/>
              </w:rPr>
              <w:t>Add - adjustment associated with Class A common stock issuable on a non-contingent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basis</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08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89,680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Adjustments to income relating to interest expense and changes in net income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attributable to noncontrolling interests resulting from assumed Class A</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common stock issuances in connection with share-based incentive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compensation, convertible preferred stock and exchangeable interests, net of</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$35,108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$66,403</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$94,360</w:t>
            </w:r>
          </w:p>
        </w:tc>
        <w:tc>
          <w:tcPr>
            <w:tcW w:w="1080" w:type="dxa"/>
            <w:vAlign w:val="bottom"/>
          </w:tcPr>
          <w:p>
            <w:pPr>
              <w:jc w:val="right"/>
              <w:spacing w:after="0"/>
              <w:rPr>
                <w:sz w:val="20"/>
                <w:szCs w:val="20"/>
                <w:color w:val="auto"/>
              </w:rPr>
            </w:pPr>
            <w:r>
              <w:rPr>
                <w:rFonts w:ascii="Arial" w:cs="Arial" w:eastAsia="Arial" w:hAnsi="Arial"/>
                <w:sz w:val="18"/>
                <w:szCs w:val="18"/>
                <w:color w:val="auto"/>
              </w:rPr>
              <w:t>$192,687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114,689,712</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115,071,470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116,949,317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114,026,323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3"/>
              </w:rPr>
              <w:t>Add - adjustment for shares of Class A common stock issuable on a non-contingent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basis</w:t>
            </w:r>
          </w:p>
        </w:tc>
        <w:tc>
          <w:tcPr>
            <w:tcW w:w="1120" w:type="dxa"/>
            <w:vAlign w:val="bottom"/>
          </w:tcPr>
          <w:p>
            <w:pPr>
              <w:jc w:val="right"/>
              <w:spacing w:after="0"/>
              <w:rPr>
                <w:sz w:val="20"/>
                <w:szCs w:val="20"/>
                <w:color w:val="auto"/>
              </w:rPr>
            </w:pPr>
            <w:r>
              <w:rPr>
                <w:rFonts w:ascii="Arial" w:cs="Arial" w:eastAsia="Arial" w:hAnsi="Arial"/>
                <w:sz w:val="18"/>
                <w:szCs w:val="18"/>
                <w:color w:val="auto"/>
              </w:rPr>
              <w:t>913,639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3,244,474</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740,087</w:t>
            </w:r>
          </w:p>
        </w:tc>
        <w:tc>
          <w:tcPr>
            <w:tcW w:w="1080" w:type="dxa"/>
            <w:vAlign w:val="bottom"/>
          </w:tcPr>
          <w:p>
            <w:pPr>
              <w:jc w:val="right"/>
              <w:spacing w:after="0"/>
              <w:rPr>
                <w:sz w:val="20"/>
                <w:szCs w:val="20"/>
                <w:color w:val="auto"/>
              </w:rPr>
            </w:pPr>
            <w:r>
              <w:rPr>
                <w:rFonts w:ascii="Arial" w:cs="Arial" w:eastAsia="Arial" w:hAnsi="Arial"/>
                <w:sz w:val="18"/>
                <w:szCs w:val="18"/>
                <w:color w:val="auto"/>
              </w:rPr>
              <w:t>3,559,705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shares of Class A common stock outstanding - 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115,603,351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118,315,944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117,689,404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117,586,028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Weighted average number of incremental shares of Class A common stock</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9"/>
              </w:rPr>
              <w:t>issuable from share-based incentive compensation, convertible preferred stock</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exchangeable interests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19,776,685</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18,542,012</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17,847,646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20,679,466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w w:val="93"/>
              </w:rPr>
              <w:t>Weighted average number of shares of Class A common stock outstanding - diluted</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135,380,036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136,857,956</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135,537,050</w:t>
            </w:r>
          </w:p>
        </w:tc>
        <w:tc>
          <w:tcPr>
            <w:tcW w:w="1080" w:type="dxa"/>
            <w:vAlign w:val="bottom"/>
          </w:tcPr>
          <w:p>
            <w:pPr>
              <w:jc w:val="right"/>
              <w:spacing w:after="0"/>
              <w:rPr>
                <w:sz w:val="20"/>
                <w:szCs w:val="20"/>
                <w:color w:val="auto"/>
              </w:rPr>
            </w:pPr>
            <w:r>
              <w:rPr>
                <w:rFonts w:ascii="Arial" w:cs="Arial" w:eastAsia="Arial" w:hAnsi="Arial"/>
                <w:sz w:val="18"/>
                <w:szCs w:val="18"/>
                <w:color w:val="auto"/>
              </w:rPr>
              <w:t>138,265,494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Basic</w:t>
            </w:r>
          </w:p>
        </w:tc>
        <w:tc>
          <w:tcPr>
            <w:tcW w:w="1120" w:type="dxa"/>
            <w:vAlign w:val="bottom"/>
          </w:tcPr>
          <w:p>
            <w:pPr>
              <w:jc w:val="right"/>
              <w:spacing w:after="0"/>
              <w:rPr>
                <w:sz w:val="20"/>
                <w:szCs w:val="20"/>
                <w:color w:val="auto"/>
              </w:rPr>
            </w:pPr>
            <w:r>
              <w:rPr>
                <w:rFonts w:ascii="Arial" w:cs="Arial" w:eastAsia="Arial" w:hAnsi="Arial"/>
                <w:sz w:val="18"/>
                <w:szCs w:val="18"/>
                <w:color w:val="auto"/>
              </w:rPr>
              <w:t>$0.29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$0.76</w:t>
            </w: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jc w:val="right"/>
              <w:ind w:right="392"/>
              <w:spacing w:after="0"/>
              <w:rPr>
                <w:sz w:val="20"/>
                <w:szCs w:val="20"/>
                <w:color w:val="auto"/>
              </w:rPr>
            </w:pPr>
            <w:r>
              <w:rPr>
                <w:rFonts w:ascii="Arial" w:cs="Arial" w:eastAsia="Arial" w:hAnsi="Arial"/>
                <w:sz w:val="18"/>
                <w:szCs w:val="18"/>
                <w:color w:val="auto"/>
              </w:rPr>
              <w:t>35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9040" w:type="dxa"/>
            <w:vAlign w:val="bottom"/>
          </w:tcPr>
          <w:p>
            <w:pPr>
              <w:spacing w:after="0"/>
              <w:rPr>
                <w:sz w:val="14"/>
                <w:szCs w:val="14"/>
                <w:color w:val="auto"/>
              </w:rPr>
            </w:pPr>
          </w:p>
        </w:tc>
        <w:tc>
          <w:tcPr>
            <w:tcW w:w="8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14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9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8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LFCM Holdings</w:t>
            </w:r>
          </w:p>
        </w:tc>
        <w:tc>
          <w:tcPr>
            <w:tcW w:w="820" w:type="dxa"/>
            <w:vAlign w:val="bottom"/>
          </w:tcPr>
          <w:p>
            <w:pPr>
              <w:jc w:val="right"/>
              <w:spacing w:after="0"/>
              <w:rPr>
                <w:sz w:val="20"/>
                <w:szCs w:val="20"/>
                <w:color w:val="auto"/>
              </w:rPr>
            </w:pPr>
            <w:r>
              <w:rPr>
                <w:rFonts w:ascii="Arial" w:cs="Arial" w:eastAsia="Arial" w:hAnsi="Arial"/>
                <w:sz w:val="18"/>
                <w:szCs w:val="18"/>
                <w:color w:val="auto"/>
              </w:rPr>
              <w:t>$7,037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14,790</w:t>
            </w: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6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18"/>
                <w:szCs w:val="18"/>
                <w:color w:val="auto"/>
              </w:rPr>
            </w:pPr>
          </w:p>
        </w:tc>
      </w:tr>
      <w:tr>
        <w:trPr>
          <w:trHeight w:val="222"/>
        </w:trPr>
        <w:tc>
          <w:tcPr>
            <w:tcW w:w="9040" w:type="dxa"/>
            <w:vAlign w:val="bottom"/>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rPr>
              <w:t>$10,902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18,501</w:t>
            </w:r>
          </w:p>
        </w:tc>
        <w:tc>
          <w:tcPr>
            <w:tcW w:w="10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LFCM Holdings</w:t>
            </w:r>
          </w:p>
        </w:tc>
        <w:tc>
          <w:tcPr>
            <w:tcW w:w="820" w:type="dxa"/>
            <w:vAlign w:val="bottom"/>
          </w:tcPr>
          <w:p>
            <w:pPr>
              <w:jc w:val="right"/>
              <w:spacing w:after="0"/>
              <w:rPr>
                <w:sz w:val="20"/>
                <w:szCs w:val="20"/>
                <w:color w:val="auto"/>
              </w:rPr>
            </w:pPr>
            <w:r>
              <w:rPr>
                <w:rFonts w:ascii="Arial" w:cs="Arial" w:eastAsia="Arial" w:hAnsi="Arial"/>
                <w:sz w:val="18"/>
                <w:szCs w:val="18"/>
                <w:color w:val="auto"/>
              </w:rPr>
              <w:t>$2,290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6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222"/>
        </w:trPr>
        <w:tc>
          <w:tcPr>
            <w:tcW w:w="9040" w:type="dxa"/>
            <w:vAlign w:val="bottom"/>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rPr>
              <w:t>$3,037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For the three month and nine month periods ended September 30, 2012, amounts recorded by Lazard Group relating to the administrative services agreement amounted to $666 and $2,181, respectively, and net referral fees for underwriting, private placement, M&amp;A and restructuring transactions under the business alliance agreement amounted to $182 and $4,548, respectively. For the three month and nine month periods ended September 30, 2011, amounts recorded by Lazard Group relating to the administrative services agreement amounted to $596 and $1,788, respectively, and net referral fees for underwriting, private placement, M&amp;A and restructuring transactions under the business alliance agreement amounted to $5,927 and $19,074,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Receivables from LFCM Holdings and its subsidiaries as of September 30, 2012 and December 31, 2011 include $2,363 and $11,862, respectively, related to administrative and support services, and other receivables which include sublease income and reimbursement of expenses incurred on behalf of LFCM Holdings, and $4,674 and $2,928, respectively, related to referral fees for underwriting and private placement transactions.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Payables to LFCM Holdings and its subsidiaries at September 30, 2012 and December 31, 2011 consist of $2,290 and $2,060, respectively, principally relating to certain advances and referral fees for Financial Advisory transactions and, at December 31, 2011, obligations pursuant to the tax receivable agreement of $2,790 (see Note 15 of Notes to Condensed Consolidated Financial Statements).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Other receivables and payables at September 30, 2012 and December 31, 2011 primarily relate to referral fees for restructuring and M&amp;A transactions with MBA Lazard Holdings S.A. and its affiliates, an Argentina-based group in which the Company has a 50% ownership interest, and a related party loan.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and nine month periods ended September 30, 2012, such charges amounted to $188 and $563, respectively. For the three month and nine month periods ended September 30, 2011, such charges amounted to $188 and $563, respectively.</w:t>
      </w:r>
    </w:p>
    <w:p>
      <w:pPr>
        <w:spacing w:after="0" w:line="26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September 30, 2012, LFNY’s regulatory net capital was $123,097, which exceeded the minimum requirement by $119,424.</w:t>
      </w:r>
    </w:p>
    <w:p>
      <w:pPr>
        <w:spacing w:after="0" w:line="113"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September 30, 2012, the aggregate regulatory net capital of the U.K. Subsidiaries was $107,795, which exceeded the minimum requirement by $89,602.</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September 30, 2012, the consolidated regulatory net capital of CFLF was $173,924, which exceeded the minimum requirement set for regulatory capital levels by $79,308.</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2012, for those subsidiaries with regulatory capital requirements, their aggregate net capital was $116,764, which exceeded the minimum required capital by an aggregate of $88,166.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2012, each of these subsidiaries individually was in compliance with its regulatory capital requirements.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which we are examining, LFB, as a European credit institution, is required to be supervised on a consolidated basis by another regulatory body, either in the U.S., by the Board of Governors of the Federal Reserve, or the European Union. The Dodd-Frank Act and the rules and regulations that may be adopted thereunder (including regulations that have not yet been proposed) could have other effects on us. We continue to monitor the process as such rules are proposed and adopted.</w:t>
      </w:r>
    </w:p>
    <w:p>
      <w:pPr>
        <w:spacing w:after="0" w:line="24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Company’s segment information for the three month and nine month periods ended September 30, 2012 and 2011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revenue, headcount, square footage and other factors.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42"/>
        </w:trPr>
        <w:tc>
          <w:tcPr>
            <w:tcW w:w="704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Financial Advisory</w:t>
            </w: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79"/>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spacing w:after="0"/>
              <w:rPr>
                <w:sz w:val="18"/>
                <w:szCs w:val="18"/>
                <w:color w:val="auto"/>
              </w:rPr>
            </w:pPr>
          </w:p>
        </w:tc>
        <w:tc>
          <w:tcPr>
            <w:tcW w:w="61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219,973</w:t>
            </w: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$253,585</w:t>
            </w:r>
          </w:p>
        </w:tc>
        <w:tc>
          <w:tcPr>
            <w:tcW w:w="34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739,793</w:t>
            </w: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731,621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60" w:type="dxa"/>
            <w:vAlign w:val="bottom"/>
          </w:tcPr>
          <w:p>
            <w:pPr>
              <w:ind w:left="138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212,449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213,614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693,546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641,397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61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39,971</w:t>
            </w:r>
          </w:p>
        </w:tc>
        <w:tc>
          <w:tcPr>
            <w:tcW w:w="34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46,247</w:t>
            </w: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90,224</w:t>
            </w:r>
          </w:p>
        </w:tc>
        <w:tc>
          <w:tcPr>
            <w:tcW w:w="0" w:type="dxa"/>
            <w:vAlign w:val="bottom"/>
          </w:tcPr>
          <w:p>
            <w:pPr>
              <w:spacing w:after="0"/>
              <w:rPr>
                <w:sz w:val="1"/>
                <w:szCs w:val="1"/>
                <w:color w:val="auto"/>
              </w:rPr>
            </w:pPr>
          </w:p>
        </w:tc>
      </w:tr>
      <w:tr>
        <w:trPr>
          <w:trHeight w:val="330"/>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spacing w:after="0"/>
              <w:rPr>
                <w:sz w:val="18"/>
                <w:szCs w:val="18"/>
                <w:color w:val="auto"/>
              </w:rPr>
            </w:pPr>
          </w:p>
        </w:tc>
        <w:tc>
          <w:tcPr>
            <w:tcW w:w="61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221,516</w:t>
            </w: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$219,077</w:t>
            </w:r>
          </w:p>
        </w:tc>
        <w:tc>
          <w:tcPr>
            <w:tcW w:w="34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647,096</w:t>
            </w: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690,785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60" w:type="dxa"/>
            <w:vAlign w:val="bottom"/>
          </w:tcPr>
          <w:p>
            <w:pPr>
              <w:ind w:left="138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160,869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156,709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477,989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466,827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61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62,368</w:t>
            </w:r>
          </w:p>
        </w:tc>
        <w:tc>
          <w:tcPr>
            <w:tcW w:w="34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169,107</w:t>
            </w: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223,958</w:t>
            </w:r>
          </w:p>
        </w:tc>
        <w:tc>
          <w:tcPr>
            <w:tcW w:w="0" w:type="dxa"/>
            <w:vAlign w:val="bottom"/>
          </w:tcPr>
          <w:p>
            <w:pPr>
              <w:spacing w:after="0"/>
              <w:rPr>
                <w:sz w:val="1"/>
                <w:szCs w:val="1"/>
                <w:color w:val="auto"/>
              </w:rPr>
            </w:pPr>
          </w:p>
        </w:tc>
      </w:tr>
      <w:tr>
        <w:trPr>
          <w:trHeight w:val="330"/>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Corporate</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spacing w:after="0"/>
              <w:rPr>
                <w:sz w:val="18"/>
                <w:szCs w:val="18"/>
                <w:color w:val="auto"/>
              </w:rPr>
            </w:pPr>
          </w:p>
        </w:tc>
        <w:tc>
          <w:tcPr>
            <w:tcW w:w="61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(12,683)</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(10,243)</w:t>
            </w:r>
          </w:p>
        </w:tc>
        <w:tc>
          <w:tcPr>
            <w:tcW w:w="34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(35,134)</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(44,672)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60" w:type="dxa"/>
            <w:vAlign w:val="bottom"/>
          </w:tcPr>
          <w:p>
            <w:pPr>
              <w:ind w:left="138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4,358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51,138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19,124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61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(21,445)</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(14,601)</w:t>
            </w:r>
          </w:p>
        </w:tc>
        <w:tc>
          <w:tcPr>
            <w:tcW w:w="34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(86,272)</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(63,796)</w:t>
            </w:r>
          </w:p>
        </w:tc>
        <w:tc>
          <w:tcPr>
            <w:tcW w:w="0" w:type="dxa"/>
            <w:vAlign w:val="bottom"/>
          </w:tcPr>
          <w:p>
            <w:pPr>
              <w:spacing w:after="0"/>
              <w:rPr>
                <w:sz w:val="1"/>
                <w:szCs w:val="1"/>
                <w:color w:val="auto"/>
              </w:rPr>
            </w:pPr>
          </w:p>
        </w:tc>
      </w:tr>
      <w:tr>
        <w:trPr>
          <w:trHeight w:val="330"/>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spacing w:after="0"/>
              <w:rPr>
                <w:sz w:val="18"/>
                <w:szCs w:val="18"/>
                <w:color w:val="auto"/>
              </w:rPr>
            </w:pPr>
          </w:p>
        </w:tc>
        <w:tc>
          <w:tcPr>
            <w:tcW w:w="61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428,806</w:t>
            </w: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$462,419</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$1,351,755</w:t>
            </w: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1,377,734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60" w:type="dxa"/>
            <w:vAlign w:val="bottom"/>
          </w:tcPr>
          <w:p>
            <w:pPr>
              <w:ind w:left="138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382,080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374,681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1,222,673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1,127,348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61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87,738</w:t>
            </w:r>
          </w:p>
        </w:tc>
        <w:tc>
          <w:tcPr>
            <w:tcW w:w="34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129,082</w:t>
            </w: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250,386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0"/>
              </w:rPr>
              <w:t>As Of</w:t>
            </w: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w w:val="81"/>
              </w:rPr>
              <w:t>September 30,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3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760,366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767,699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487,635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583,524</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4"/>
              </w:rPr>
              <w:t>1,746,945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4"/>
              </w:rPr>
              <w:t>1,730,713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$ 2,994,946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3,081,936</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October 2012, the Company announced a number of cost saving initiatives relating to the Company’s operations. The Company expects associated pre-tax implementation expenses to range between $110,000 and $130,000, primarily consisting of compensation expense. The Company expects to recognize a significant majority of the expense in the fourth quarter of 2012 and the remainder in the first half of 2013. Approximately 75% of the implementation expenses are expected to be paid in cash.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2011 (the “Form 10-K”). All references to “2012”, “2011”, “third quarter”, “nine months” or “the period” refer to, as the context requires, the three month and nine month periods ended September 30, 2012 and September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(“LAM”) and its subsidiaries.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Our websites and the information contained therein or connected thereto shall not be deemed to be incorporated into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is a preeminent financial advisory and asset management firm.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Asset Management, which offers a broad range of investment solutions and investment management services in equity and fixed income strategies, alternative investments and private equity funds to corporations, public funds, sovereign entities, endowments and foundations, labor funds, financial intermediaries and private clients globally.</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record outstanding indebtedness in our Corporate segment.</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by our segments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6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3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w:t>
            </w:r>
          </w:p>
        </w:tc>
        <w:tc>
          <w:tcPr>
            <w:tcW w:w="13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55%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Asset Management</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92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47</w:t>
            </w:r>
          </w:p>
        </w:tc>
        <w:tc>
          <w:tcPr>
            <w:tcW w:w="1320" w:type="dxa"/>
            <w:vAlign w:val="bottom"/>
            <w:gridSpan w:val="2"/>
          </w:tcPr>
          <w:p>
            <w:pPr>
              <w:jc w:val="right"/>
              <w:ind w:right="832"/>
              <w:spacing w:after="0"/>
              <w:rPr>
                <w:sz w:val="20"/>
                <w:szCs w:val="20"/>
                <w:color w:val="auto"/>
              </w:rPr>
            </w:pPr>
            <w:r>
              <w:rPr>
                <w:rFonts w:ascii="Arial" w:cs="Arial" w:eastAsia="Arial" w:hAnsi="Arial"/>
                <w:sz w:val="18"/>
                <w:szCs w:val="18"/>
                <w:color w:val="auto"/>
              </w:rPr>
              <w:t>48</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34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1340" w:type="dxa"/>
            <w:vAlign w:val="bottom"/>
            <w:gridSpan w:val="2"/>
          </w:tcPr>
          <w:p>
            <w:pPr>
              <w:jc w:val="right"/>
              <w:ind w:right="692"/>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692"/>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40" w:firstLine="8"/>
        <w:spacing w:after="0" w:line="287" w:lineRule="auto"/>
        <w:tabs>
          <w:tab w:leader="none" w:pos="21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(ii) Lazard Australia Corporate Opportunities Fund 2 (“COF 2”), a Lazard-managed Australian private equity fund targeting Australasian mid-market investments, (iii) a mezzanine fund, which invests in mezzanine debt of a diversified selection of small- to mid-cap European companies, (iv) Corporate Partners II Limited (“CP II”), a private equity fund targeting significant non-controlling investments in established public and private companies and (v) Lazard Senior Housing Partners LP (“Senior Housing”), which acquires companies and assets in the senior housing, extended stay and shopping center sectors.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8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Overall, global equity market indices at September 30, 2012 increased when compared to such indices at December 31, 2011, including increases in most of the indices during the third quarter of 2012. On an industry-wide basis, during the first nine months of 2012, M&amp;A activity has generally decreased as compared to the corresponding period in 2011. The announced value and number of global M&amp;A transactions decreased in the first nine months of 2012 as compared to the corresponding period in 2011. Restructuring volume declined in the third quarter of 2012, as compared to the corresponding period in 2011, despite an increase in the number of corporate defaults.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Entering the fourth quarter of 2012, interest rates remain low and corporate cash balances remain high. Macroeconomic conditions remain uncertain, however, especially with respect to Europe. The breadth of our businesses has mitigated the impact of the European financial crisis. Although European M&amp;A activity has declined in the third quarter of 2012 and affected our Financial Advisory business, we believe other advisory opportunities, including opportunities for our Restructuring, Debt Advisory, and Sovereign Advisory businesses, have offset the slowdown. In our Asset Management business, most of LAM’s European clients are invested with LAM primarily outside of Europe. Those who are invested in Europe are investing primarily in European fixed income, which has not had a significant impact on our Asset Management business. Nonetheless, the business situation in Europe remains challenging.</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We also remain focused on expense management and, in October 2012, announced a number of cost saving initiatives relating to our operations. See “October 2012 Cost Saving Initiatives” below and Note 20 of Notes to Condensed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212" w:lineRule="exact"/>
        <w:rPr>
          <w:sz w:val="20"/>
          <w:szCs w:val="20"/>
          <w:color w:val="auto"/>
        </w:rPr>
      </w:pPr>
    </w:p>
    <w:p>
      <w:pPr>
        <w:ind w:left="900" w:right="20" w:hanging="325"/>
        <w:spacing w:after="0" w:line="289"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likely will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Europe, we believe our Restructuring, Debt Advisory, Capital Markets Advisory and Sovereign Advisory businesses have positive growth prospects. In addition, we believe our businesses throughout the emerging markets, Japan and Australia position us for growth in these markets, while strengthening and distinguishing our relationships with clients in developed economies. We recently integrated our Brazilian operations based in São Paulo. We also created Lazard Africa to leverage our sovereign and corporate expertise in the rapidly growing region, for our clients in both developed and developing countries.</w:t>
      </w:r>
    </w:p>
    <w:p>
      <w:pPr>
        <w:spacing w:after="0" w:line="158" w:lineRule="exact"/>
        <w:rPr>
          <w:rFonts w:ascii="Arial" w:cs="Arial" w:eastAsia="Arial" w:hAnsi="Arial"/>
          <w:sz w:val="16"/>
          <w:szCs w:val="16"/>
          <w:color w:val="auto"/>
        </w:rPr>
      </w:pPr>
    </w:p>
    <w:p>
      <w:pPr>
        <w:ind w:left="900" w:hanging="325"/>
        <w:spacing w:after="0" w:line="290"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Despite turbulent markets, we have recently seen investor demand across regions and investment platforms. In the short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intermediate term, 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306" w:lineRule="auto"/>
        <w:rPr>
          <w:sz w:val="20"/>
          <w:szCs w:val="20"/>
          <w:color w:val="auto"/>
        </w:rPr>
      </w:pPr>
      <w:r>
        <w:rPr>
          <w:rFonts w:ascii="Arial" w:cs="Arial" w:eastAsia="Arial" w:hAnsi="Arial"/>
          <w:sz w:val="16"/>
          <w:szCs w:val="16"/>
          <w:color w:val="auto"/>
        </w:rPr>
        <w:t>Asset Management business by opening a new office in Zurich. We are continually developing and seeding new investment strategies that extend our existing platforms. Recent examples of growth initiatives include the following investment strategies: Emerging Market Debt, Core Emerging Markets, Real Estate, Managed Volatility Strategies, Multistrategy products and Global Trend.</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from time to time,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 Overall, we continue to focus on the development of our business in this environment, including the generation of stable revenue and earnings growth and stockholder returns during periods of macroeconomic volatility, the prudent management of our costs and expenses, the efficient use of our capital and the return of cash to our stockholders.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are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reflected in the following table, which sets forth industry statistics for the third quarter and first nine months of 2012 and 2011 regarding the value and number of global and Trans-Atlantic completed and announced M&amp;A transactions, the value and number of such transactions in the 2012 periods generally decreased compared to the corresponding prior year periods, reflecting transactions with generally lower average values.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w w:val="92"/>
              </w:rPr>
              <w:t>Three Months Ended</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w w:val="94"/>
              </w:rPr>
              <w:t>Nine Months Ended</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94"/>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8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jc w:val="center"/>
              <w:ind w:left="58"/>
              <w:spacing w:after="0" w:line="12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jc w:val="center"/>
              <w:ind w:left="98"/>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49"/>
        </w:trPr>
        <w:tc>
          <w:tcPr>
            <w:tcW w:w="3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95"/>
              </w:rPr>
              <w:t>Incr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Incr /</w:t>
            </w:r>
          </w:p>
        </w:tc>
      </w:tr>
      <w:tr>
        <w:trPr>
          <w:trHeight w:val="161"/>
        </w:trPr>
        <w:tc>
          <w:tcPr>
            <w:tcW w:w="3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94"/>
              <w:spacing w:after="0"/>
              <w:rPr>
                <w:sz w:val="20"/>
                <w:szCs w:val="20"/>
                <w:color w:val="auto"/>
              </w:rPr>
            </w:pPr>
            <w:r>
              <w:rPr>
                <w:rFonts w:ascii="Arial" w:cs="Arial" w:eastAsia="Arial" w:hAnsi="Arial"/>
                <w:sz w:val="14"/>
                <w:szCs w:val="14"/>
                <w:b w:val="1"/>
                <w:bCs w:val="1"/>
                <w:color w:val="auto"/>
                <w:w w:val="83"/>
              </w:rPr>
              <w:t>2012</w:t>
            </w:r>
          </w:p>
        </w:tc>
        <w:tc>
          <w:tcPr>
            <w:tcW w:w="620" w:type="dxa"/>
            <w:vAlign w:val="bottom"/>
          </w:tcPr>
          <w:p>
            <w:pPr>
              <w:spacing w:after="0"/>
              <w:rPr>
                <w:sz w:val="14"/>
                <w:szCs w:val="14"/>
                <w:color w:val="auto"/>
              </w:rPr>
            </w:pPr>
          </w:p>
        </w:tc>
        <w:tc>
          <w:tcPr>
            <w:tcW w:w="840" w:type="dxa"/>
            <w:vAlign w:val="bottom"/>
          </w:tcPr>
          <w:p>
            <w:pPr>
              <w:jc w:val="right"/>
              <w:ind w:right="474"/>
              <w:spacing w:after="0"/>
              <w:rPr>
                <w:sz w:val="20"/>
                <w:szCs w:val="20"/>
                <w:color w:val="auto"/>
              </w:rPr>
            </w:pPr>
            <w:r>
              <w:rPr>
                <w:rFonts w:ascii="Arial" w:cs="Arial" w:eastAsia="Arial" w:hAnsi="Arial"/>
                <w:sz w:val="14"/>
                <w:szCs w:val="14"/>
                <w:b w:val="1"/>
                <w:bCs w:val="1"/>
                <w:color w:val="auto"/>
                <w:w w:val="83"/>
              </w:rPr>
              <w:t>2011</w:t>
            </w:r>
          </w:p>
        </w:tc>
        <w:tc>
          <w:tcPr>
            <w:tcW w:w="1240" w:type="dxa"/>
            <w:vAlign w:val="bottom"/>
            <w:gridSpan w:val="2"/>
          </w:tcPr>
          <w:p>
            <w:pPr>
              <w:jc w:val="center"/>
              <w:ind w:right="532"/>
              <w:spacing w:after="0"/>
              <w:rPr>
                <w:sz w:val="20"/>
                <w:szCs w:val="20"/>
                <w:color w:val="auto"/>
              </w:rPr>
            </w:pPr>
            <w:r>
              <w:rPr>
                <w:rFonts w:ascii="Arial" w:cs="Arial" w:eastAsia="Arial" w:hAnsi="Arial"/>
                <w:sz w:val="14"/>
                <w:szCs w:val="14"/>
                <w:b w:val="1"/>
                <w:bCs w:val="1"/>
                <w:color w:val="auto"/>
                <w:w w:val="88"/>
              </w:rPr>
              <w:t>(Decr)</w:t>
            </w:r>
          </w:p>
        </w:tc>
        <w:tc>
          <w:tcPr>
            <w:tcW w:w="100" w:type="dxa"/>
            <w:vAlign w:val="bottom"/>
          </w:tcPr>
          <w:p>
            <w:pPr>
              <w:spacing w:after="0"/>
              <w:rPr>
                <w:sz w:val="14"/>
                <w:szCs w:val="14"/>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2012</w:t>
            </w:r>
          </w:p>
        </w:tc>
        <w:tc>
          <w:tcPr>
            <w:tcW w:w="580" w:type="dxa"/>
            <w:vAlign w:val="bottom"/>
          </w:tcPr>
          <w:p>
            <w:pPr>
              <w:spacing w:after="0"/>
              <w:rPr>
                <w:sz w:val="14"/>
                <w:szCs w:val="14"/>
                <w:color w:val="auto"/>
              </w:rPr>
            </w:pPr>
          </w:p>
        </w:tc>
        <w:tc>
          <w:tcPr>
            <w:tcW w:w="880" w:type="dxa"/>
            <w:vAlign w:val="bottom"/>
          </w:tcPr>
          <w:p>
            <w:pPr>
              <w:jc w:val="right"/>
              <w:ind w:right="474"/>
              <w:spacing w:after="0"/>
              <w:rPr>
                <w:sz w:val="20"/>
                <w:szCs w:val="20"/>
                <w:color w:val="auto"/>
              </w:rPr>
            </w:pPr>
            <w:r>
              <w:rPr>
                <w:rFonts w:ascii="Arial" w:cs="Arial" w:eastAsia="Arial" w:hAnsi="Arial"/>
                <w:sz w:val="14"/>
                <w:szCs w:val="14"/>
                <w:b w:val="1"/>
                <w:bCs w:val="1"/>
                <w:color w:val="auto"/>
                <w:w w:val="96"/>
              </w:rPr>
              <w:t>2011</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(Decr)</w:t>
            </w:r>
          </w:p>
        </w:tc>
      </w:tr>
      <w:tr>
        <w:trPr>
          <w:trHeight w:val="156"/>
        </w:trPr>
        <w:tc>
          <w:tcPr>
            <w:tcW w:w="3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2"/>
              </w:rPr>
              <w:t>($ in billions)</w:t>
            </w:r>
          </w:p>
        </w:tc>
        <w:tc>
          <w:tcPr>
            <w:tcW w:w="5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Global:</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547</w:t>
            </w:r>
          </w:p>
        </w:tc>
        <w:tc>
          <w:tcPr>
            <w:tcW w:w="12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1,850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3800" w:type="dxa"/>
            <w:vAlign w:val="bottom"/>
          </w:tcPr>
          <w:p>
            <w:pPr>
              <w:ind w:left="880"/>
              <w:spacing w:after="0"/>
              <w:rPr>
                <w:sz w:val="20"/>
                <w:szCs w:val="20"/>
                <w:color w:val="auto"/>
              </w:rPr>
            </w:pPr>
            <w:r>
              <w:rPr>
                <w:rFonts w:ascii="Arial" w:cs="Arial" w:eastAsia="Arial" w:hAnsi="Arial"/>
                <w:sz w:val="18"/>
                <w:szCs w:val="18"/>
                <w:color w:val="auto"/>
              </w:rPr>
              <w:t>Number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6,396</w:t>
            </w:r>
          </w:p>
        </w:tc>
        <w:tc>
          <w:tcPr>
            <w:tcW w:w="620" w:type="dxa"/>
            <w:vAlign w:val="bottom"/>
          </w:tcPr>
          <w:p>
            <w:pPr>
              <w:spacing w:after="0"/>
              <w:rPr>
                <w:sz w:val="18"/>
                <w:szCs w:val="18"/>
                <w:color w:val="auto"/>
              </w:rPr>
            </w:pPr>
          </w:p>
        </w:tc>
        <w:tc>
          <w:tcPr>
            <w:tcW w:w="840" w:type="dxa"/>
            <w:vAlign w:val="bottom"/>
          </w:tcPr>
          <w:p>
            <w:pPr>
              <w:jc w:val="right"/>
              <w:ind w:right="354"/>
              <w:spacing w:after="0"/>
              <w:rPr>
                <w:sz w:val="20"/>
                <w:szCs w:val="20"/>
                <w:color w:val="auto"/>
              </w:rPr>
            </w:pPr>
            <w:r>
              <w:rPr>
                <w:rFonts w:ascii="Arial" w:cs="Arial" w:eastAsia="Arial" w:hAnsi="Arial"/>
                <w:sz w:val="18"/>
                <w:szCs w:val="18"/>
                <w:color w:val="auto"/>
                <w:w w:val="84"/>
              </w:rPr>
              <w:t>7,633</w:t>
            </w:r>
          </w:p>
        </w:tc>
        <w:tc>
          <w:tcPr>
            <w:tcW w:w="1240" w:type="dxa"/>
            <w:vAlign w:val="bottom"/>
            <w:gridSpan w:val="2"/>
          </w:tcPr>
          <w:p>
            <w:pPr>
              <w:jc w:val="right"/>
              <w:ind w:right="45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w w:val="83"/>
              </w:rPr>
              <w:t>20,494</w:t>
            </w:r>
          </w:p>
        </w:tc>
        <w:tc>
          <w:tcPr>
            <w:tcW w:w="580" w:type="dxa"/>
            <w:vAlign w:val="bottom"/>
          </w:tcPr>
          <w:p>
            <w:pPr>
              <w:spacing w:after="0"/>
              <w:rPr>
                <w:sz w:val="18"/>
                <w:szCs w:val="18"/>
                <w:color w:val="auto"/>
              </w:rPr>
            </w:pPr>
          </w:p>
        </w:tc>
        <w:tc>
          <w:tcPr>
            <w:tcW w:w="880" w:type="dxa"/>
            <w:vAlign w:val="bottom"/>
          </w:tcPr>
          <w:p>
            <w:pPr>
              <w:jc w:val="right"/>
              <w:ind w:right="314"/>
              <w:spacing w:after="0"/>
              <w:rPr>
                <w:sz w:val="20"/>
                <w:szCs w:val="20"/>
                <w:color w:val="auto"/>
              </w:rPr>
            </w:pPr>
            <w:r>
              <w:rPr>
                <w:rFonts w:ascii="Arial" w:cs="Arial" w:eastAsia="Arial" w:hAnsi="Arial"/>
                <w:sz w:val="18"/>
                <w:szCs w:val="18"/>
                <w:color w:val="auto"/>
                <w:w w:val="83"/>
              </w:rPr>
              <w:t>23,704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800" w:type="dxa"/>
            <w:vAlign w:val="bottom"/>
          </w:tcPr>
          <w:p>
            <w:pPr>
              <w:ind w:left="880"/>
              <w:spacing w:after="0"/>
              <w:rPr>
                <w:sz w:val="20"/>
                <w:szCs w:val="20"/>
                <w:color w:val="auto"/>
              </w:rPr>
            </w:pPr>
            <w:r>
              <w:rPr>
                <w:rFonts w:ascii="Arial" w:cs="Arial" w:eastAsia="Arial" w:hAnsi="Arial"/>
                <w:sz w:val="18"/>
                <w:szCs w:val="18"/>
                <w:color w:val="auto"/>
              </w:rPr>
              <w:t>Value</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4"/>
              <w:spacing w:after="0"/>
              <w:rPr>
                <w:sz w:val="20"/>
                <w:szCs w:val="20"/>
                <w:color w:val="auto"/>
              </w:rPr>
            </w:pPr>
            <w:r>
              <w:rPr>
                <w:rFonts w:ascii="Arial" w:cs="Arial" w:eastAsia="Arial" w:hAnsi="Arial"/>
                <w:sz w:val="18"/>
                <w:szCs w:val="18"/>
                <w:color w:val="auto"/>
              </w:rPr>
              <w:t>53</w:t>
            </w:r>
          </w:p>
        </w:tc>
        <w:tc>
          <w:tcPr>
            <w:tcW w:w="1240" w:type="dxa"/>
            <w:vAlign w:val="bottom"/>
            <w:gridSpan w:val="2"/>
          </w:tcPr>
          <w:p>
            <w:pPr>
              <w:jc w:val="right"/>
              <w:ind w:right="452"/>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159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3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352</w:t>
            </w:r>
          </w:p>
        </w:tc>
        <w:tc>
          <w:tcPr>
            <w:tcW w:w="12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839</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998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800" w:type="dxa"/>
            <w:vAlign w:val="bottom"/>
          </w:tcPr>
          <w:p>
            <w:pPr>
              <w:ind w:left="880"/>
              <w:spacing w:after="0"/>
              <w:rPr>
                <w:sz w:val="20"/>
                <w:szCs w:val="20"/>
                <w:color w:val="auto"/>
              </w:rPr>
            </w:pPr>
            <w:r>
              <w:rPr>
                <w:rFonts w:ascii="Arial" w:cs="Arial" w:eastAsia="Arial" w:hAnsi="Arial"/>
                <w:sz w:val="18"/>
                <w:szCs w:val="18"/>
                <w:color w:val="auto"/>
              </w:rPr>
              <w:t>Value</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554</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4"/>
              <w:spacing w:after="0"/>
              <w:rPr>
                <w:sz w:val="20"/>
                <w:szCs w:val="20"/>
                <w:color w:val="auto"/>
              </w:rPr>
            </w:pPr>
            <w:r>
              <w:rPr>
                <w:rFonts w:ascii="Arial" w:cs="Arial" w:eastAsia="Arial" w:hAnsi="Arial"/>
                <w:sz w:val="18"/>
                <w:szCs w:val="18"/>
                <w:color w:val="auto"/>
              </w:rPr>
              <w:t>552</w:t>
            </w: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1,648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1,917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3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8,763</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84"/>
              </w:rPr>
              <w:t>9,968</w:t>
            </w:r>
          </w:p>
        </w:tc>
        <w:tc>
          <w:tcPr>
            <w:tcW w:w="12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3"/>
              </w:rPr>
              <w:t>27,320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3"/>
              </w:rPr>
              <w:t>31,309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40</w:t>
            </w:r>
          </w:p>
        </w:tc>
        <w:tc>
          <w:tcPr>
            <w:tcW w:w="12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139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24 %</w:t>
            </w:r>
          </w:p>
        </w:tc>
      </w:tr>
      <w:tr>
        <w:trPr>
          <w:trHeight w:val="222"/>
        </w:trPr>
        <w:tc>
          <w:tcPr>
            <w:tcW w:w="3800" w:type="dxa"/>
            <w:vAlign w:val="bottom"/>
          </w:tcPr>
          <w:p>
            <w:pPr>
              <w:ind w:left="880"/>
              <w:spacing w:after="0"/>
              <w:rPr>
                <w:sz w:val="20"/>
                <w:szCs w:val="20"/>
                <w:color w:val="auto"/>
              </w:rPr>
            </w:pPr>
            <w:r>
              <w:rPr>
                <w:rFonts w:ascii="Arial" w:cs="Arial" w:eastAsia="Arial" w:hAnsi="Arial"/>
                <w:sz w:val="18"/>
                <w:szCs w:val="18"/>
                <w:color w:val="auto"/>
              </w:rPr>
              <w:t>Number</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19"/>
                <w:szCs w:val="19"/>
                <w:color w:val="auto"/>
              </w:rPr>
            </w:pPr>
          </w:p>
        </w:tc>
        <w:tc>
          <w:tcPr>
            <w:tcW w:w="840" w:type="dxa"/>
            <w:vAlign w:val="bottom"/>
          </w:tcPr>
          <w:p>
            <w:pPr>
              <w:jc w:val="right"/>
              <w:ind w:right="354"/>
              <w:spacing w:after="0"/>
              <w:rPr>
                <w:sz w:val="20"/>
                <w:szCs w:val="20"/>
                <w:color w:val="auto"/>
              </w:rPr>
            </w:pPr>
            <w:r>
              <w:rPr>
                <w:rFonts w:ascii="Arial" w:cs="Arial" w:eastAsia="Arial" w:hAnsi="Arial"/>
                <w:sz w:val="18"/>
                <w:szCs w:val="18"/>
                <w:color w:val="auto"/>
              </w:rPr>
              <w:t>388</w:t>
            </w:r>
          </w:p>
        </w:tc>
        <w:tc>
          <w:tcPr>
            <w:tcW w:w="1240" w:type="dxa"/>
            <w:vAlign w:val="bottom"/>
            <w:gridSpan w:val="2"/>
          </w:tcPr>
          <w:p>
            <w:pPr>
              <w:jc w:val="right"/>
              <w:ind w:right="4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994</w:t>
            </w:r>
          </w:p>
        </w:tc>
        <w:tc>
          <w:tcPr>
            <w:tcW w:w="580" w:type="dxa"/>
            <w:vAlign w:val="bottom"/>
          </w:tcPr>
          <w:p>
            <w:pPr>
              <w:spacing w:after="0"/>
              <w:rPr>
                <w:sz w:val="19"/>
                <w:szCs w:val="19"/>
                <w:color w:val="auto"/>
              </w:rPr>
            </w:pP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1,159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Source:Thomson Reuters as of October 24, 2012.</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Global restructuring activity during the first nine months of 2012, as measured by the value of debt defaults, decreased from the corresponding period in 2011. However, the number of issuers defaulting increased to 46 in the nine month period of 2012, according to Moody’s Investors Service, Inc., as compared to 17 in the corresponding period of 2011, with approximately one-half of such activity occurring in the first quarter of each respective year. Our Restructuring activities include advising companies on matters relating to debt restructurings, refinancings and other on- and off-balance sheet assignments, and our assignments are generally executed over a six- to eighteen-month period.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Fees related to our Sovereign Advisory activities are included in M&amp;A and Strategic Advisory revenue.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shown in the table below, major equity market indices at September 30, 2012 generally increased when compared to such indices at September 30, 2011, December 31, 2011 and June 30,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Percentage Changes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September 30, 2012 vs.</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140" w:type="dxa"/>
            <w:vAlign w:val="bottom"/>
          </w:tcPr>
          <w:p>
            <w:pPr>
              <w:spacing w:after="0"/>
              <w:rPr>
                <w:sz w:val="11"/>
                <w:szCs w:val="11"/>
                <w:color w:val="auto"/>
              </w:rPr>
            </w:pPr>
          </w:p>
        </w:tc>
        <w:tc>
          <w:tcPr>
            <w:tcW w:w="106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1"/>
                <w:szCs w:val="11"/>
                <w:color w:val="auto"/>
              </w:rPr>
            </w:pPr>
          </w:p>
        </w:tc>
        <w:tc>
          <w:tcPr>
            <w:tcW w:w="1800" w:type="dxa"/>
            <w:vAlign w:val="bottom"/>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1"/>
                <w:szCs w:val="11"/>
                <w:color w:val="auto"/>
              </w:rPr>
            </w:pPr>
          </w:p>
        </w:tc>
      </w:tr>
      <w:tr>
        <w:trPr>
          <w:trHeight w:val="161"/>
        </w:trPr>
        <w:tc>
          <w:tcPr>
            <w:tcW w:w="51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2011</w:t>
            </w:r>
          </w:p>
        </w:tc>
        <w:tc>
          <w:tcPr>
            <w:tcW w:w="10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r>
      <w:tr>
        <w:trPr>
          <w:trHeight w:val="210"/>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CAC 40</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23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FTSE 100</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23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MSCI Emerging Market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23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NASDAQ</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23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bl>
    <w:p>
      <w:pPr>
        <w:spacing w:after="0" w:line="15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product mix. Accordingly, market movements, foreign currency volatility and changes in our AUM product mix will impact the level of revenues we receive from our Asset Management business. A substantial portion of our AUM is invested in equities, and market movements reflected in the changes in Lazard’s AUM during the period generally reflect the changes in global market indices. While our AUM at September 30, 2012 increased 14% versus AUM at December 31, 2011 (primarily reflecting market appreciation), our average AUM for the third quarter of 2012 increased 5% as compared to the corresponding period of 2011, and, for the nine month period of 2012, decreased 0.4% as compared to our average AUM for the corresponding period of 2011. The changes in the levels of average AUM, as well as the AUM product mix, contributed to the changes in management fee revenue in the 2012 periods when compared to the corresponding periods in 2011.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2012 Cost Saving Initiatives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October 25, 2012, we announced a number of cost saving initiatives to reduce our expenses. These initiatives include streamlining our corporate structure and consolidating support functions; realigning our investments into areas with potential for the greatest long-term return; and creating greater flexibility to retain and attract the best people and invest in new growth areas. We expect these initiatives will result in improved profitability with minimal impact on revenue growth. Our objective is for the majority of these initiatives to be completed in the fourth quarter of 2012, and to result in approximately $125 million in annual expense savings. We expect at least two-thirds of the expense savings to be realized in 2013, and we expect the full impact of the expense savings to be realized in 2014. Approximately $85 million of the expense savings relates to compensation expense and approximately $40 million relates to non-compensation expense. We expect pre-tax implementation expenses to range between $110 million and $130 million and to primarily consist of compensation expense. We expect to recognize a significant majority of these expenses in the fourth quarter of 2012 and the remainder in the first half of 2013. Approximately 75% of the implementation expenses are expected to be paid in cash.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4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institutional and private clients. As noted above, the main driver of Asset Management net revenue is the level and product mix of AUM, which is generally influenced by the performance of the global equity markets and, to a lesser extent, fixed income markets and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and product mix of AUM measured daily, monthly or quarterly, and an increase or reduction in AUM, due to market price fluctuations, currency fluctuations, changes in product mix,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2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These incentive fees received at the end of the measurement period are not subject to reversal or payback. Incentive fees on hedge funds generally are subject to loss carryforward provisions in which losses incurred by the hedge funds in any year are applied against certain future period net appreciation before any incentive fees can be earned.</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in LAM equity and fixed income funds, principal investments in equities and alternative asset management funds and “equity method” investments, as well as gains and losses on the extinguishment of debt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Although Corporate segment net revenue during the first nine months of 2012 represented (3)% of Lazard’s net revenue, total assets in the Corporate segment represented 58% of Lazard’s consolidated total assets as of September 30, 2012, which is attributable to investments in government bonds and money market funds, fixed income funds, alternative asset management funds and other securities, private equity investments, cash and LFB’s assets.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(see Note 13 of Notes to Condensed Consolidated Financial Statements) including (a) share-based incentive compensation under the Lazard Ltd 2005 Equity Incentive Plan (the “2005 Plan”) and the Lazard Ltd 2008 Incentive Compensation Plan (the “2008 Plan”) and (b) Lazard Fund Interests awards and other similar deferred compensation arrangements (see Note 13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operating and financial performance, staffing levels, competitive pay conditions and the nature of revenues earned, as well as the mix between current and deferred compensation.</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the ratio of “adjusted compensation and benefits expense” to “operating revenue,” see the table under “Consolidated Results of Operations” below.</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grant date fair value of deferred incentive awards granted in 2012, 2011 and 2010 related to the 2011, 2010 and 2009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deferred compensation. Based on a similar mix of revenues from our business as today and a gradual improvement in the macroeconomic environment, we believe that over the cycle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can attain a ratio of awarded compensation and benefits expense to operating revenue in the mid-to-high-50s percentage range, which compares to 61.7% for the year ended December 31, 2011. While we have begun to implement initiatives, including the cost saving initiatives announced in October 2012 (see “October 2012 Cost Saving Initiatives” above and Note 20 of Notes to Condensed Consolidated Financial Statements), that we believe will assist us in achieving a ratio within this range, there can be no guarantee that such a ratio will be achieved or that our policies or initiatives will not change in the future. We may benefit from pressure on compensation costs within the financial services industry in future periods, but increased competition for senior professionals, changes in the macroeconomic environment or the financial markets generally, lower operating revenue, changes in the mix of revenues from our businesses or various other factors could prevent us from achieving this goal.</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and amortization of intangible assets related to acquisitions. Amortization of intangible assets relates primarily to the acquisition of Edgewater.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non-U.S. entities and to New York City Unincorporated Business Tax (“UBT”) attributable to Lazard’s operations apportioned to New York City.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Noncontrolling interests primarily relate to the amount attributable to LAZ-MD Holdings’ ownership interest in the net income of Lazard Group and amounts related to Edgewater’s management vehicles that the Company is deemed to control but not own. See Note 12 of Notes to Condensed Consolidated Financial Statements for information regarding the Company’s noncontrolling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93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80" w:type="dxa"/>
            <w:vAlign w:val="bottom"/>
            <w:gridSpan w:val="5"/>
          </w:tcPr>
          <w:p>
            <w:pPr>
              <w:jc w:val="right"/>
              <w:ind w:right="1492"/>
              <w:spacing w:after="0"/>
              <w:rPr>
                <w:sz w:val="20"/>
                <w:szCs w:val="20"/>
                <w:color w:val="auto"/>
              </w:rPr>
            </w:pPr>
            <w:r>
              <w:rPr>
                <w:rFonts w:ascii="Arial" w:cs="Arial" w:eastAsia="Arial" w:hAnsi="Arial"/>
                <w:sz w:val="14"/>
                <w:szCs w:val="14"/>
                <w:b w:val="1"/>
                <w:bCs w:val="1"/>
                <w:color w:val="auto"/>
                <w:w w:val="92"/>
              </w:rPr>
              <w:t>($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4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428,806</w:t>
            </w:r>
          </w:p>
        </w:tc>
        <w:tc>
          <w:tcPr>
            <w:tcW w:w="8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462,419</w:t>
            </w: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1,351,755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1,377,734</w:t>
            </w:r>
          </w:p>
        </w:tc>
        <w:tc>
          <w:tcPr>
            <w:tcW w:w="0" w:type="dxa"/>
            <w:vAlign w:val="bottom"/>
          </w:tcPr>
          <w:p>
            <w:pPr>
              <w:spacing w:after="0"/>
              <w:rPr>
                <w:sz w:val="1"/>
                <w:szCs w:val="1"/>
                <w:color w:val="auto"/>
              </w:rPr>
            </w:pPr>
          </w:p>
        </w:tc>
      </w:tr>
      <w:tr>
        <w:trPr>
          <w:trHeight w:val="303"/>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283,818</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273,532</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905,527</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95,768</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99,433</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310,974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382,080</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374,681</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1,222,673</w:t>
            </w:r>
          </w:p>
        </w:tc>
        <w:tc>
          <w:tcPr>
            <w:tcW w:w="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1,127,348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87,738</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13,053</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20,605</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32,191</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33,673</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67,133</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33,301</w:t>
            </w:r>
          </w:p>
        </w:tc>
        <w:tc>
          <w:tcPr>
            <w:tcW w:w="8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62,699</w:t>
            </w: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89,674</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179,710</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52"/>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12"/>
              <w:spacing w:after="0"/>
              <w:rPr>
                <w:sz w:val="20"/>
                <w:szCs w:val="20"/>
                <w:color w:val="auto"/>
              </w:rPr>
            </w:pPr>
            <w:r>
              <w:rPr>
                <w:rFonts w:ascii="Arial" w:cs="Arial" w:eastAsia="Arial" w:hAnsi="Arial"/>
                <w:sz w:val="18"/>
                <w:szCs w:val="18"/>
                <w:color w:val="auto"/>
              </w:rPr>
              <w:t>19.0%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67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include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3"/>
                <w:szCs w:val="13"/>
                <w:color w:val="auto"/>
              </w:rPr>
            </w:pPr>
          </w:p>
        </w:tc>
        <w:tc>
          <w:tcPr>
            <w:tcW w:w="21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1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4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5"/>
          </w:tcPr>
          <w:p>
            <w:pPr>
              <w:jc w:val="right"/>
              <w:ind w:right="880"/>
              <w:spacing w:after="0" w:line="155" w:lineRule="exact"/>
              <w:rPr>
                <w:sz w:val="20"/>
                <w:szCs w:val="20"/>
                <w:color w:val="auto"/>
              </w:rPr>
            </w:pPr>
            <w:r>
              <w:rPr>
                <w:rFonts w:ascii="Arial" w:cs="Arial" w:eastAsia="Arial" w:hAnsi="Arial"/>
                <w:sz w:val="14"/>
                <w:szCs w:val="14"/>
                <w:b w:val="1"/>
                <w:bCs w:val="1"/>
                <w:color w:val="auto"/>
              </w:rPr>
              <w:t>($ in thousands)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$449,464</w:t>
            </w:r>
          </w:p>
        </w:tc>
        <w:tc>
          <w:tcPr>
            <w:tcW w:w="2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$484,583</w:t>
            </w:r>
          </w:p>
        </w:tc>
        <w:tc>
          <w:tcPr>
            <w:tcW w:w="98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$1,413,156</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$1,446,529</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(778)</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(1,207)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(3,057)</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(10,141)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Gain on the repurchase of subordinated promissory note (c)</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(18,171)</w:t>
            </w:r>
          </w:p>
        </w:tc>
        <w:tc>
          <w:tcPr>
            <w:tcW w:w="2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(18,171)</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losses on investments pertaining to Lazard Fund Interests (d)</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3,961</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(4,639)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$ 443,211</w:t>
            </w:r>
          </w:p>
        </w:tc>
        <w:tc>
          <w:tcPr>
            <w:tcW w:w="26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466,538</w:t>
            </w:r>
          </w:p>
        </w:tc>
        <w:tc>
          <w:tcPr>
            <w:tcW w:w="980" w:type="dxa"/>
            <w:vAlign w:val="bottom"/>
            <w:gridSpan w:val="2"/>
          </w:tcPr>
          <w:p>
            <w:pPr>
              <w:jc w:val="center"/>
              <w:ind w:left="11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1,397,169</w:t>
            </w: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1,415,162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expense incurred by LFB is reported as a charge in determining operating revenue because LFB is a commercial bank and we consider its interest expense to be a cost directly related to the revenues of its business.</w:t>
      </w: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Revenue related to the consolidation of noncontrolling interests is excluded because the Company has no economic interest in such amount.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Gain related to the repurchase of the Company’s subordinated promissory note is excluded because of the non-operating nature of such transaction.</w:t>
      </w:r>
    </w:p>
    <w:p>
      <w:pPr>
        <w:spacing w:after="0" w:line="38" w:lineRule="exact"/>
        <w:rPr>
          <w:rFonts w:ascii="Arial" w:cs="Arial" w:eastAsia="Arial" w:hAnsi="Arial"/>
          <w:sz w:val="16"/>
          <w:szCs w:val="16"/>
          <w:color w:val="auto"/>
        </w:rPr>
      </w:pPr>
    </w:p>
    <w:p>
      <w:pPr>
        <w:ind w:left="460" w:right="580" w:hanging="452"/>
        <w:spacing w:after="0" w:line="361"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benefits expense, are excluded.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8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September 30,</w:t>
            </w:r>
          </w:p>
        </w:tc>
        <w:tc>
          <w:tcPr>
            <w:tcW w:w="21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tcPr>
          <w:p>
            <w:pPr>
              <w:jc w:val="right"/>
              <w:ind w:right="114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$283,818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$273,532</w:t>
            </w: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$905,527</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$ 830,011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(1,020)</w:t>
            </w: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(837)</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(3,110)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(Charges) credits pertaining to Lazard Fund Interests (b)</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(4,639)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Costs related to staff reductions (c)</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(21,754)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278,070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276,656</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876,024</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831,223</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3"/>
            <w:vMerge w:val="continue"/>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59.3%</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20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 in the fair value of the underlying investments, which are excluded from operating revenue.</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Severance costs and benefit payments associated with staff reductions, including the acceleration of unrecognized amortization expense of deferred incentive compensation previously granted to individuals being terminated, are excluded to enhance comparability of adjusted compensation and benefits expense relative to operating revenue between present, historical and future periods.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3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3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1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20" w:type="dxa"/>
            <w:vAlign w:val="bottom"/>
            <w:gridSpan w:val="4"/>
          </w:tcPr>
          <w:p>
            <w:pPr>
              <w:jc w:val="right"/>
              <w:ind w:right="102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$95,768</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$99,433</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$310,974</w:t>
            </w:r>
          </w:p>
        </w:tc>
        <w:tc>
          <w:tcPr>
            <w:tcW w:w="5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$292,441</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(655)</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(780)</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(1,954)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Costs related to staff reductions (b)</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(2,905)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2"/>
            <w:vMerge w:val="continue"/>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95,113</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98,653</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306,115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291,003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Non-compensation costs associated with staff reductions are excluded to enhance comparability of adjusted non-compensation expense relative to operating revenue between present, historical and future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1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13"/>
          </w:tcPr>
          <w:p>
            <w:pPr>
              <w:ind w:left="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13"/>
          </w:tcPr>
          <w:p>
            <w:pPr>
              <w:ind w:left="5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11"/>
          </w:tcPr>
          <w:p>
            <w:pPr>
              <w:ind w:left="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center"/>
              <w:ind w:lef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13"/>
          </w:tcPr>
          <w:p>
            <w:pPr>
              <w:ind w:left="2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443,211</w:t>
            </w: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w w:val="95"/>
              </w:rPr>
              <w:t>466,538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5"/>
          </w:tcPr>
          <w:p>
            <w:pPr>
              <w:jc w:val="right"/>
              <w:ind w:right="242"/>
              <w:spacing w:after="0"/>
              <w:rPr>
                <w:sz w:val="20"/>
                <w:szCs w:val="20"/>
                <w:color w:val="auto"/>
              </w:rPr>
            </w:pPr>
            <w:r>
              <w:rPr>
                <w:rFonts w:ascii="Arial" w:cs="Arial" w:eastAsia="Arial" w:hAnsi="Arial"/>
                <w:sz w:val="18"/>
                <w:szCs w:val="18"/>
                <w:color w:val="auto"/>
                <w:w w:val="84"/>
              </w:rPr>
              <w:t>1,397,169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5"/>
          </w:tcPr>
          <w:p>
            <w:pPr>
              <w:jc w:val="right"/>
              <w:ind w:right="180"/>
              <w:spacing w:after="0"/>
              <w:rPr>
                <w:sz w:val="20"/>
                <w:szCs w:val="20"/>
                <w:color w:val="auto"/>
              </w:rPr>
            </w:pPr>
            <w:r>
              <w:rPr>
                <w:rFonts w:ascii="Arial" w:cs="Arial" w:eastAsia="Arial" w:hAnsi="Arial"/>
                <w:sz w:val="18"/>
                <w:szCs w:val="18"/>
                <w:color w:val="auto"/>
                <w:w w:val="84"/>
              </w:rPr>
              <w:t>1,415,162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(278,070)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8"/>
                <w:szCs w:val="18"/>
                <w:color w:val="auto"/>
                <w:w w:val="88"/>
              </w:rPr>
              <w:t>(276,656)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5"/>
          </w:tcPr>
          <w:p>
            <w:pPr>
              <w:jc w:val="right"/>
              <w:ind w:right="182"/>
              <w:spacing w:after="0"/>
              <w:rPr>
                <w:sz w:val="20"/>
                <w:szCs w:val="20"/>
                <w:color w:val="auto"/>
              </w:rPr>
            </w:pPr>
            <w:r>
              <w:rPr>
                <w:rFonts w:ascii="Arial" w:cs="Arial" w:eastAsia="Arial" w:hAnsi="Arial"/>
                <w:sz w:val="18"/>
                <w:szCs w:val="18"/>
                <w:color w:val="auto"/>
                <w:w w:val="95"/>
              </w:rPr>
              <w:t>(876,024)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5"/>
          </w:tcPr>
          <w:p>
            <w:pPr>
              <w:jc w:val="right"/>
              <w:ind w:right="120"/>
              <w:spacing w:after="0"/>
              <w:rPr>
                <w:sz w:val="20"/>
                <w:szCs w:val="20"/>
                <w:color w:val="auto"/>
              </w:rPr>
            </w:pPr>
            <w:r>
              <w:rPr>
                <w:rFonts w:ascii="Arial" w:cs="Arial" w:eastAsia="Arial" w:hAnsi="Arial"/>
                <w:sz w:val="18"/>
                <w:szCs w:val="18"/>
                <w:color w:val="auto"/>
                <w:w w:val="95"/>
              </w:rPr>
              <w:t>(831,223)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(98,653)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82"/>
              <w:spacing w:after="0"/>
              <w:rPr>
                <w:sz w:val="20"/>
                <w:szCs w:val="20"/>
                <w:color w:val="auto"/>
              </w:rPr>
            </w:pPr>
            <w:r>
              <w:rPr>
                <w:rFonts w:ascii="Arial" w:cs="Arial" w:eastAsia="Arial" w:hAnsi="Arial"/>
                <w:sz w:val="18"/>
                <w:szCs w:val="18"/>
                <w:color w:val="auto"/>
                <w:w w:val="95"/>
              </w:rPr>
              <w:t>(306,115)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5"/>
              </w:rPr>
              <w:t>(291,003)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70,028</w:t>
            </w:r>
          </w:p>
        </w:tc>
        <w:tc>
          <w:tcPr>
            <w:tcW w:w="18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91,229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5"/>
          </w:tcPr>
          <w:p>
            <w:pPr>
              <w:jc w:val="right"/>
              <w:ind w:right="242"/>
              <w:spacing w:after="0"/>
              <w:rPr>
                <w:sz w:val="20"/>
                <w:szCs w:val="20"/>
                <w:color w:val="auto"/>
              </w:rPr>
            </w:pPr>
            <w:r>
              <w:rPr>
                <w:rFonts w:ascii="Arial" w:cs="Arial" w:eastAsia="Arial" w:hAnsi="Arial"/>
                <w:sz w:val="18"/>
                <w:szCs w:val="18"/>
                <w:color w:val="auto"/>
              </w:rPr>
              <w:t>215,030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5"/>
          </w:tcPr>
          <w:p>
            <w:pPr>
              <w:jc w:val="right"/>
              <w:ind w:right="180"/>
              <w:spacing w:after="0"/>
              <w:rPr>
                <w:sz w:val="20"/>
                <w:szCs w:val="20"/>
                <w:color w:val="auto"/>
              </w:rPr>
            </w:pPr>
            <w:r>
              <w:rPr>
                <w:rFonts w:ascii="Arial" w:cs="Arial" w:eastAsia="Arial" w:hAnsi="Arial"/>
                <w:sz w:val="18"/>
                <w:szCs w:val="18"/>
                <w:color w:val="auto"/>
              </w:rPr>
              <w:t>292,936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82"/>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460"/>
              <w:spacing w:after="0"/>
              <w:rPr>
                <w:sz w:val="20"/>
                <w:szCs w:val="20"/>
                <w:color w:val="auto"/>
              </w:rPr>
            </w:pPr>
            <w:r>
              <w:rPr>
                <w:rFonts w:ascii="Arial" w:cs="Arial" w:eastAsia="Arial" w:hAnsi="Arial"/>
                <w:sz w:val="18"/>
                <w:szCs w:val="18"/>
                <w:color w:val="auto"/>
                <w:w w:val="98"/>
              </w:rPr>
              <w:t>Certain additional key ratios and headcount information are set forth below:</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10"/>
          </w:tcPr>
          <w:p>
            <w:pPr>
              <w:jc w:val="center"/>
              <w:ind w:right="3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10"/>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7"/>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gridSpan w:val="3"/>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200" w:type="dxa"/>
            <w:vAlign w:val="bottom"/>
            <w:gridSpan w:val="7"/>
          </w:tcPr>
          <w:p>
            <w:pPr>
              <w:jc w:val="right"/>
              <w:ind w:right="14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5"/>
          </w:tcPr>
          <w:p>
            <w:pPr>
              <w:jc w:val="right"/>
              <w:ind w:right="2"/>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0" w:type="dxa"/>
            <w:vAlign w:val="bottom"/>
            <w:gridSpan w:val="7"/>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5"/>
          </w:tcPr>
          <w:p>
            <w:pPr>
              <w:jc w:val="right"/>
              <w:ind w:right="2"/>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gridSpan w:val="5"/>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ind w:left="220"/>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780" w:type="dxa"/>
            <w:vAlign w:val="bottom"/>
            <w:gridSpan w:val="5"/>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8"/>
              </w:rPr>
              <w:t>100%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4"/>
          </w:tcPr>
          <w:p>
            <w:pPr>
              <w:jc w:val="right"/>
              <w:ind w:right="20"/>
              <w:spacing w:after="0" w:line="129" w:lineRule="exact"/>
              <w:rPr>
                <w:sz w:val="20"/>
                <w:szCs w:val="20"/>
                <w:color w:val="auto"/>
              </w:rPr>
            </w:pPr>
            <w:r>
              <w:rPr>
                <w:rFonts w:ascii="Arial" w:cs="Arial" w:eastAsia="Arial" w:hAnsi="Arial"/>
                <w:sz w:val="14"/>
                <w:szCs w:val="14"/>
                <w:b w:val="1"/>
                <w:bCs w:val="1"/>
                <w:color w:val="auto"/>
                <w:w w:val="85"/>
              </w:rPr>
              <w:t>September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7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5"/>
          </w:tcPr>
          <w:p>
            <w:pPr>
              <w:jc w:val="right"/>
              <w:ind w:right="182"/>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6"/>
          </w:tcPr>
          <w:p>
            <w:pPr>
              <w:jc w:val="right"/>
              <w:ind w:right="32"/>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5"/>
          </w:tcPr>
          <w:p>
            <w:pPr>
              <w:jc w:val="right"/>
              <w:ind w:right="2"/>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32"/>
              <w:spacing w:after="0"/>
              <w:rPr>
                <w:sz w:val="20"/>
                <w:szCs w:val="20"/>
                <w:color w:val="auto"/>
              </w:rPr>
            </w:pPr>
            <w:r>
              <w:rPr>
                <w:rFonts w:ascii="Arial" w:cs="Arial" w:eastAsia="Arial" w:hAnsi="Arial"/>
                <w:sz w:val="18"/>
                <w:szCs w:val="18"/>
                <w:color w:val="auto"/>
              </w:rPr>
              <w:t>1,140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
              <w:spacing w:after="0"/>
              <w:rPr>
                <w:sz w:val="20"/>
                <w:szCs w:val="20"/>
                <w:color w:val="auto"/>
              </w:rPr>
            </w:pPr>
            <w:r>
              <w:rPr>
                <w:rFonts w:ascii="Arial" w:cs="Arial" w:eastAsia="Arial" w:hAnsi="Arial"/>
                <w:sz w:val="18"/>
                <w:szCs w:val="18"/>
                <w:color w:val="auto"/>
              </w:rPr>
              <w:t>1,092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52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8"/>
                <w:szCs w:val="18"/>
                <w:color w:val="auto"/>
                <w:w w:val="84"/>
              </w:rPr>
              <w:t>1,197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spacing w:after="0"/>
              <w:rPr>
                <w:sz w:val="19"/>
                <w:szCs w:val="19"/>
                <w:color w:val="auto"/>
              </w:rPr>
            </w:pPr>
          </w:p>
        </w:tc>
        <w:tc>
          <w:tcPr>
            <w:tcW w:w="4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w w:val="84"/>
              </w:rPr>
              <w:t>1,197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88"/>
              </w:rPr>
              <w:t>1,164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32"/>
              <w:spacing w:after="0"/>
              <w:rPr>
                <w:sz w:val="20"/>
                <w:szCs w:val="20"/>
                <w:color w:val="auto"/>
              </w:rPr>
            </w:pPr>
            <w:r>
              <w:rPr>
                <w:rFonts w:ascii="Arial" w:cs="Arial" w:eastAsia="Arial" w:hAnsi="Arial"/>
                <w:sz w:val="18"/>
                <w:szCs w:val="18"/>
                <w:color w:val="auto"/>
              </w:rPr>
              <w:t>2,581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
              <w:spacing w:after="0"/>
              <w:rPr>
                <w:sz w:val="20"/>
                <w:szCs w:val="20"/>
                <w:color w:val="auto"/>
              </w:rPr>
            </w:pPr>
            <w:r>
              <w:rPr>
                <w:rFonts w:ascii="Arial" w:cs="Arial" w:eastAsia="Arial" w:hAnsi="Arial"/>
                <w:sz w:val="18"/>
                <w:szCs w:val="18"/>
                <w:color w:val="auto"/>
              </w:rPr>
              <w:t>2,511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versus September 30, 2011</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the 2012 period of $33 million, as compared to net income of $63 million in the 2011 period. The changes in the Company’s operating results during these periods are described below.</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revenue in the 2012 period decreased $34 million, or 7%, with operating revenue decreasing $23 million, or 5%, respectively, as compared to the 2011 period. Fee revenue from investment banking and other advisory activities decreased $30 million, or 12%, primarily due to a $28 million, or 14%, decline in M&amp;A and Strategic Advisory fee revenue. This decrease primarily resulted from lower average fees for assignments with fees greater than $1 million. Money management fees increased $2 million, or 1%, during the 2012 period primarily due to an $8 billion, or 5%, increase in average AUM, generally reflecting market appreciation, offset by a shift in the product mix of AUM. In the aggregate, interest income, other revenue and interest expense contributed to a decrease in net revenue of $5 million as compared to the corresponding period in 2011, primarily due to an $18 million gain on extinguishment of debt in the 2011 period, and a decrease in referral fees from LFCM Holdings in the 2012 period, with such items partially offset by net investment gains in the 2012 period.</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Compensation and benefits expense increased $10 million, or 4%, in the 2012 period as compared to the corresponding prior year period. Adjusted compensation and benefits expense (which excludes certain items, and which we believe allows for improved comparability between interim periods, as described above) was substantially unchanged when compared to the 2011 period. The ratio of adjusted compensation and benefits expense to operating revenue was 62.7% for the 2012 period, versus 59.3% and 62.0% for the third quarter and full year of 2011, respectively. The ratio in the 2012 period was negatively impacted by higher amortization of deferred incentive compensation awards as described in more detail in the discussion below regarding year-to-date results. Further,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Non-compensation expense in the 2012 period decreased $4 million, or 4%, as compared to the corresponding period in 2011. When excluding non-compensation costs relating to noncontrolling interests, adjusted non-compensation expense in the third quarter of 2012 also decreased $4 million, or 4%, driven primarily by lower professional fees. The ratio of adjusted non-compensation expense to operating revenue was 21.5% in the 2012 period versus 21.1% for the corresponding period in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was substantially unchanged versus the 2011 period.</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income in the 2012 period decreased $41 million, or 47%, as compared to operating income in the 2011 period. Operating income, as a percentage of net revenue, was 10.9% as compared to 19.0% in the 2011 period. Earnings from operations decreased 23% as compared to the 2011 period, and, as a percentage of operating revenue, was 15.8% as compared to 19.6% in the 2011 period.</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provision for income taxes decreased $8 million, or 37%, as compared to the 2011 period, and reflected an effective tax rate of 27.9% versus 23.5% for the 2011 period.</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Net income attributable to noncontrolling interests was $0.3 million and $4 million in the 2012 and 2011 periods, respectively. The decrease of approximately $4 million primarily reflects a lower level of earnings in the 2012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versus September 30, 2011</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the 2012 period of $90 million, as compared to net income of $180 million in the 2011 period. The changes in the Company’s operating results during these periods are described below.</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Net revenue in the 2012 period decreased $26 million, or 2%, with operating revenue decreasing $18 million, or 1%, respectively, as compared to the 2011 period. Fee revenue from investment banking and other advisory activities increased $20 million, or 3%, reflecting increases in M&amp;A and Strategic Advisory fee revenue of $26 million, or 5%, and Restructuring fee revenue of $13 million, or 10%, partially offset by a decrease in Other Advisory fee revenue of $19 million, or 32%. The increase in M&amp;A and Strategic Advisory fee revenue was driven by the strong performance of Lazard Middle Market and the overall breadth and volume of our global M&amp;A and Sovereign Advisory businesses. Higher fees were earned from our top 10 clients during the 2012 period, reflecting the closing of several significant M&amp;A and sovereign and government advisory transactions. Although global corporate restructuring activity continues its industry-wide decline, the increase in Restructuring fee revenue in the 2012 period was driven by an increase in the average fee per assignment, most of which was attributable to the first quarter of 2012. Money management fees decreased $38 million, or 6%, during the 2012 period, due to a $0.5 billion, or 0.4%, decrease in average AUM and a change in the product mix of AUM. In the aggregate, interest income, other revenue and interest expense contributed to a decrease in net revenue of $9 million as compared to the corresponding period in 2011, primarily due to an $18 million gain on extinguishment of debt in the 2011 period and a decrease in referral fees from LFCM Holdings in the 2012 period, with such items partially offset by net investment gains in the 2012 period.</w:t>
      </w:r>
    </w:p>
    <w:p>
      <w:pPr>
        <w:spacing w:after="0" w:line="12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Compensation and benefits expense in the 2012 period increased $76 million, or 9%, compared to the corresponding prior year period, which, in part, reflected a $22 million first quarter 2012 charge associated with staff reductions, representing severance costs and benefit payments, $7 million of which related to the acceleration of unrecognized amortization expense of deferred incentive compensation previously granted to individuals being terminated. Also contributing to the increase was a higher level of amortization of deferred incentive compensation awards and increased salaries and benefits. Adjusted compensation and benefits expense (which excludes certain items, and which we believe allows for improved comparability between interim periods, as described above), increased $45 million, or 5%, when compared to the 2011 period. The ratio of adjusted compensation and benefits expense to operating revenue was</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62.7% for the 2012 period, which compares to 58.7% and 62.0% for the first nine months and full year of 2011, respectively. The ratio of adjusted compensation and benefits expense to operating revenue for the 2012 period assumed, based on current market conditions, a ratio of awarded compensation and benefits expense to operating revenue of approximately 60% for the full year of 2012, as compared to 61.7% for the full year of 2011.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expect that amortization of deferred incentive compensation awards will approximate $339 million for the full year of 2012,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$289 million for the full year of 2011, when excluding a charge of $7 million in the first quarter of 2012, and the impact of the cost saving initiatives announced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October 2012 (see “October 2012 Cost Saving Initiatives” above and Note 20 of Notes to Condensed Consolidated Financial Statements), in each case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they relate to staff reductions. Approximately $41 million, or 82%, of the increased amortization in 2012 is related to the 2008 plan year deferred incentive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awards (the “2008 grant”), approximately $32 million of which was expensed in the first nine months of 2012, representing approximately 2.3%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operating revenue for the period. The 2008 grant had a four year vesting period and is the last grant with a vesting period in excess of three years. Amortization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deferred incentive compensation expense is expected to revert to a lower level after the first quarter of 2013 following the full vesting of the 2008 grant.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Non-compensation expense in the 2012 period increased $19 million, or 6%, as compared to the corresponding period in 2011. Non-compensation expense in the first nine months of 2012 included first quarter charges totaling $3 million associated with the staff reductions. When excluding such charges, as well as non-compensation costs relating to noncontrolling interests, adjusted non-compensation expense in the first nine months of 2012 increased $15 million, or 5%, primarily attributable to (i) higher occupancy costs in the 2012 period as a result of our amended lease and associated build-out costs of our Rockefeller Center facility, (ii) deal-related costs specifically related to transactions that closed in the 2012 period and (iii) investments in technology, with such increased costs partially offset by decreased professional fees and mutual fund servicing fees. The ratio of adjusted non-compensation expense to operating revenue was 21.9% in the 2012 period versus 20.6% for the corresponding period in 2011. We currently estimate that, on a full year basis in 2012 as compared to 2011, our occupancy-related costs associated with the amended lease at our Rockefeller Center facility will increase by approximately $13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$1 million, or 26%, as compared to the 2011 period.</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Operating income in the 2012 period (including the above-mentioned charges relating to staff reductions aggregating $25 million) decreased $121 million, or 48%, as compared to operating income in the 2011 period. Operating income, as a percentage of net revenue, was 9.5%, as compared to 18.2% in the 2011 period. Earnings from operations declined $78 million, or 27%, when compared to the 2011 period, and, as a percentage of operating revenue, was 15.4%, as compared to 20.7% in the 2011 period.</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provision for income taxes decreased $20 million, or 38%, when compared to the 2011 period, and reflected an effective tax rate of 24.9% versus 20.6% for the 2011 period.</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Net income attributable to noncontrolling interests decreased $12 million in the 2012 period, primarily reflecting a lower level of earnings in the 2012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right"/>
              <w:ind w:right="114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$171,417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199,120</w:t>
            </w:r>
          </w:p>
        </w:tc>
        <w:tc>
          <w:tcPr>
            <w:tcW w:w="6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0"/>
              </w:rPr>
              <w:t>$559,411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533,440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Capital Markets and Other Advisory</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14,174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16,316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45,718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76,142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185,591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215,436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605,129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609,582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34,382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38,149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134,664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122,039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Revenue</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219,973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253,585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739,793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731,621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212,449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213,614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693,546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641,397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$ 7,524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46,247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90,224</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3"/>
            <w:vMerge w:val="continue"/>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While the M&amp;A industry data described above on completed and announced transactions reflects decreased M&amp;A activity in the first nine months of 2012 as compared to the corresponding period in 2011, our M&amp;A and Strategic Advisory revenue (which includes Sovereign and Government Advisory revenue) increased 5% in the 2012 nine month period as compared to the 2011 period.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2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19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65</w:t>
            </w:r>
          </w:p>
        </w:tc>
        <w:tc>
          <w:tcPr>
            <w:tcW w:w="8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186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w w:val="79"/>
              </w:rPr>
              <w:t>49</w:t>
            </w:r>
          </w:p>
        </w:tc>
        <w:tc>
          <w:tcPr>
            <w:tcW w:w="820" w:type="dxa"/>
            <w:vAlign w:val="bottom"/>
          </w:tcPr>
          <w:p>
            <w:pPr>
              <w:spacing w:after="0"/>
              <w:rPr>
                <w:sz w:val="18"/>
                <w:szCs w:val="18"/>
                <w:color w:val="auto"/>
              </w:rPr>
            </w:pPr>
          </w:p>
        </w:tc>
        <w:tc>
          <w:tcPr>
            <w:tcW w:w="1300" w:type="dxa"/>
            <w:vAlign w:val="bottom"/>
            <w:gridSpan w:val="2"/>
          </w:tcPr>
          <w:p>
            <w:pPr>
              <w:jc w:val="right"/>
              <w:ind w:right="812"/>
              <w:spacing w:after="0"/>
              <w:rPr>
                <w:sz w:val="20"/>
                <w:szCs w:val="20"/>
                <w:color w:val="auto"/>
              </w:rPr>
            </w:pPr>
            <w:r>
              <w:rPr>
                <w:rFonts w:ascii="Arial" w:cs="Arial" w:eastAsia="Arial" w:hAnsi="Arial"/>
                <w:sz w:val="18"/>
                <w:szCs w:val="18"/>
                <w:color w:val="auto"/>
              </w:rPr>
              <w:t>139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16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29%</w:t>
            </w:r>
          </w:p>
        </w:tc>
        <w:tc>
          <w:tcPr>
            <w:tcW w:w="13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24%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w w:val="79"/>
              </w:rPr>
              <w:t>10</w:t>
            </w:r>
          </w:p>
        </w:tc>
        <w:tc>
          <w:tcPr>
            <w:tcW w:w="820" w:type="dxa"/>
            <w:vAlign w:val="bottom"/>
          </w:tcPr>
          <w:p>
            <w:pPr>
              <w:spacing w:after="0"/>
              <w:rPr>
                <w:sz w:val="19"/>
                <w:szCs w:val="19"/>
                <w:color w:val="auto"/>
              </w:rPr>
            </w:pPr>
          </w:p>
        </w:tc>
        <w:tc>
          <w:tcPr>
            <w:tcW w:w="1300" w:type="dxa"/>
            <w:vAlign w:val="bottom"/>
            <w:gridSpan w:val="2"/>
          </w:tcPr>
          <w:p>
            <w:pPr>
              <w:jc w:val="right"/>
              <w:ind w:right="812"/>
              <w:spacing w:after="0"/>
              <w:rPr>
                <w:sz w:val="20"/>
                <w:szCs w:val="20"/>
                <w:color w:val="auto"/>
              </w:rPr>
            </w:pPr>
            <w:r>
              <w:rPr>
                <w:rFonts w:ascii="Arial" w:cs="Arial" w:eastAsia="Arial" w:hAnsi="Arial"/>
                <w:sz w:val="18"/>
                <w:szCs w:val="18"/>
                <w:color w:val="auto"/>
              </w:rPr>
              <w:t>34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Reuters as of October 24,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21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2011</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8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34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versus September 30, 2011</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Sovereign, Capital Markets, Private Funds and Other Advisory businesses, decreased $30 million, or 14%, and Restructuring revenue decreased $4 million, or 10%, as compared to the 2011 period.</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M&amp;A and Strategic Advisory revenue decreased $28 million, or 14%, as compared to the 2011 period. Capital Markets and Other Advisory revenue decreased $2 million, or 13%. The decrease in M&amp;A and Strategic Advisory revenue was primarily due to lower average fees for assignments with fees greater than $1 million. Our major clients, which, in the aggregate, represented a significant portion of our M&amp;A and Strategic Advisory revenue for the third quarter of 2012, included Aeroporti di Roma, GlaxoSmithKline, Gryson shareholders, Klune Industries (Vance Street Capital), MEDTOX Scientific, Montagu Private Equity, Progress Energy and St Barbara Limited. The decrease in Capital Markets and Other Advisory revenue in the 2012 period was primarily attributable to a decrease in referral fees from LFCM Holdings, partially offset by a higher level of closings by Private Fund Advisory.</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in the 2012 period was primarily due to a lower number of completed assignments. Notable assignments completed in the third quarter of 2012 included assignments for Cemex, Lighthouse Bondholders Committee, White Birch Paper Company, Grupo Uralita and Cementos Portland Valderrivas.</w:t>
      </w:r>
    </w:p>
    <w:p>
      <w:pPr>
        <w:spacing w:after="0" w:line="143"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Operating expenses decreased $1 million, or 1%, as compared to the 2011 period. Decreases in compensation and benefits expense and professional fees were partially offset by increased occupancy costs, primarily as a result of our amended lease and associated build-out costs of our Rockefeller Center facility.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Financial Advisory operating income in the 2012 period decreased $32 million, or 81%, as compared to the 2011 period. Operating income, as a percentage of net revenue, was 3.4% as compared to 15.8% in the 2011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versus September 30, 2011</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Sovereign, Capital Markets, Private Funds and Other Advisory businesses, decreased $4 million, or 1%, and Restructuring revenue increased $13 million, or 10%, as compared to the 2011 period.</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M&amp;A and Strategic Advisory revenue increased $26 million, or 5%, as compared to the 2011 period. Capital Markets and Other Advisory revenue decreased $30 million, or 40%. The increase in M&amp;A and Strategic Advisory revenue was primarily due to the strong performance of Lazard Middle Market and a higher level of fees earned from our top 10 clients, reflecting the closing of several significant M&amp;A, Sovereign Advisory and Government Advisory transactions. The decrease in Capital Markets and Other Advisory revenue in the 2012 period was primarily attributable to a lower level of closings by Private Fund Advisory and a decrease in referral fees from LFCM Holdings.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increase in Restructuring revenue in the 2012 period was driven by an increase in the average fee per assignment, most of which was attributable to the first quarter of 2012.</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Operating expenses increased $52 million, or 8%, as compared to the 2011 period. The primary contributors to the increase were higher levels of compensation and benefits expense (see the discussion regarding compensation and benefits expense described above under “Operating Results—Nine Months Ended September 30, 2012 versus September 30, 2011”), deal-related costs specifically related to transactions that closed in the 2012 period, business development expense and occupancy costs in the 2012 period, the latter primarily as a result of our amended lease and associated build-out costs of our Rockefeller Center facility.</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Financial Advisory operating income in the 2012 period decreased $44 million, or 49%, as compared to the 2011 period. Operating income, as a percentage of net revenue, was 6.3% as compared to 12.3% in the 2011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54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700" w:type="dxa"/>
            <w:vAlign w:val="bottom"/>
            <w:gridSpan w:val="2"/>
          </w:tcPr>
          <w:p>
            <w:pPr>
              <w:jc w:val="right"/>
              <w:ind w:right="198"/>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5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Global Equities</w:t>
            </w:r>
          </w:p>
        </w:tc>
        <w:tc>
          <w:tcPr>
            <w:tcW w:w="5700" w:type="dxa"/>
            <w:vAlign w:val="bottom"/>
            <w:gridSpan w:val="2"/>
          </w:tcPr>
          <w:p>
            <w:pPr>
              <w:jc w:val="right"/>
              <w:spacing w:after="0"/>
              <w:rPr>
                <w:sz w:val="20"/>
                <w:szCs w:val="20"/>
                <w:color w:val="auto"/>
              </w:rPr>
            </w:pPr>
            <w:r>
              <w:rPr>
                <w:rFonts w:ascii="Arial" w:cs="Arial" w:eastAsia="Arial" w:hAnsi="Arial"/>
                <w:sz w:val="18"/>
                <w:szCs w:val="18"/>
                <w:color w:val="auto"/>
              </w:rPr>
              <w:t>78,395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U.S. Equities</w:t>
            </w:r>
          </w:p>
        </w:tc>
        <w:tc>
          <w:tcPr>
            <w:tcW w:w="48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Total Equities</w:t>
            </w:r>
          </w:p>
        </w:tc>
        <w:tc>
          <w:tcPr>
            <w:tcW w:w="48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132,231</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European and International Fixed Income</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15,332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Global Fixed Income</w:t>
            </w:r>
          </w:p>
        </w:tc>
        <w:tc>
          <w:tcPr>
            <w:tcW w:w="5700" w:type="dxa"/>
            <w:vAlign w:val="bottom"/>
            <w:gridSpan w:val="2"/>
          </w:tcPr>
          <w:p>
            <w:pPr>
              <w:jc w:val="right"/>
              <w:spacing w:after="0"/>
              <w:rPr>
                <w:sz w:val="20"/>
                <w:szCs w:val="20"/>
                <w:color w:val="auto"/>
              </w:rPr>
            </w:pPr>
            <w:r>
              <w:rPr>
                <w:rFonts w:ascii="Arial" w:cs="Arial" w:eastAsia="Arial" w:hAnsi="Arial"/>
                <w:sz w:val="18"/>
                <w:szCs w:val="18"/>
                <w:color w:val="auto"/>
              </w:rPr>
              <w:t>3,043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U.S. Fixed Income</w:t>
            </w:r>
          </w:p>
        </w:tc>
        <w:tc>
          <w:tcPr>
            <w:tcW w:w="48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Total Fixed Income</w:t>
            </w:r>
          </w:p>
        </w:tc>
        <w:tc>
          <w:tcPr>
            <w:tcW w:w="48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21,905</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Alternative Investments</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Private Equity</w:t>
            </w:r>
          </w:p>
        </w:tc>
        <w:tc>
          <w:tcPr>
            <w:tcW w:w="5700" w:type="dxa"/>
            <w:vAlign w:val="bottom"/>
            <w:gridSpan w:val="2"/>
          </w:tcPr>
          <w:p>
            <w:pPr>
              <w:jc w:val="right"/>
              <w:spacing w:after="0"/>
              <w:rPr>
                <w:sz w:val="20"/>
                <w:szCs w:val="20"/>
                <w:color w:val="auto"/>
              </w:rPr>
            </w:pPr>
            <w:r>
              <w:rPr>
                <w:rFonts w:ascii="Arial" w:cs="Arial" w:eastAsia="Arial" w:hAnsi="Arial"/>
                <w:sz w:val="18"/>
                <w:szCs w:val="18"/>
                <w:color w:val="auto"/>
              </w:rPr>
              <w:t>1,428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 Management</w:t>
            </w:r>
          </w:p>
        </w:tc>
        <w:tc>
          <w:tcPr>
            <w:tcW w:w="48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Total AUM</w:t>
            </w:r>
          </w:p>
        </w:tc>
        <w:tc>
          <w:tcPr>
            <w:tcW w:w="5700" w:type="dxa"/>
            <w:vAlign w:val="bottom"/>
            <w:gridSpan w:val="2"/>
          </w:tcPr>
          <w:p>
            <w:pPr>
              <w:jc w:val="right"/>
              <w:spacing w:after="0"/>
              <w:rPr>
                <w:sz w:val="20"/>
                <w:szCs w:val="20"/>
                <w:color w:val="auto"/>
              </w:rPr>
            </w:pPr>
            <w:r>
              <w:rPr>
                <w:rFonts w:ascii="Arial" w:cs="Arial" w:eastAsia="Arial" w:hAnsi="Arial"/>
                <w:sz w:val="18"/>
                <w:szCs w:val="18"/>
                <w:color w:val="auto"/>
              </w:rPr>
              <w:t>$160,411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840" w:type="dxa"/>
            <w:vAlign w:val="bottom"/>
            <w:vMerge w:val="restart"/>
          </w:tcPr>
          <w:p>
            <w:pPr>
              <w:jc w:val="right"/>
              <w:ind w:right="3234"/>
              <w:spacing w:after="0"/>
              <w:rPr>
                <w:sz w:val="20"/>
                <w:szCs w:val="20"/>
                <w:color w:val="auto"/>
              </w:rPr>
            </w:pPr>
            <w:r>
              <w:rPr>
                <w:rFonts w:ascii="Arial" w:cs="Arial" w:eastAsia="Arial" w:hAnsi="Arial"/>
                <w:sz w:val="18"/>
                <w:szCs w:val="18"/>
                <w:color w:val="auto"/>
              </w:rPr>
              <w:t>57</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Average AUM for the 2012 and 2011 periods is set forth below. Average AUM is generally based on an average of quarterly ending balances for the respective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4"/>
          </w:tcPr>
          <w:p>
            <w:pPr>
              <w:ind w:left="500"/>
              <w:spacing w:after="0"/>
              <w:rPr>
                <w:sz w:val="20"/>
                <w:szCs w:val="20"/>
                <w:color w:val="auto"/>
              </w:rPr>
            </w:pPr>
            <w:r>
              <w:rPr>
                <w:rFonts w:ascii="Arial" w:cs="Arial" w:eastAsia="Arial" w:hAnsi="Arial"/>
                <w:sz w:val="14"/>
                <w:szCs w:val="14"/>
                <w:b w:val="1"/>
                <w:bCs w:val="1"/>
                <w:color w:val="auto"/>
              </w:rPr>
              <w:t>($ in millions)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7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$ 156,620</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$ 148,705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$ 152,744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$ 153,299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AUM at September 30, 2012 increased $19 billion, or 14%, as compared to AUM of $141 billion at December 31, 2011, primarily due to market appreciation. Average AUM for the three month period ended September 30, 2012 was 5% higher than that for the corresponding period in 2011, while average AUM for the nine month period ended September 30, 2012 was 0.4% lower than for the corresponding period in 2011. International, Global and U.S. equities represented 20%, 49% and 13% of total AUM at September 30, 2012, substantially unchanged from the respective percentages at December 31, 2011.</w:t>
      </w:r>
    </w:p>
    <w:p>
      <w:pPr>
        <w:spacing w:after="0" w:line="9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September 30, 2012, approximately 91% of our AUM was managed on behalf of institutional clients, including corporations, labor unions, public pension funds, insurance companies and banks, and through sub-advisory relationships, mutual fund sponsors, broker-dealers and registered advisors, and 9% of our AUM was managed on behalf of individual client relationships, which are principally with family offices and individuals, with such percentages substantially unchanged from the corresponding percentages at December 31,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both September 30, 2012 and December 31, 2011, AUM denominated in foreign currencies represented approximately 61% of our total AUM.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Foreign denominated AUM declines in value with the strengthening of the U.S. Dollar and increases in value as the U.S. Dollar weakens.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2012 and 2011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gridSpan w:val="5"/>
          </w:tcPr>
          <w:p>
            <w:pPr>
              <w:jc w:val="right"/>
              <w:ind w:right="720"/>
              <w:spacing w:after="0" w:line="155" w:lineRule="exact"/>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$148,439</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$161,597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$141,039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$155,337</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1,813</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(1,122)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2,788</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16,584</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(18,771)</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AUM—End of Period</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$ 160,411</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135,812</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$ 160,411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135,812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inflows of $7,660 and $5,375 and outflows of $5,847 and $6,497 for the three month periods in 2012 and 2011, respectively, and inflows of $20,269 and $18,297 and outflows of $17,481 and $19,051 for the nine month periods in 2012 and 2011, respectively.</w:t>
      </w:r>
    </w:p>
    <w:p>
      <w:pPr>
        <w:spacing w:after="0" w:line="8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During the first nine months of 2012, inflows were principally in International Equities and Emerging Markets Debt products, primarily due to increased investments in existing accounts, as well as new accounts. Outflows during the first nine months of 2012 were principally in U.S. and Emerging Markets Equity products, primarily resulting from withdrawals in existing accounts.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October 24, 2012, AUM was $159.9 billion, a decrease of $0.5 billion since September 30, 2012. The decrease in AUM was due to market/foreign exchange depreciation of $0.8 billion, partially offset by net inflows of $0.3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1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202,324</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199,980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$597,407</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$627,965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8,586</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32,783</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221,516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219,077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647,096</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160,869</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156,709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477,989</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169,107</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223,958</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26.1%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21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2011</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8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26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versus September 30, 2011</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Asset Management net revenue increased $2 million, or 1%, as compared to the 2011 period. Management fees increased $2 million, or 1%, as compared to the 2011 period, driven primarily by a 5% increase in average AUM, generally reflecting market appreciation, offset by a shift in the product mix of AUM. Incentive fees, principally consisting of traditional long-only strategies, increased $1 million, or 13%, as compared to the 2011 period. Other revenue decreased $1 million, or 12%, as compared to the 2011 period, primarily due to a decline in commissions and custody fees.</w:t>
      </w:r>
    </w:p>
    <w:p>
      <w:pPr>
        <w:spacing w:after="0" w:line="11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Operating expenses increased $4 million, or 3%, as compared to the 2011 period, primarily due to an increase in compensation and benefits expense and higher occupancy costs associated with our amended lease and build-out costs of our Rockefeller Center facility. These increases were partially offset by lower fees for fund administration, professional fees and business development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Asset Management operating income decreased $2 million, or 3%, as compared to operating income in the 2011 period. Operating income, as a percentage of net revenue, was 27.4%, as compared to 28.5% in the 2011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versus September 30, 2011</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Asset Management net revenue decreased $44 million, or 6%, as compared to the 2011 period. Management fees decreased $31 million, or 5%, as compared to the 2011 period, driven by a 0.4% decrease in average AUM and a change in the product mix of AUM. Incentive fees, primarily consisting of traditional long-only strategies, decreased $4 million, or 19%, as compared to the 2011 period, primarily due to a change in fee structure on one mandate from a quarterly to an annual performance fee basis. Other revenue decreased $9 million, or 22%, as compared to the 2011 period, primarily due to a decline in commissions and custody fees from an unusually strong 2011 period.</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Operating expenses increased $11 million, or 2%, as compared to the 2011 period, primarily due to an increase in compensation and benefits expense (see the discussion regarding compensation and benefits expense described above under “Operating Results—Nine Months Ended September 30, 2012 versus September 30, 2011”) and higher occupancy costs in the 2012 period associated with our amended lease and build-out costs of our Rockefeller Center facility. These increases were partially offset by lower professional fees and fees for fund administration.</w:t>
      </w:r>
    </w:p>
    <w:p>
      <w:pPr>
        <w:spacing w:after="0" w:line="11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Asset Management operating income decreased $55 million, or 24%, as compared to operating income in the 2011 period. Operating income, as a percentage of net revenue, was 26.1%, as compared to 32.4% in the 2011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8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right"/>
              <w:ind w:right="780"/>
              <w:spacing w:after="0" w:line="142" w:lineRule="exact"/>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Expense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(20,624)</w:t>
            </w:r>
          </w:p>
        </w:tc>
        <w:tc>
          <w:tcPr>
            <w:tcW w:w="1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(21,447)</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(61,366)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(66,801)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(19,886)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(19,933)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(58,987)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Revenue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7,203</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9,690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23,853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(12,683)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(10,243)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(35,134)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8,762</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4,358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51,138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(21,445)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(14,601)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(86,272)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(63,796)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versus September 30,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was substantially unchanged compared to the 2011 period.</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Other revenue decreased $2 million, or 26%, primarily due to an $18 million gain on extinguishment of debt in the 2011 period, which was partially offset by net investment gains in the 2012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Operating expenses increased $4 million, primarily due to increased compensation and benefits expense related to the net gain in the value of Lazard Fund Interests.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versus September 30,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$3 million, or 5%, as compared to the 2011 period.</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Other revenue increased $6 million, primarily due to net investment gains in the 2012 period, including a net gain in the value of Lazard Fund Interests, partially offset by an $18 million gain on extinguishment of debt in the 2011 period.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Operating expenses in the 2012 period (including the above-mentioned $25 million charge in the first quarter of 2012 relating to staff reductions) increased $32 million. Excluding the impact of such staff reduction charge, operating expenses in the 2012 period increased $7 million, or 38%, as compared to the 2011 period, primarily due to increases in the 2012 period relating to (i) occupancy costs, as a result of our amended lease and associated build-out costs of our Rockefeller Center facility, (ii) compensation and benefits expense related to a net gain in the value of Lazard Fund Interests and (iii) technology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cash flows are influenced by the timing of the receipt of Financial Advisory and Asset Management fees, the timing of distributions to shareholders, payments of incentive compensation to managing directors and employees and purchases of Class A common stock.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the Company expects to make cash payments, including severance payments, associated with the cost saving initiatives announced in October 2012 (see “October 2012 Cost Saving Initiatives” above and Note 20 of Notes to Condensed Consolidated Financial Statements), a significant portion of which will be paid during the fourth quarter of 2012.</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90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0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 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281.5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233.1</w:t>
            </w: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(138.6)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(150.2)</w:t>
            </w:r>
          </w:p>
        </w:tc>
      </w:tr>
      <w:tr>
        <w:trPr>
          <w:trHeight w:val="230"/>
        </w:trPr>
        <w:tc>
          <w:tcPr>
            <w:tcW w:w="9420" w:type="dxa"/>
            <w:vAlign w:val="bottom"/>
            <w:gridSpan w:val="2"/>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0"/>
                <w:szCs w:val="20"/>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(347.4)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(484.7)</w:t>
            </w: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(170.9)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(219.8)</w:t>
            </w: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42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1,003.8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1,209.7</w:t>
            </w:r>
          </w:p>
        </w:tc>
        <w:tc>
          <w:tcPr>
            <w:tcW w:w="100" w:type="dxa"/>
            <w:vAlign w:val="bottom"/>
          </w:tcPr>
          <w:p>
            <w:pPr>
              <w:spacing w:after="0"/>
              <w:rPr>
                <w:sz w:val="19"/>
                <w:szCs w:val="19"/>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w:t>
            </w:r>
          </w:p>
        </w:tc>
      </w:tr>
      <w:tr>
        <w:trPr>
          <w:trHeight w:val="20"/>
        </w:trPr>
        <w:tc>
          <w:tcPr>
            <w:tcW w:w="9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942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24"/>
        </w:trPr>
        <w:tc>
          <w:tcPr>
            <w:tcW w:w="90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share-based incentive compensation and interest rate hedge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252.8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228.2</w:t>
            </w: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Gain on extinguishment of debt</w:t>
            </w: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r>
      <w:tr>
        <w:trPr>
          <w:trHeight w:val="27"/>
        </w:trPr>
        <w:tc>
          <w:tcPr>
            <w:tcW w:w="90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w:t>
            </w:r>
          </w:p>
        </w:tc>
      </w:tr>
      <w:tr>
        <w:trPr>
          <w:trHeight w:val="20"/>
        </w:trPr>
        <w:tc>
          <w:tcPr>
            <w:tcW w:w="9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80" w:hanging="452"/>
        <w:spacing w:after="0" w:line="323"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Consists primarily of purchases of shares of Class A common stock, tax withholdings related to the settlement of vested restricted stock units (“RSU”s), Class A common stock dividends, distributions to noncontrolling interest holders and activity relating to borrowings.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The Company expects liquidity also to be impacted by cash payments, including severance payments, associated with the cost saving initiatives announced in October 2012 (see “October 2012 Cost Saving Initiatives” above and Note 20 of Notes to Condensed Consolidated Financial Statements), a significant portion of which will be paid during the fourth quarter of 2012.</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Lazard Group common membership interests and matters relating to liquidity and to compliance with regulatory net capital requirements. At September 30, 2012, Lazard had approximately $833 million of cash, with such amount including approximately $312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September 30, 2012, Lazard had approximately $301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$91 million (at September 30, 2012 exchange rates) and Edgewater of $55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10 of Notes to Condensed Consolidated Financial Statements for additional information regarding Lazard’s senior and subordinated debt.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September 30, 2012 and December 31, 2011.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2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5"/>
              </w:rPr>
              <w:t>Maturity</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8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17"/>
              <w:spacing w:after="0" w:line="142" w:lineRule="exact"/>
              <w:rPr>
                <w:sz w:val="20"/>
                <w:szCs w:val="20"/>
                <w:color w:val="auto"/>
              </w:rPr>
            </w:pPr>
            <w:r>
              <w:rPr>
                <w:rFonts w:ascii="Arial" w:cs="Arial" w:eastAsia="Arial" w:hAnsi="Arial"/>
                <w:sz w:val="14"/>
                <w:szCs w:val="14"/>
                <w:b w:val="1"/>
                <w:bCs w:val="1"/>
                <w:color w:val="auto"/>
              </w:rPr>
              <w:t>($ in millions)</w:t>
            </w: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7.125%</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528.5</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1,076.9</w:t>
            </w:r>
          </w:p>
        </w:tc>
        <w:tc>
          <w:tcPr>
            <w:tcW w:w="8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1,076.9</w:t>
            </w: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or prior revolving credit facilities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September 30, 2012, Lazard Group was in compliance with such ratios, with its Consolidated Leverage Ratio being 2.30 to 1.00 and its Consolidated Interest Coverage Ratio being 6.81 to 1.00. In any event, no amounts were outstanding under the Credit Facility as of September 30, 2012.</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September 30, 2012,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10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September 30, 2012, total stockholders’ equity was $834 million, as compared to $867 million at December 31, 2011, including $714 million and $726 million attributable to Lazard Ltd on the respective dates. The net activity in stockholders’ equity during the nine month period ended September 30, 2012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Equity—January 1, 2012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r>
      <w:tr>
        <w:trPr>
          <w:trHeight w:val="323"/>
        </w:trPr>
        <w:tc>
          <w:tcPr>
            <w:tcW w:w="998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Class A common stock</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(223)</w:t>
            </w: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Delivery of Class A common stock in connection with share-based incentive compensation and related tax expense</w:t>
            </w: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 dividends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 - net</w:t>
            </w: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Deconsolidation of investment companies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AOCI (including noncontrolling interests’ portion thereof)(*)</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 net</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Stockholders’ Equity—September 30, 2012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 Includes: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Net foreign currency translation adjustments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benefit plans and other adjustments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2"/>
        </w:trPr>
        <w:tc>
          <w:tcPr>
            <w:tcW w:w="998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 February 2011, October 2011 and April 2012, the Board of Directors of Lazard Ltd authorized the repurchase of up to $250 million, $125 million and $125 million, respectively, in aggregate cost of Class A common stock and Lazard Group common membership interests through December 31, 2012, December 31, 2013 and December 31, 2013, respectively. During the nine month period ended September 30, 2012 the Company repurchased 8,235,306 shares of Class A common stock, at an aggregate cost of $223 million (no Lazard Group common membership interests were purchased during such nine month period).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September 30, 2012, $115 million of the current aggregate share repurchase amount authorized as of such date remained available under the share repurchase program, all of which expires on December 31, 2013. In addition, under the terms of the 2005 Plan and the 2008 Plan, upon the vesting of RSUs, shares of Class A common stock may be withheld by the Company to cover estimated income taxes. In that regard, during the first nine months of 2012 the Company utilized $41 million to satisfy certain employees’ withholding tax obligations on vested RSUs and delivery of restricted Class A common stock in lieu of issuing 1,359,941 shares of Class A common stock directly by Lazard Ltd or by delivery of shares held by Lazard Group or other subsidiaries of Lazard Ltd. Furthermore, in order to help neutralize the dilutive effect of our share-based incentive compensation plans, Lazard intends to repurchase during a given year more shares than it expects to ultimately issue pursuant to such plans in respect of year-end incentive compensation attributable to the prior year</w:t>
      </w:r>
      <w:r>
        <w:rPr>
          <w:rFonts w:ascii="Arial" w:cs="Arial" w:eastAsia="Arial" w:hAnsi="Arial"/>
          <w:sz w:val="16"/>
          <w:szCs w:val="16"/>
          <w:i w:val="1"/>
          <w:iCs w:val="1"/>
          <w:color w:val="auto"/>
        </w:rPr>
        <w:t>.</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first nine months of 2012, the Company had written trading plans under Rule 10b5-1 of the Securities Exchange Act of 1934 in place, pursuant to which it effected stock repurchases through the open market.</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October 2012, the Board of Directors of Lazard Ltd authorized the repurchase of up to an additional $200 million in aggregate cost of Class A common stock and Lazard Group common membership interests through December 31, 2014. During the period October 1 through October 24, 2012, the Company purchased 3,374,308 shares of Class A common stock, at an aggregate cost of $98 million (including shares of Class A common stock received from members of LAZ-MD Holdings in exchange for a like number of LAZ-MD Holdings exchangeable interests). No Lazard Group common membership interests were purchased during such period. After giving effect to these purchases, and the additional share repurchase authorization described above, $217 million of the current aggregate share repurchase amount authorized remained available under the share repurchase program as of October 24, 2012, $17 million of which expires on December 31, 2013 and $200 million of which expires on December 31, 2014.</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including by repurchasing outstanding shares of Class A common stock, paying dividends to stockholders and repurchasing its outstanding debt.</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See Notes 12 and 13 of Notes to Condensed Consolidated Financial Statements for additional information regarding Lazard’s stockholders’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1-Business—Regulation” included in the Form 10-K.</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4"/>
              </w:rPr>
              <w:t>Contractual Obligations Due by Period</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7"/>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6"/>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$ 1,377,627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75,218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$ 678,935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$ 623,474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Operating Leases (exclusive of $165,084 of sublease income)</w:t>
            </w:r>
          </w:p>
        </w:tc>
        <w:tc>
          <w:tcPr>
            <w:tcW w:w="2180" w:type="dxa"/>
            <w:vAlign w:val="bottom"/>
            <w:gridSpan w:val="3"/>
          </w:tcPr>
          <w:p>
            <w:pPr>
              <w:jc w:val="right"/>
              <w:ind w:right="100"/>
              <w:spacing w:after="0"/>
              <w:rPr>
                <w:sz w:val="20"/>
                <w:szCs w:val="20"/>
                <w:color w:val="auto"/>
              </w:rPr>
            </w:pPr>
            <w:r>
              <w:rPr>
                <w:rFonts w:ascii="Arial" w:cs="Arial" w:eastAsia="Arial" w:hAnsi="Arial"/>
                <w:sz w:val="18"/>
                <w:szCs w:val="18"/>
                <w:color w:val="auto"/>
              </w:rPr>
              <w:t>1,060,677</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66,609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147,022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131,874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715,172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21,598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1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34,047</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26,309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7,738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1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$ 2,493,949</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$ 170,633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$ 839,675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$ 768,469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715,172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15 of Notes to Condensed Consolidated Financial Statements regarding information in connection with commitments, incentive plans, employee benefit plans and income taxes,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These temporary differences result in deferred tax assets and liabilities. Significant judgment is required in determining our provision for income taxes, our deferred tax assets and liabilities and, as discussed below, any valuation allowance recorded against our deferred tax assets.</w:t>
      </w:r>
    </w:p>
    <w:p>
      <w:pPr>
        <w:spacing w:after="0" w:line="12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 deferred tax asset is recognized if it is more likely than not (defined as a likelihood of greater than 50%) that a tax benefit will be accepted by a taxing authority. The measurement of deferred tax assets and liabilities is based upon currently enacted tax rates in the applicable jurisdictions. At December 31, 2011, on a consolidated basis, we recorded deferred tax assets of approximately $1.3 billion.</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Subsequent to the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In order to determine whether we apply a valuation allowance, we must assess whether it is more likely than not that such asset will be realized, taking into account all available information. The ultimate realization of a deferred tax asset for a particular entity depends, among other things, on the generation of taxable income by such entity in the applicable jurisdiction. Although we have been profitable on a consolidated basis for the two year period ended December 31, 2011 and the nine month period ended September 30, 2012, certain of our tax-paying entities have individually experienced pre-tax losses on a cumulative three-year basis primarily due to permanent differences between net income and taxable income at such entities. Considering these losses and the other factors listed below, we have recorded a valuation allowance of approximately $1.1 billion on our deferred tax assets as of December 31, 2011 and have not changed our assessment regarding the level of valuation allowance as of September 30,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taxable income in prior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nature, frequency and severity of any recent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significant evidence and will generally outweigh a projection of future taxable income.</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mentioned previously, certain of our tax-paying entities have individually experienced losses on a cumulative basis over the past several years. If these entities achieve sustainable levels of profitability in the future, we believe there is a reasonable possibility that the valuation allowance recorded against our deferred tax assets at such entities could be reduced significantly. If any valuation allowance reduction were to occur, we would likely have a negative effective tax rate in the period in which such reduction occurs. Included in our deferred tax assets as of December 31, 2011 are approximately $709 million related to certain basis step-ups and approximately $137 million of net operating losses generated by the amortization of such step-up assets. Under our tax receivable agreement, Lazard Group will retain 15% of the actual cash tax savings relating to such assets and will pay 85% of such savings to the former owners of Lazard.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we would otherwise recognize upon a release of the valuation allowance.</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valuation allowance reduction were to occur, for subsequent periods, our effective tax rate, with all other factors being held constant, would increase and could be significantly higher than our effective tax rate in the period immediately preceding the reduction in the valuation allowance. In such a situation, an increase in our effective tax rate would not impact the amount of cash income taxes we would pay in those periods subsequent to the release of any valuation allowance.</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other factors affect our provision for income taxes, including changes in the geographic mix of our business, the level of our annual pre-tax income, transfer pricing and intercompany transactions. In addition, our interpretation of complex tax laws may impact our recognition and measurement of current and deferred income taxes. Tax contingencies involve complex issues and often require an extended period of time to resolve. Tax contingencies that are resolved in a manner that is adverse to us could have a material adverse effect on our financial results. See “Risk Factors” and Note 19 of Notes to Consolidated Financial Statements in our Form 10-K for additional information related to income taxes.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Investments consist principally of debt securities, equities, interests in alternative asset management funds, fixed income funds and other private equity investments.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These investments are carried at either (a)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designated as “available-for-sale” securities until such time they are realized and reclassified to earnings, or (b)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subsequent thereto, Lazard did not own any securities designated as “available-for-sale” or “held-to-maturity”.</w:t>
      </w:r>
    </w:p>
    <w:p>
      <w:pPr>
        <w:spacing w:after="0" w:line="14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8"/>
              </w:rPr>
              <w:t>September 30, 2012 (a)</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8"/>
              </w:rPr>
              <w:t>December 31, 2011 (a)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Equity securities (net of $3 and $4 of securities sold, not yet purchased, at</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September 30, 2012 and December 31, 2011, respectively) (c)</w:t>
            </w: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66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152</w:t>
            </w:r>
          </w:p>
        </w:tc>
        <w:tc>
          <w:tcPr>
            <w:tcW w:w="6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asset management funds owned (principally general partnership</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 in Lazard-managed hedge funds) (d)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Private equity owned (e)</w:t>
            </w: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66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funds (f)</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Other (g)</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3"/>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2,995</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$ 3,082</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 as a percentage of total assets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investments held in connection with Lazard Fund Interests and other similar deferred compensation arrangements granted, with an aggregate fair value of $102 million and $27 million at September 30, 2012 and December 31, 2011, respectively. The majority of the market risk associated with such investments is equally offset by the market risk associated with the derivative liability with respect to such awards.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 Asset Management products and non-U.S. government debt securities.</w:t>
      </w:r>
    </w:p>
    <w:p>
      <w:pPr>
        <w:spacing w:after="0" w:line="90" w:lineRule="exact"/>
        <w:rPr>
          <w:rFonts w:ascii="Arial" w:cs="Arial" w:eastAsia="Arial" w:hAnsi="Arial"/>
          <w:sz w:val="18"/>
          <w:szCs w:val="18"/>
          <w:color w:val="auto"/>
        </w:rPr>
      </w:pPr>
    </w:p>
    <w:p>
      <w:pPr>
        <w:ind w:left="460" w:right="160" w:hanging="452"/>
        <w:spacing w:after="0" w:line="298"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Equity securities primarily consist of seed investments in Asset Management products, which in turn invest in marketable equity securities of large-, mid-and small-cap domestic, international and global companies and include investments in public and private asset management funds managed by LAM. Hedging strategies are employed to attempt to reduce market risk, and, in turn, the volatility to earnings. In addition, equity securities include amounts relating to Lazard Fund Interests awards and other similar deferred compensation arrangements (see (a) above).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At September 30, 2012 and December 31, 2011, investments in asset management funds, including amounts related to both seed investments and Lazard Fund Interests, represented 80% and 79%, respectively, of total equity securities. The remaining 20% and 21% at such respective dates represented investments in marketable equity securities, which were invested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September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80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02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8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6"/>
        </w:trPr>
        <w:tc>
          <w:tcPr>
            <w:tcW w:w="8020" w:type="dxa"/>
            <w:vAlign w:val="bottom"/>
          </w:tcPr>
          <w:p>
            <w:pPr>
              <w:ind w:left="1480"/>
              <w:spacing w:after="0"/>
              <w:rPr>
                <w:sz w:val="20"/>
                <w:szCs w:val="20"/>
                <w:color w:val="auto"/>
              </w:rPr>
            </w:pPr>
            <w:r>
              <w:rPr>
                <w:rFonts w:ascii="Arial" w:cs="Arial" w:eastAsia="Arial" w:hAnsi="Arial"/>
                <w:sz w:val="18"/>
                <w:szCs w:val="18"/>
                <w:color w:val="auto"/>
              </w:rPr>
              <w:t>Energy</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r>
      <w:tr>
        <w:trPr>
          <w:trHeight w:val="216"/>
        </w:trPr>
        <w:tc>
          <w:tcPr>
            <w:tcW w:w="8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020" w:type="dxa"/>
            <w:vAlign w:val="bottom"/>
          </w:tcPr>
          <w:p>
            <w:pPr>
              <w:ind w:left="1480"/>
              <w:spacing w:after="0"/>
              <w:rPr>
                <w:sz w:val="20"/>
                <w:szCs w:val="20"/>
                <w:color w:val="auto"/>
              </w:rPr>
            </w:pPr>
            <w:r>
              <w:rPr>
                <w:rFonts w:ascii="Arial" w:cs="Arial" w:eastAsia="Arial" w:hAnsi="Arial"/>
                <w:sz w:val="18"/>
                <w:szCs w:val="18"/>
                <w:color w:val="auto"/>
              </w:rPr>
              <w:t>Basic materials</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8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22"/>
        </w:trPr>
        <w:tc>
          <w:tcPr>
            <w:tcW w:w="8020" w:type="dxa"/>
            <w:vAlign w:val="bottom"/>
          </w:tcPr>
          <w:p>
            <w:pPr>
              <w:ind w:left="1480"/>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50"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Comprised principally of investments in private equity funds that are generally not subject to short-term market fluctuation, but may subject Lazard to market or credit risk. 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(iii) Senior Housing, which targets controlling interests in companies and assets in senior housing, extended stay and shopping center sectors, (iv) Edgewater Growth Capital Partners III, L.P., a private equity fund primarily making growth equity and buyout investments in high-quality, lower middle market companies and (v) COF 2, a Lazard-managed Australian private equity fund targeting Australasian mid-market investments.</w:t>
      </w:r>
    </w:p>
    <w:p>
      <w:pPr>
        <w:spacing w:after="0" w:line="39"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Fixed income funds primarily consist of seed investments in Asset Management products which invest in fixed income securities. Hedging strategies are employed to attempt to reduce market risk and, in turn, the volatility to earnings. In addition, fixed income funds include amounts relating to Lazard Fund Interests (see (a) above).</w:t>
      </w:r>
    </w:p>
    <w:p>
      <w:pPr>
        <w:spacing w:after="0" w:line="59"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2012 and December 31, 2011, $121 million and $133 million, respectively, of our total investments at a fair value of $437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$374 million, respectively, or 28% and 36%, respectively, were classified as Level 3 assets. Substantially all of our Level 3 investments in both periods are priced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a NAV or its equivalent. During the nine month periods ended September 30, 2012 and 2011, gains of approximately $12 million and $3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 were recognized in “revenue-other” on the condensed consolidated statements of operations pertaining to Level 3 investments.</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market fluctuations related to positions held in our investment portfolios” in our Form 10-K.</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prices provided by external pricing services. Accordingly, significant estimates and judgments are generally not involved in the calculation of the value of our AUM.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9 of Notes to Condensed Consolidated Financial Statements for additional information regarding goodwill.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Ltd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59" w:lineRule="exact"/>
        <w:rPr>
          <w:sz w:val="20"/>
          <w:szCs w:val="20"/>
          <w:color w:val="auto"/>
        </w:rPr>
      </w:pPr>
    </w:p>
    <w:p>
      <w:pPr>
        <w:ind w:left="1480" w:hanging="446"/>
        <w:spacing w:after="0" w:line="256"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62" w:lineRule="exact"/>
        <w:rPr>
          <w:rFonts w:ascii="Arial" w:cs="Arial" w:eastAsia="Arial" w:hAnsi="Arial"/>
          <w:sz w:val="18"/>
          <w:szCs w:val="18"/>
          <w:color w:val="auto"/>
        </w:rPr>
      </w:pPr>
    </w:p>
    <w:p>
      <w:pPr>
        <w:ind w:left="1480" w:right="360" w:hanging="446"/>
        <w:spacing w:after="0" w:line="332" w:lineRule="auto"/>
        <w:tabs>
          <w:tab w:leader="none" w:pos="1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where appropriate,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Market and credit risks related to our investing activities are discussed under “Critical Accounting Policies and Estimates—</w:t>
      </w:r>
      <w:r>
        <w:rPr>
          <w:rFonts w:ascii="Arial" w:cs="Arial" w:eastAsia="Arial" w:hAnsi="Arial"/>
          <w:sz w:val="18"/>
          <w:szCs w:val="18"/>
          <w:i w:val="1"/>
          <w:iCs w:val="1"/>
          <w:color w:val="auto"/>
        </w:rPr>
        <w:t>Investments</w:t>
      </w:r>
      <w:r>
        <w:rPr>
          <w:rFonts w:ascii="Arial" w:cs="Arial" w:eastAsia="Arial" w:hAnsi="Arial"/>
          <w:sz w:val="18"/>
          <w:szCs w:val="18"/>
          <w:color w:val="auto"/>
        </w:rPr>
        <w:t>”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September 30, 2012, total receivables amounted to $484 million, net of an allowance for doubtful accounts of $22 million. As of that date, Financial Advisory and Asset Management fees, customer and related party receivables comprised 80%, 17% and 3% of total receivables, respectively. At December 31, 2011, total receivables amounted to $504 million, net of an allowance for doubtful accounts of $19 million. As of that date, Financial Advisory and Asset Management fees, customer and related party receivables comprised 80%, 16% and 4% of total receivables, respectively. At September 30, 2012 and December 31, 2011, the Company had receivables past due of approximately $26 million and $23 million, respectively. See also “Critical Accounting Policies and Estimates—</w:t>
      </w:r>
      <w:r>
        <w:rPr>
          <w:rFonts w:ascii="Arial" w:cs="Arial" w:eastAsia="Arial" w:hAnsi="Arial"/>
          <w:sz w:val="15"/>
          <w:szCs w:val="15"/>
          <w:i w:val="1"/>
          <w:iCs w:val="1"/>
          <w:color w:val="auto"/>
        </w:rPr>
        <w:t>Revenue Recognition</w:t>
      </w:r>
      <w:r>
        <w:rPr>
          <w:rFonts w:ascii="Arial" w:cs="Arial" w:eastAsia="Arial" w:hAnsi="Arial"/>
          <w:sz w:val="15"/>
          <w:szCs w:val="15"/>
          <w:color w:val="auto"/>
        </w:rPr>
        <w:t>” above and Note 3 of Notes to Condensed Consolidated Financial Statements for additional information regarding receivables.</w:t>
      </w:r>
    </w:p>
    <w:p>
      <w:pPr>
        <w:spacing w:after="0" w:line="10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September 30, 2012 and December 31, 2011, customer receivables included $24 million and $29 million of LFB loans, respectively. Such loans are closely monitored for counterparty creditworthiness to help minimize exposure. In addition, as of September 30, 2012, LFB had commitments to lend totaling $22 million, which are fully collateralized and generally contain requirements for the counterparty to maintain a minimum collateral level.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To reduce the exposure to concentrations of credit, the Company monitors large exposures to individual counterparties and, in addition, LFB has in place concentration risk limits. At September 30, 2012, excluding inter-bank counterparties, LFB had no exposure to an individual counterparty that exceeded</w:t>
      </w:r>
    </w:p>
    <w:p>
      <w:pPr>
        <w:ind w:right="420"/>
        <w:spacing w:after="0" w:line="261" w:lineRule="auto"/>
        <w:rPr>
          <w:sz w:val="20"/>
          <w:szCs w:val="20"/>
          <w:color w:val="auto"/>
        </w:rPr>
      </w:pPr>
      <w:r>
        <w:rPr>
          <w:rFonts w:ascii="Arial" w:cs="Arial" w:eastAsia="Arial" w:hAnsi="Arial"/>
          <w:sz w:val="18"/>
          <w:szCs w:val="18"/>
          <w:color w:val="auto"/>
        </w:rPr>
        <w:t>$22 million, with such amount being fully collateralized. With respect to activities outside LFB, as of September 30, 2012, the Company’s largest individual counterparty exposure was a Financial Advisory fee receivable of $18 million.</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seed investments. At September 30, 2012 and December 31, 2011, such derivative contracts are recorded at fair value. Derivative assets amounted to $46 thousand and $7 million at September 30, 2012 and December 31, 2011, respectively, and derivative liabilities, excluding the derivative liability arising from the Company’s obligation with respect to Lazard Fund Interests and other similar deferred compensation arrangements, amounted to $10 million and $1 million at such respective dates.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currently expected to be delivered upon settlement of Lazard Fund Interests awards. Derivative liabilities relating to Lazard Fund Interests amounted to $91 million and $30 million at September 30, 2012 and December 31, 2011, respectively.</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September 30, 2012, the impact of potential significant movements in either the currency or interest rate markets on LFB’s positions would not materially affect the Company’s annual operating income.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September 30, 2012, Lazard estimates that its annual operating income relating to cash and short-term investments and corporate indebtedness would increase by approximately $8 million in the event interest rates were to increase by 1% and decrease by approximately $2 million if rates were to decrease by 1%.</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September 30, 2012, the Company’s cash and cash equivalents totaled approximately $833 million.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various levels of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5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5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August 3, 2012, Lazard Ltd issued 5,000 shares of Class A common stock in reliance on Section 4(2) of the Securities Act of 1933 in connection with the exchange of 5,000 common membership interests of Lazard Group held by a member of LAZ-MD Holdings as provided for in the Master Separation Agreement, dated as of May 10, 2005, by and among Lazard Ltd, Lazard Group, LAZ-MD Holdings and LFCM Holdings and other related documents.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third quarter of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Total 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Purchased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as Part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Total</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Publicly</w:t>
            </w:r>
          </w:p>
        </w:tc>
        <w:tc>
          <w:tcPr>
            <w:tcW w:w="22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Price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Announced</w:t>
            </w:r>
          </w:p>
        </w:tc>
        <w:tc>
          <w:tcPr>
            <w:tcW w:w="22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6440" w:type="dxa"/>
            <w:vAlign w:val="bottom"/>
            <w:vMerge w:val="restart"/>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per</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Plans or</w:t>
            </w:r>
          </w:p>
        </w:tc>
        <w:tc>
          <w:tcPr>
            <w:tcW w:w="2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6440" w:type="dxa"/>
            <w:vAlign w:val="bottom"/>
            <w:vMerge w:val="continue"/>
          </w:tcPr>
          <w:p>
            <w:pPr>
              <w:spacing w:after="0"/>
              <w:rPr>
                <w:sz w:val="14"/>
                <w:szCs w:val="14"/>
                <w:color w:val="auto"/>
              </w:rPr>
            </w:pPr>
          </w:p>
        </w:tc>
        <w:tc>
          <w:tcPr>
            <w:tcW w:w="12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3"/>
              </w:rPr>
              <w:t>Purchased</w:t>
            </w:r>
          </w:p>
        </w:tc>
        <w:tc>
          <w:tcPr>
            <w:tcW w:w="920" w:type="dxa"/>
            <w:vAlign w:val="bottom"/>
            <w:gridSpan w:val="3"/>
          </w:tcPr>
          <w:p>
            <w:pPr>
              <w:jc w:val="right"/>
              <w:ind w:right="520"/>
              <w:spacing w:after="0" w:line="148" w:lineRule="exact"/>
              <w:rPr>
                <w:sz w:val="20"/>
                <w:szCs w:val="20"/>
                <w:color w:val="auto"/>
              </w:rPr>
            </w:pPr>
            <w:r>
              <w:rPr>
                <w:rFonts w:ascii="Arial" w:cs="Arial" w:eastAsia="Arial" w:hAnsi="Arial"/>
                <w:sz w:val="14"/>
                <w:szCs w:val="14"/>
                <w:b w:val="1"/>
                <w:bCs w:val="1"/>
                <w:color w:val="auto"/>
                <w:w w:val="97"/>
              </w:rPr>
              <w:t>Share</w:t>
            </w: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Programs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July 1, 2012 – July 31, 2012</w:t>
            </w:r>
          </w:p>
        </w:tc>
        <w:tc>
          <w:tcPr>
            <w:tcW w:w="7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736,100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25.58</w:t>
            </w:r>
          </w:p>
        </w:tc>
        <w:tc>
          <w:tcPr>
            <w:tcW w:w="4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736,100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165.9 million</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33,266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26.09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August 1, 2012 – August 31, 2012</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1,041,900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28.09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1,041,900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136.6 million</w:t>
            </w:r>
          </w:p>
        </w:tc>
        <w:tc>
          <w:tcPr>
            <w:tcW w:w="0" w:type="dxa"/>
            <w:vAlign w:val="bottom"/>
          </w:tcPr>
          <w:p>
            <w:pPr>
              <w:spacing w:after="0"/>
              <w:rPr>
                <w:sz w:val="1"/>
                <w:szCs w:val="1"/>
                <w:color w:val="auto"/>
              </w:rPr>
            </w:pPr>
          </w:p>
        </w:tc>
      </w:tr>
      <w:tr>
        <w:trPr>
          <w:trHeight w:val="216"/>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330,718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28.10</w:t>
            </w:r>
          </w:p>
        </w:tc>
        <w:tc>
          <w:tcPr>
            <w:tcW w:w="44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September 1, 2012 – September 30, 2012</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750,714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29.54</w:t>
            </w:r>
          </w:p>
        </w:tc>
        <w:tc>
          <w:tcPr>
            <w:tcW w:w="4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750,714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114.5 million</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2,528,714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27.79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2,528,714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114.5 million</w:t>
            </w:r>
          </w:p>
        </w:tc>
        <w:tc>
          <w:tcPr>
            <w:tcW w:w="0" w:type="dxa"/>
            <w:vAlign w:val="bottom"/>
          </w:tcPr>
          <w:p>
            <w:pPr>
              <w:spacing w:after="0"/>
              <w:rPr>
                <w:sz w:val="1"/>
                <w:szCs w:val="1"/>
                <w:color w:val="auto"/>
              </w:rPr>
            </w:pPr>
          </w:p>
        </w:tc>
      </w:tr>
      <w:tr>
        <w:trPr>
          <w:trHeight w:val="222"/>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363,984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27.92</w:t>
            </w:r>
          </w:p>
        </w:tc>
        <w:tc>
          <w:tcPr>
            <w:tcW w:w="440" w:type="dxa"/>
            <w:vAlign w:val="bottom"/>
          </w:tcPr>
          <w:p>
            <w:pPr>
              <w:spacing w:after="0"/>
              <w:rPr>
                <w:sz w:val="19"/>
                <w:szCs w:val="19"/>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60" w:hanging="452"/>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February 2011, October 2011 and April 2012, the Board of Directors of Lazard Ltd authorized the repurchase of up to $250 million, $125 million and $125 million, respectively, in aggregate cost of Class A common stock and Lazard Group common membership interests through December 31, 2012, December 31,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87" w:lineRule="auto"/>
        <w:rPr>
          <w:sz w:val="20"/>
          <w:szCs w:val="20"/>
          <w:color w:val="auto"/>
        </w:rPr>
      </w:pPr>
      <w:r>
        <w:rPr>
          <w:rFonts w:ascii="Arial" w:cs="Arial" w:eastAsia="Arial" w:hAnsi="Arial"/>
          <w:sz w:val="16"/>
          <w:szCs w:val="16"/>
          <w:color w:val="auto"/>
        </w:rPr>
        <w:t>2013 and December 31, 2013, respectively. The share repurchase program is used primarily to offset a portion of the shares to be issued under the 2005 Plan and the 2008 Plan. Purchases under the share repurchase program may be made in the open market or through privately negotiated transactions. Amounts shown in this line item exclude the shares of Class A common stock withheld by the Company to cover estimated income taxes as described below. As of September 30, 2012, $114.5 million of the current aggregate share repurchase amount authorized as of such date remained available, all of which expires on December 31, 2013. Additionally, amounts shown in this line item for the period July 1 through September 30, 2012 include repurchases made in the open market pursuant to the Company’s Rule 10b5-1 plan, which was then in effect. A Rule 10b5-1 plan allows the Company to make repurchases during periods when it would not otherwise be repurchasing (</w:t>
      </w:r>
      <w:r>
        <w:rPr>
          <w:rFonts w:ascii="Arial" w:cs="Arial" w:eastAsia="Arial" w:hAnsi="Arial"/>
          <w:sz w:val="16"/>
          <w:szCs w:val="16"/>
          <w:i w:val="1"/>
          <w:iCs w:val="1"/>
          <w:color w:val="auto"/>
        </w:rPr>
        <w:t>i.e.</w:t>
      </w:r>
      <w:r>
        <w:rPr>
          <w:rFonts w:ascii="Arial" w:cs="Arial" w:eastAsia="Arial" w:hAnsi="Arial"/>
          <w:sz w:val="16"/>
          <w:szCs w:val="16"/>
          <w:color w:val="auto"/>
        </w:rPr>
        <w:t>, during internal “black-out” periods). All purchases under a Rule 10b5-1 plan must be made in accordance with a predefined plan, which must have been established when the Company was not aware of material non-public information. See Note 12 of Notes to Condensed Consolidated Financial Statements for additional information regarding the Company’s Share Repurchase Program.</w:t>
      </w:r>
    </w:p>
    <w:p>
      <w:pPr>
        <w:spacing w:after="0" w:line="42" w:lineRule="exact"/>
        <w:rPr>
          <w:sz w:val="20"/>
          <w:szCs w:val="20"/>
          <w:color w:val="auto"/>
        </w:rPr>
      </w:pPr>
    </w:p>
    <w:p>
      <w:pPr>
        <w:ind w:left="460" w:hanging="452"/>
        <w:spacing w:after="0" w:line="25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 the terms of the 2005 Plan and the 2008 Plan, upon the vesting of RSUs and delivery of restricted Class A common stock, shares of Class A common stock may be withheld by the Company to cover estimated income taxes. During the three month period ended September 30, 2012, the Company satisfied certain employees’ tax obligations in lieu of issuing 363,984 shares of Class A common stock to cover estimated taxes upon the vesting of 793,602 RSUs.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216"/>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Amended and Restated Third Supplemental Indenture, dated as of May 15, 2008, by and among Lazard Group LLC and The Bank of New</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York, as trustee (and incorporated by reference to Exhibit 4.1 to the Registrants’ Current Report on Form 8-K (Commission File No. 333-</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126751) filed on May 16,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56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 4.3).</w:t>
            </w:r>
          </w:p>
        </w:tc>
      </w:tr>
      <w:tr>
        <w:trPr>
          <w:trHeight w:val="365"/>
        </w:trPr>
        <w:tc>
          <w:tcPr>
            <w:tcW w:w="78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5"/>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and Consent, dated February 9, 2009, to the Business Alliance Agreement, dated as of May 10, 2005, by and between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Group LLC and LFCM Holdings LLC (incorporated by reference to Exhibit 10.12 to the Registrant’s Annual Report (File No. 001-32492) on</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Form 10-K filed on March 2, 2009).</w:t>
            </w:r>
          </w:p>
        </w:tc>
      </w:tr>
      <w:tr>
        <w:trPr>
          <w:trHeight w:val="365"/>
        </w:trPr>
        <w:tc>
          <w:tcPr>
            <w:tcW w:w="840" w:type="dxa"/>
            <w:vAlign w:val="bottom"/>
          </w:tcPr>
          <w:p>
            <w:pPr>
              <w:spacing w:after="0"/>
              <w:rPr>
                <w:sz w:val="24"/>
                <w:szCs w:val="24"/>
                <w:color w:val="auto"/>
              </w:rPr>
            </w:pPr>
          </w:p>
        </w:tc>
        <w:tc>
          <w:tcPr>
            <w:tcW w:w="10500" w:type="dxa"/>
            <w:vAlign w:val="bottom"/>
          </w:tcPr>
          <w:p>
            <w:pPr>
              <w:ind w:left="478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Schedule I for each of Michael J. Castellano and Scott D. Hoffman (incorporated by reference to Exhibit 10.26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on Form 8-K (File No. 001-32492)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26, 2009,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of May 4, 2005 (as amended from time to time), for Michael J. Castellano (incorporated by reference to Exhibit 10.26 to the Registrant’s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of May 4, 2005 and amended as of May 7, 2008, for Scott D. Hoffman (incorporated by reference to Exhibit 10.25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65"/>
        </w:trPr>
        <w:tc>
          <w:tcPr>
            <w:tcW w:w="88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the Registrant’s Annual Report (File No. 001-32492) on Form 10-K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10.28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10.41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10.42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Plan (incorporated by reference to Exhibit 10.43 to the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Letter Agreement regarding employment, dated as of April 21, 2010, between Lazard Group LLC and Gary W. Parr (incorporated by reference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to Exhibit 10.53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27, 2012 to Letter Agreement regarding employment, dated as of April 21, 2010,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Gary W. Parr (incorporated by reference to Exhibit 10.46 to the Registrant’s Quarterly Report (File No. 001-32492) on Form 10-Q filed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Senior Revolving Credit Agreement, dated as of September 25, 2012, among Lazard Group LLC, the Banks from time to time parties thereto,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and Citibank, N.A., as Administrative Agent.</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10.53 to the Registrant’s Quarterly Report (File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No. 001-32492) on Form 10-Q filed on 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10.56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10.52*</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of March 18, 2005 and amended on March 23, 2010, among the Registrant, Lazard Group LLC and Kenneth M. Jacobs.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10540" w:type="dxa"/>
            <w:vAlign w:val="bottom"/>
          </w:tcPr>
          <w:p>
            <w:pPr>
              <w:ind w:left="38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38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38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38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540" w:type="dxa"/>
            <w:vAlign w:val="bottom"/>
          </w:tcPr>
          <w:p>
            <w:pPr>
              <w:ind w:left="380"/>
              <w:spacing w:after="0"/>
              <w:rPr>
                <w:sz w:val="20"/>
                <w:szCs w:val="20"/>
                <w:color w:val="auto"/>
              </w:rPr>
            </w:pPr>
            <w:r>
              <w:rPr>
                <w:rFonts w:ascii="Arial" w:cs="Arial" w:eastAsia="Arial" w:hAnsi="Arial"/>
                <w:sz w:val="18"/>
                <w:szCs w:val="18"/>
                <w:color w:val="auto"/>
              </w:rPr>
              <w:t>Section 1350 Certification for Matthieu Bucaille.</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39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tcPr>
          <w:p>
            <w:pPr>
              <w:ind w:left="300"/>
              <w:spacing w:after="0"/>
              <w:rPr>
                <w:sz w:val="20"/>
                <w:szCs w:val="20"/>
                <w:color w:val="auto"/>
              </w:rPr>
            </w:pPr>
            <w:r>
              <w:rPr>
                <w:rFonts w:ascii="Arial" w:cs="Arial" w:eastAsia="Arial" w:hAnsi="Arial"/>
                <w:sz w:val="18"/>
                <w:szCs w:val="18"/>
                <w:color w:val="auto"/>
                <w:w w:val="92"/>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tcPr>
          <w:p>
            <w:pPr>
              <w:ind w:left="300"/>
              <w:spacing w:after="0"/>
              <w:rPr>
                <w:sz w:val="20"/>
                <w:szCs w:val="20"/>
                <w:color w:val="auto"/>
              </w:rPr>
            </w:pPr>
            <w:r>
              <w:rPr>
                <w:rFonts w:ascii="Arial" w:cs="Arial" w:eastAsia="Arial" w:hAnsi="Arial"/>
                <w:sz w:val="18"/>
                <w:szCs w:val="18"/>
                <w:color w:val="auto"/>
                <w:w w:val="95"/>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tcPr>
          <w:p>
            <w:pPr>
              <w:ind w:left="300"/>
              <w:spacing w:after="0"/>
              <w:rPr>
                <w:sz w:val="20"/>
                <w:szCs w:val="20"/>
                <w:color w:val="auto"/>
              </w:rPr>
            </w:pPr>
            <w:r>
              <w:rPr>
                <w:rFonts w:ascii="Arial" w:cs="Arial" w:eastAsia="Arial" w:hAnsi="Arial"/>
                <w:sz w:val="18"/>
                <w:szCs w:val="18"/>
                <w:color w:val="auto"/>
                <w:w w:val="89"/>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219"/>
          </w:cols>
          <w:pgMar w:left="240" w:top="459" w:right="1440"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J. Hittner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Richard J. Hittner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1249680</wp:posOffset>
            </wp:positionV>
            <wp:extent cx="15176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$150,000,000</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Several Banks from Time to Time Parties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Dated as of September 25,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302895</wp:posOffset>
            </wp:positionV>
            <wp:extent cx="1517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Lead Arranger</w:t>
      </w:r>
    </w:p>
    <w:p>
      <w:pPr>
        <w:sectPr>
          <w:pgSz w:w="11900" w:h="16838" w:orient="portrait"/>
          <w:cols w:equalWidth="0" w:num="1">
            <w:col w:w="10220"/>
          </w:cols>
          <w:pgMar w:left="1440" w:top="125" w:right="239" w:bottom="1440" w:gutter="0" w:footer="0" w:header="0"/>
        </w:sectPr>
      </w:pPr>
    </w:p>
    <w:bookmarkStart w:id="85" w:name="page86"/>
    <w:bookmarkEnd w:id="85"/>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9860" w:type="dxa"/>
            <w:vAlign w:val="bottom"/>
            <w:vMerge w:val="restart"/>
          </w:tcPr>
          <w:p>
            <w:pPr>
              <w:ind w:left="260"/>
              <w:spacing w:after="0"/>
              <w:rPr>
                <w:sz w:val="20"/>
                <w:szCs w:val="20"/>
                <w:color w:val="auto"/>
              </w:rPr>
            </w:pPr>
            <w:r>
              <w:rPr>
                <w:rFonts w:ascii="Arial" w:cs="Arial" w:eastAsia="Arial" w:hAnsi="Arial"/>
                <w:sz w:val="18"/>
                <w:szCs w:val="18"/>
                <w:color w:val="auto"/>
              </w:rPr>
              <w:t>DEFINITIONS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200" w:type="dxa"/>
            <w:vAlign w:val="bottom"/>
            <w:vMerge w:val="continue"/>
          </w:tcPr>
          <w:p>
            <w:pPr>
              <w:spacing w:after="0"/>
              <w:rPr>
                <w:sz w:val="17"/>
                <w:szCs w:val="17"/>
                <w:color w:val="auto"/>
              </w:rPr>
            </w:pPr>
          </w:p>
        </w:tc>
        <w:tc>
          <w:tcPr>
            <w:tcW w:w="9860" w:type="dxa"/>
            <w:vAlign w:val="bottom"/>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w:t>
            </w:r>
          </w:p>
        </w:tc>
        <w:tc>
          <w:tcPr>
            <w:tcW w:w="9860" w:type="dxa"/>
            <w:vAlign w:val="bottom"/>
          </w:tcPr>
          <w:p>
            <w:pPr>
              <w:ind w:left="260"/>
              <w:spacing w:after="0"/>
              <w:rPr>
                <w:sz w:val="20"/>
                <w:szCs w:val="20"/>
                <w:color w:val="auto"/>
              </w:rPr>
            </w:pPr>
            <w:r>
              <w:rPr>
                <w:rFonts w:ascii="Arial" w:cs="Arial" w:eastAsia="Arial" w:hAnsi="Arial"/>
                <w:sz w:val="18"/>
                <w:szCs w:val="18"/>
                <w:color w:val="auto"/>
              </w:rPr>
              <w:t>Defined Terms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1.2</w:t>
            </w:r>
          </w:p>
        </w:tc>
        <w:tc>
          <w:tcPr>
            <w:tcW w:w="9860" w:type="dxa"/>
            <w:vAlign w:val="bottom"/>
          </w:tcPr>
          <w:p>
            <w:pPr>
              <w:ind w:left="260"/>
              <w:spacing w:after="0"/>
              <w:rPr>
                <w:sz w:val="20"/>
                <w:szCs w:val="20"/>
                <w:color w:val="auto"/>
              </w:rPr>
            </w:pPr>
            <w:r>
              <w:rPr>
                <w:rFonts w:ascii="Arial" w:cs="Arial" w:eastAsia="Arial" w:hAnsi="Arial"/>
                <w:sz w:val="18"/>
                <w:szCs w:val="18"/>
                <w:color w:val="auto"/>
              </w:rPr>
              <w:t>Other Definitional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w:t>
            </w:r>
          </w:p>
        </w:tc>
        <w:tc>
          <w:tcPr>
            <w:tcW w:w="9860" w:type="dxa"/>
            <w:vAlign w:val="bottom"/>
          </w:tcPr>
          <w:p>
            <w:pPr>
              <w:ind w:left="260"/>
              <w:spacing w:after="0"/>
              <w:rPr>
                <w:sz w:val="20"/>
                <w:szCs w:val="20"/>
                <w:color w:val="auto"/>
              </w:rPr>
            </w:pPr>
            <w:r>
              <w:rPr>
                <w:rFonts w:ascii="Arial" w:cs="Arial" w:eastAsia="Arial" w:hAnsi="Arial"/>
                <w:sz w:val="18"/>
                <w:szCs w:val="18"/>
                <w:color w:val="auto"/>
              </w:rPr>
              <w:t>AMOUNT AND TERMS OF LOAN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w:t>
            </w:r>
          </w:p>
        </w:tc>
        <w:tc>
          <w:tcPr>
            <w:tcW w:w="9860" w:type="dxa"/>
            <w:vAlign w:val="bottom"/>
          </w:tcPr>
          <w:p>
            <w:pPr>
              <w:ind w:left="260"/>
              <w:spacing w:after="0"/>
              <w:rPr>
                <w:sz w:val="20"/>
                <w:szCs w:val="20"/>
                <w:color w:val="auto"/>
              </w:rPr>
            </w:pPr>
            <w:r>
              <w:rPr>
                <w:rFonts w:ascii="Arial" w:cs="Arial" w:eastAsia="Arial" w:hAnsi="Arial"/>
                <w:sz w:val="18"/>
                <w:szCs w:val="18"/>
                <w:color w:val="auto"/>
              </w:rPr>
              <w:t>Loans</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2.2</w:t>
            </w:r>
          </w:p>
        </w:tc>
        <w:tc>
          <w:tcPr>
            <w:tcW w:w="9860" w:type="dxa"/>
            <w:vAlign w:val="bottom"/>
          </w:tcPr>
          <w:p>
            <w:pPr>
              <w:ind w:left="260"/>
              <w:spacing w:after="0"/>
              <w:rPr>
                <w:sz w:val="20"/>
                <w:szCs w:val="20"/>
                <w:color w:val="auto"/>
              </w:rPr>
            </w:pPr>
            <w:r>
              <w:rPr>
                <w:rFonts w:ascii="Arial" w:cs="Arial" w:eastAsia="Arial" w:hAnsi="Arial"/>
                <w:sz w:val="18"/>
                <w:szCs w:val="18"/>
                <w:color w:val="auto"/>
              </w:rPr>
              <w:t>Notes</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2.3</w:t>
            </w:r>
          </w:p>
        </w:tc>
        <w:tc>
          <w:tcPr>
            <w:tcW w:w="9860" w:type="dxa"/>
            <w:vAlign w:val="bottom"/>
          </w:tcPr>
          <w:p>
            <w:pPr>
              <w:ind w:left="260"/>
              <w:spacing w:after="0"/>
              <w:rPr>
                <w:sz w:val="20"/>
                <w:szCs w:val="20"/>
                <w:color w:val="auto"/>
              </w:rPr>
            </w:pPr>
            <w:r>
              <w:rPr>
                <w:rFonts w:ascii="Arial" w:cs="Arial" w:eastAsia="Arial" w:hAnsi="Arial"/>
                <w:sz w:val="18"/>
                <w:szCs w:val="18"/>
                <w:color w:val="auto"/>
              </w:rPr>
              <w:t>Interest Rates and Interest Payment Dates</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2.4</w:t>
            </w:r>
          </w:p>
        </w:tc>
        <w:tc>
          <w:tcPr>
            <w:tcW w:w="9860" w:type="dxa"/>
            <w:vAlign w:val="bottom"/>
          </w:tcPr>
          <w:p>
            <w:pPr>
              <w:ind w:left="260"/>
              <w:spacing w:after="0"/>
              <w:rPr>
                <w:sz w:val="20"/>
                <w:szCs w:val="20"/>
                <w:color w:val="auto"/>
              </w:rPr>
            </w:pPr>
            <w:r>
              <w:rPr>
                <w:rFonts w:ascii="Arial" w:cs="Arial" w:eastAsia="Arial" w:hAnsi="Arial"/>
                <w:sz w:val="18"/>
                <w:szCs w:val="18"/>
                <w:color w:val="auto"/>
              </w:rPr>
              <w:t>Fees</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2.5</w:t>
            </w:r>
          </w:p>
        </w:tc>
        <w:tc>
          <w:tcPr>
            <w:tcW w:w="9860" w:type="dxa"/>
            <w:vAlign w:val="bottom"/>
          </w:tcPr>
          <w:p>
            <w:pPr>
              <w:ind w:left="260"/>
              <w:spacing w:after="0"/>
              <w:rPr>
                <w:sz w:val="20"/>
                <w:szCs w:val="20"/>
                <w:color w:val="auto"/>
              </w:rPr>
            </w:pPr>
            <w:r>
              <w:rPr>
                <w:rFonts w:ascii="Arial" w:cs="Arial" w:eastAsia="Arial" w:hAnsi="Arial"/>
                <w:sz w:val="18"/>
                <w:szCs w:val="18"/>
                <w:color w:val="auto"/>
              </w:rPr>
              <w:t>Computation of Interest and Fees</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2.6</w:t>
            </w:r>
          </w:p>
        </w:tc>
        <w:tc>
          <w:tcPr>
            <w:tcW w:w="9860" w:type="dxa"/>
            <w:vAlign w:val="bottom"/>
          </w:tcPr>
          <w:p>
            <w:pPr>
              <w:ind w:left="260"/>
              <w:spacing w:after="0"/>
              <w:rPr>
                <w:sz w:val="20"/>
                <w:szCs w:val="20"/>
                <w:color w:val="auto"/>
              </w:rPr>
            </w:pPr>
            <w:r>
              <w:rPr>
                <w:rFonts w:ascii="Arial" w:cs="Arial" w:eastAsia="Arial" w:hAnsi="Arial"/>
                <w:sz w:val="18"/>
                <w:szCs w:val="18"/>
                <w:color w:val="auto"/>
              </w:rPr>
              <w:t>Procedure for Borrowing</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2.7</w:t>
            </w:r>
          </w:p>
        </w:tc>
        <w:tc>
          <w:tcPr>
            <w:tcW w:w="9860" w:type="dxa"/>
            <w:vAlign w:val="bottom"/>
          </w:tcPr>
          <w:p>
            <w:pPr>
              <w:ind w:left="260"/>
              <w:spacing w:after="0"/>
              <w:rPr>
                <w:sz w:val="20"/>
                <w:szCs w:val="20"/>
                <w:color w:val="auto"/>
              </w:rPr>
            </w:pPr>
            <w:r>
              <w:rPr>
                <w:rFonts w:ascii="Arial" w:cs="Arial" w:eastAsia="Arial" w:hAnsi="Arial"/>
                <w:sz w:val="18"/>
                <w:szCs w:val="18"/>
                <w:color w:val="auto"/>
              </w:rPr>
              <w:t>Conversion and Continuation Options</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2.8</w:t>
            </w:r>
          </w:p>
        </w:tc>
        <w:tc>
          <w:tcPr>
            <w:tcW w:w="9860" w:type="dxa"/>
            <w:vAlign w:val="bottom"/>
          </w:tcPr>
          <w:p>
            <w:pPr>
              <w:ind w:left="260"/>
              <w:spacing w:after="0"/>
              <w:rPr>
                <w:sz w:val="20"/>
                <w:szCs w:val="20"/>
                <w:color w:val="auto"/>
              </w:rPr>
            </w:pPr>
            <w:r>
              <w:rPr>
                <w:rFonts w:ascii="Arial" w:cs="Arial" w:eastAsia="Arial" w:hAnsi="Arial"/>
                <w:sz w:val="18"/>
                <w:szCs w:val="18"/>
                <w:color w:val="auto"/>
              </w:rPr>
              <w:t>Termination or Reduction of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2.9</w:t>
            </w:r>
          </w:p>
        </w:tc>
        <w:tc>
          <w:tcPr>
            <w:tcW w:w="9860" w:type="dxa"/>
            <w:vAlign w:val="bottom"/>
          </w:tcPr>
          <w:p>
            <w:pPr>
              <w:ind w:left="260"/>
              <w:spacing w:after="0"/>
              <w:rPr>
                <w:sz w:val="20"/>
                <w:szCs w:val="20"/>
                <w:color w:val="auto"/>
              </w:rPr>
            </w:pPr>
            <w:r>
              <w:rPr>
                <w:rFonts w:ascii="Arial" w:cs="Arial" w:eastAsia="Arial" w:hAnsi="Arial"/>
                <w:sz w:val="18"/>
                <w:szCs w:val="18"/>
                <w:color w:val="auto"/>
              </w:rPr>
              <w:t>Optional Prepayments of Loans</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2.10</w:t>
            </w:r>
          </w:p>
        </w:tc>
        <w:tc>
          <w:tcPr>
            <w:tcW w:w="9860" w:type="dxa"/>
            <w:vAlign w:val="bottom"/>
          </w:tcPr>
          <w:p>
            <w:pPr>
              <w:ind w:left="260"/>
              <w:spacing w:after="0"/>
              <w:rPr>
                <w:sz w:val="20"/>
                <w:szCs w:val="20"/>
                <w:color w:val="auto"/>
              </w:rPr>
            </w:pPr>
            <w:r>
              <w:rPr>
                <w:rFonts w:ascii="Arial" w:cs="Arial" w:eastAsia="Arial" w:hAnsi="Arial"/>
                <w:sz w:val="18"/>
                <w:szCs w:val="18"/>
                <w:color w:val="auto"/>
              </w:rPr>
              <w:t>Pro Rata Treatment and 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2.11</w:t>
            </w:r>
          </w:p>
        </w:tc>
        <w:tc>
          <w:tcPr>
            <w:tcW w:w="9860" w:type="dxa"/>
            <w:vAlign w:val="bottom"/>
          </w:tcPr>
          <w:p>
            <w:pPr>
              <w:ind w:left="260"/>
              <w:spacing w:after="0"/>
              <w:rPr>
                <w:sz w:val="20"/>
                <w:szCs w:val="20"/>
                <w:color w:val="auto"/>
              </w:rPr>
            </w:pPr>
            <w:r>
              <w:rPr>
                <w:rFonts w:ascii="Arial" w:cs="Arial" w:eastAsia="Arial" w:hAnsi="Arial"/>
                <w:sz w:val="18"/>
                <w:szCs w:val="18"/>
                <w:color w:val="auto"/>
              </w:rPr>
              <w:t>Non-Receipt of Funds by the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2.12</w:t>
            </w:r>
          </w:p>
        </w:tc>
        <w:tc>
          <w:tcPr>
            <w:tcW w:w="9860" w:type="dxa"/>
            <w:vAlign w:val="bottom"/>
          </w:tcPr>
          <w:p>
            <w:pPr>
              <w:ind w:left="260"/>
              <w:spacing w:after="0"/>
              <w:rPr>
                <w:sz w:val="20"/>
                <w:szCs w:val="20"/>
                <w:color w:val="auto"/>
              </w:rPr>
            </w:pPr>
            <w:r>
              <w:rPr>
                <w:rFonts w:ascii="Arial" w:cs="Arial" w:eastAsia="Arial" w:hAnsi="Arial"/>
                <w:sz w:val="18"/>
                <w:szCs w:val="18"/>
                <w:color w:val="auto"/>
              </w:rPr>
              <w:t>Indemnity</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2.13</w:t>
            </w:r>
          </w:p>
        </w:tc>
        <w:tc>
          <w:tcPr>
            <w:tcW w:w="9860" w:type="dxa"/>
            <w:vAlign w:val="bottom"/>
          </w:tcPr>
          <w:p>
            <w:pPr>
              <w:ind w:left="260"/>
              <w:spacing w:after="0"/>
              <w:rPr>
                <w:sz w:val="20"/>
                <w:szCs w:val="20"/>
                <w:color w:val="auto"/>
              </w:rPr>
            </w:pPr>
            <w:r>
              <w:rPr>
                <w:rFonts w:ascii="Arial" w:cs="Arial" w:eastAsia="Arial" w:hAnsi="Arial"/>
                <w:sz w:val="18"/>
                <w:szCs w:val="18"/>
                <w:color w:val="auto"/>
              </w:rPr>
              <w:t>Capital Adequacy</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2.14</w:t>
            </w:r>
          </w:p>
        </w:tc>
        <w:tc>
          <w:tcPr>
            <w:tcW w:w="9860" w:type="dxa"/>
            <w:vAlign w:val="bottom"/>
          </w:tcPr>
          <w:p>
            <w:pPr>
              <w:ind w:left="260"/>
              <w:spacing w:after="0"/>
              <w:rPr>
                <w:sz w:val="20"/>
                <w:szCs w:val="20"/>
                <w:color w:val="auto"/>
              </w:rPr>
            </w:pPr>
            <w:r>
              <w:rPr>
                <w:rFonts w:ascii="Arial" w:cs="Arial" w:eastAsia="Arial" w:hAnsi="Arial"/>
                <w:sz w:val="18"/>
                <w:szCs w:val="18"/>
                <w:color w:val="auto"/>
              </w:rPr>
              <w:t>Inability to Determine Interest Rate</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2.15</w:t>
            </w:r>
          </w:p>
        </w:tc>
        <w:tc>
          <w:tcPr>
            <w:tcW w:w="9860" w:type="dxa"/>
            <w:vAlign w:val="bottom"/>
          </w:tcPr>
          <w:p>
            <w:pPr>
              <w:ind w:left="260"/>
              <w:spacing w:after="0"/>
              <w:rPr>
                <w:sz w:val="20"/>
                <w:szCs w:val="20"/>
                <w:color w:val="auto"/>
              </w:rPr>
            </w:pPr>
            <w:r>
              <w:rPr>
                <w:rFonts w:ascii="Arial" w:cs="Arial" w:eastAsia="Arial" w:hAnsi="Arial"/>
                <w:sz w:val="18"/>
                <w:szCs w:val="18"/>
                <w:color w:val="auto"/>
              </w:rPr>
              <w:t>Illegality</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2.16</w:t>
            </w:r>
          </w:p>
        </w:tc>
        <w:tc>
          <w:tcPr>
            <w:tcW w:w="9860" w:type="dxa"/>
            <w:vAlign w:val="bottom"/>
          </w:tcPr>
          <w:p>
            <w:pPr>
              <w:ind w:left="260"/>
              <w:spacing w:after="0"/>
              <w:rPr>
                <w:sz w:val="20"/>
                <w:szCs w:val="20"/>
                <w:color w:val="auto"/>
              </w:rPr>
            </w:pPr>
            <w:r>
              <w:rPr>
                <w:rFonts w:ascii="Arial" w:cs="Arial" w:eastAsia="Arial" w:hAnsi="Arial"/>
                <w:sz w:val="18"/>
                <w:szCs w:val="18"/>
                <w:color w:val="auto"/>
              </w:rPr>
              <w:t>Requirements of Law</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2.17</w:t>
            </w:r>
          </w:p>
        </w:tc>
        <w:tc>
          <w:tcPr>
            <w:tcW w:w="9860" w:type="dxa"/>
            <w:vAlign w:val="bottom"/>
          </w:tcPr>
          <w:p>
            <w:pPr>
              <w:ind w:left="26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2.18</w:t>
            </w:r>
          </w:p>
        </w:tc>
        <w:tc>
          <w:tcPr>
            <w:tcW w:w="9860" w:type="dxa"/>
            <w:vAlign w:val="bottom"/>
          </w:tcPr>
          <w:p>
            <w:pPr>
              <w:ind w:left="260"/>
              <w:spacing w:after="0"/>
              <w:rPr>
                <w:sz w:val="20"/>
                <w:szCs w:val="20"/>
                <w:color w:val="auto"/>
              </w:rPr>
            </w:pPr>
            <w:r>
              <w:rPr>
                <w:rFonts w:ascii="Arial" w:cs="Arial" w:eastAsia="Arial" w:hAnsi="Arial"/>
                <w:sz w:val="18"/>
                <w:szCs w:val="18"/>
                <w:color w:val="auto"/>
              </w:rPr>
              <w:t>Commitment Reductions and Mandatory Prepayments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2.19</w:t>
            </w:r>
          </w:p>
        </w:tc>
        <w:tc>
          <w:tcPr>
            <w:tcW w:w="9860" w:type="dxa"/>
            <w:vAlign w:val="bottom"/>
          </w:tcPr>
          <w:p>
            <w:pPr>
              <w:ind w:left="260"/>
              <w:spacing w:after="0"/>
              <w:rPr>
                <w:sz w:val="20"/>
                <w:szCs w:val="20"/>
                <w:color w:val="auto"/>
              </w:rPr>
            </w:pPr>
            <w:r>
              <w:rPr>
                <w:rFonts w:ascii="Arial" w:cs="Arial" w:eastAsia="Arial" w:hAnsi="Arial"/>
                <w:sz w:val="18"/>
                <w:szCs w:val="18"/>
                <w:color w:val="auto"/>
              </w:rPr>
              <w:t>Defaulting Lender</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2.20</w:t>
            </w:r>
          </w:p>
        </w:tc>
        <w:tc>
          <w:tcPr>
            <w:tcW w:w="9860" w:type="dxa"/>
            <w:vAlign w:val="bottom"/>
          </w:tcPr>
          <w:p>
            <w:pPr>
              <w:ind w:left="260"/>
              <w:spacing w:after="0"/>
              <w:rPr>
                <w:sz w:val="20"/>
                <w:szCs w:val="20"/>
                <w:color w:val="auto"/>
              </w:rPr>
            </w:pPr>
            <w:r>
              <w:rPr>
                <w:rFonts w:ascii="Arial" w:cs="Arial" w:eastAsia="Arial" w:hAnsi="Arial"/>
                <w:sz w:val="18"/>
                <w:szCs w:val="18"/>
                <w:color w:val="auto"/>
              </w:rPr>
              <w:t>Mitigation Obligations; Replacement of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w:t>
            </w:r>
          </w:p>
        </w:tc>
        <w:tc>
          <w:tcPr>
            <w:tcW w:w="986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w:t>
            </w:r>
          </w:p>
        </w:tc>
        <w:tc>
          <w:tcPr>
            <w:tcW w:w="9860" w:type="dxa"/>
            <w:vAlign w:val="bottom"/>
          </w:tcPr>
          <w:p>
            <w:pPr>
              <w:ind w:left="260"/>
              <w:spacing w:after="0"/>
              <w:rPr>
                <w:sz w:val="20"/>
                <w:szCs w:val="20"/>
                <w:color w:val="auto"/>
              </w:rPr>
            </w:pPr>
            <w:r>
              <w:rPr>
                <w:rFonts w:ascii="Arial" w:cs="Arial" w:eastAsia="Arial" w:hAnsi="Arial"/>
                <w:sz w:val="18"/>
                <w:szCs w:val="18"/>
                <w:color w:val="auto"/>
              </w:rPr>
              <w:t>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4.1</w:t>
            </w:r>
          </w:p>
        </w:tc>
        <w:tc>
          <w:tcPr>
            <w:tcW w:w="9860" w:type="dxa"/>
            <w:vAlign w:val="bottom"/>
          </w:tcPr>
          <w:p>
            <w:pPr>
              <w:ind w:left="260"/>
              <w:spacing w:after="0"/>
              <w:rPr>
                <w:sz w:val="20"/>
                <w:szCs w:val="20"/>
                <w:color w:val="auto"/>
              </w:rPr>
            </w:pPr>
            <w:r>
              <w:rPr>
                <w:rFonts w:ascii="Arial" w:cs="Arial" w:eastAsia="Arial" w:hAnsi="Arial"/>
                <w:sz w:val="18"/>
                <w:szCs w:val="18"/>
                <w:color w:val="auto"/>
              </w:rPr>
              <w:t>Financial Condition</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4.2</w:t>
            </w:r>
          </w:p>
        </w:tc>
        <w:tc>
          <w:tcPr>
            <w:tcW w:w="9860" w:type="dxa"/>
            <w:vAlign w:val="bottom"/>
          </w:tcPr>
          <w:p>
            <w:pPr>
              <w:ind w:left="260"/>
              <w:spacing w:after="0"/>
              <w:rPr>
                <w:sz w:val="20"/>
                <w:szCs w:val="20"/>
                <w:color w:val="auto"/>
              </w:rPr>
            </w:pPr>
            <w:r>
              <w:rPr>
                <w:rFonts w:ascii="Arial" w:cs="Arial" w:eastAsia="Arial" w:hAnsi="Arial"/>
                <w:sz w:val="18"/>
                <w:szCs w:val="18"/>
                <w:color w:val="auto"/>
              </w:rPr>
              <w:t>No Material Adverse Effect</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4.3</w:t>
            </w:r>
          </w:p>
        </w:tc>
        <w:tc>
          <w:tcPr>
            <w:tcW w:w="9860" w:type="dxa"/>
            <w:vAlign w:val="bottom"/>
          </w:tcPr>
          <w:p>
            <w:pPr>
              <w:ind w:left="260"/>
              <w:spacing w:after="0"/>
              <w:rPr>
                <w:sz w:val="20"/>
                <w:szCs w:val="20"/>
                <w:color w:val="auto"/>
              </w:rPr>
            </w:pPr>
            <w:r>
              <w:rPr>
                <w:rFonts w:ascii="Arial" w:cs="Arial" w:eastAsia="Arial" w:hAnsi="Arial"/>
                <w:sz w:val="18"/>
                <w:szCs w:val="18"/>
                <w:color w:val="auto"/>
              </w:rPr>
              <w:t>Existence; Compliance with Law</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4.4</w:t>
            </w:r>
          </w:p>
        </w:tc>
        <w:tc>
          <w:tcPr>
            <w:tcW w:w="9860" w:type="dxa"/>
            <w:vAlign w:val="bottom"/>
          </w:tcPr>
          <w:p>
            <w:pPr>
              <w:ind w:left="260"/>
              <w:spacing w:after="0"/>
              <w:rPr>
                <w:sz w:val="20"/>
                <w:szCs w:val="20"/>
                <w:color w:val="auto"/>
              </w:rPr>
            </w:pPr>
            <w:r>
              <w:rPr>
                <w:rFonts w:ascii="Arial" w:cs="Arial" w:eastAsia="Arial" w:hAnsi="Arial"/>
                <w:sz w:val="18"/>
                <w:szCs w:val="18"/>
                <w:color w:val="auto"/>
              </w:rPr>
              <w:t>Power; Authorization; Enforceable Obligations</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4.5</w:t>
            </w:r>
          </w:p>
        </w:tc>
        <w:tc>
          <w:tcPr>
            <w:tcW w:w="9860" w:type="dxa"/>
            <w:vAlign w:val="bottom"/>
          </w:tcPr>
          <w:p>
            <w:pPr>
              <w:ind w:left="260"/>
              <w:spacing w:after="0"/>
              <w:rPr>
                <w:sz w:val="20"/>
                <w:szCs w:val="20"/>
                <w:color w:val="auto"/>
              </w:rPr>
            </w:pPr>
            <w:r>
              <w:rPr>
                <w:rFonts w:ascii="Arial" w:cs="Arial" w:eastAsia="Arial" w:hAnsi="Arial"/>
                <w:sz w:val="18"/>
                <w:szCs w:val="18"/>
                <w:color w:val="auto"/>
              </w:rPr>
              <w:t>No Legal Bar</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4.6</w:t>
            </w:r>
          </w:p>
        </w:tc>
        <w:tc>
          <w:tcPr>
            <w:tcW w:w="9860" w:type="dxa"/>
            <w:vAlign w:val="bottom"/>
          </w:tcPr>
          <w:p>
            <w:pPr>
              <w:ind w:left="260"/>
              <w:spacing w:after="0"/>
              <w:rPr>
                <w:sz w:val="20"/>
                <w:szCs w:val="20"/>
                <w:color w:val="auto"/>
              </w:rPr>
            </w:pPr>
            <w:r>
              <w:rPr>
                <w:rFonts w:ascii="Arial" w:cs="Arial" w:eastAsia="Arial" w:hAnsi="Arial"/>
                <w:sz w:val="18"/>
                <w:szCs w:val="18"/>
                <w:color w:val="auto"/>
              </w:rPr>
              <w:t>No Material Litigation</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4.7</w:t>
            </w:r>
          </w:p>
        </w:tc>
        <w:tc>
          <w:tcPr>
            <w:tcW w:w="9860" w:type="dxa"/>
            <w:vAlign w:val="bottom"/>
          </w:tcPr>
          <w:p>
            <w:pPr>
              <w:ind w:left="260"/>
              <w:spacing w:after="0"/>
              <w:rPr>
                <w:sz w:val="20"/>
                <w:szCs w:val="20"/>
                <w:color w:val="auto"/>
              </w:rPr>
            </w:pPr>
            <w:r>
              <w:rPr>
                <w:rFonts w:ascii="Arial" w:cs="Arial" w:eastAsia="Arial" w:hAnsi="Arial"/>
                <w:sz w:val="18"/>
                <w:szCs w:val="18"/>
                <w:color w:val="auto"/>
              </w:rPr>
              <w:t>No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4.8</w:t>
            </w:r>
          </w:p>
        </w:tc>
        <w:tc>
          <w:tcPr>
            <w:tcW w:w="9860" w:type="dxa"/>
            <w:vAlign w:val="bottom"/>
          </w:tcPr>
          <w:p>
            <w:pPr>
              <w:ind w:left="260"/>
              <w:spacing w:after="0"/>
              <w:rPr>
                <w:sz w:val="20"/>
                <w:szCs w:val="20"/>
                <w:color w:val="auto"/>
              </w:rPr>
            </w:pPr>
            <w:r>
              <w:rPr>
                <w:rFonts w:ascii="Arial" w:cs="Arial" w:eastAsia="Arial" w:hAnsi="Arial"/>
                <w:sz w:val="18"/>
                <w:szCs w:val="18"/>
                <w:color w:val="auto"/>
              </w:rPr>
              <w:t>Ownership of Property; Liens</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4.9</w:t>
            </w:r>
          </w:p>
        </w:tc>
        <w:tc>
          <w:tcPr>
            <w:tcW w:w="9860" w:type="dxa"/>
            <w:vAlign w:val="bottom"/>
          </w:tcPr>
          <w:p>
            <w:pPr>
              <w:ind w:left="26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4.10</w:t>
            </w:r>
          </w:p>
        </w:tc>
        <w:tc>
          <w:tcPr>
            <w:tcW w:w="9860" w:type="dxa"/>
            <w:vAlign w:val="bottom"/>
          </w:tcPr>
          <w:p>
            <w:pPr>
              <w:ind w:left="260"/>
              <w:spacing w:after="0"/>
              <w:rPr>
                <w:sz w:val="20"/>
                <w:szCs w:val="20"/>
                <w:color w:val="auto"/>
              </w:rPr>
            </w:pPr>
            <w:r>
              <w:rPr>
                <w:rFonts w:ascii="Arial" w:cs="Arial" w:eastAsia="Arial" w:hAnsi="Arial"/>
                <w:sz w:val="18"/>
                <w:szCs w:val="18"/>
                <w:color w:val="auto"/>
              </w:rPr>
              <w:t>Federal Regulations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4.11</w:t>
            </w:r>
          </w:p>
        </w:tc>
        <w:tc>
          <w:tcPr>
            <w:tcW w:w="9860" w:type="dxa"/>
            <w:vAlign w:val="bottom"/>
          </w:tcPr>
          <w:p>
            <w:pPr>
              <w:ind w:left="260"/>
              <w:spacing w:after="0"/>
              <w:rPr>
                <w:sz w:val="20"/>
                <w:szCs w:val="20"/>
                <w:color w:val="auto"/>
              </w:rPr>
            </w:pPr>
            <w:r>
              <w:rPr>
                <w:rFonts w:ascii="Arial" w:cs="Arial" w:eastAsia="Arial" w:hAnsi="Arial"/>
                <w:sz w:val="18"/>
                <w:szCs w:val="18"/>
                <w:color w:val="auto"/>
              </w:rPr>
              <w:t>ERISA</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4.12</w:t>
            </w:r>
          </w:p>
        </w:tc>
        <w:tc>
          <w:tcPr>
            <w:tcW w:w="9860" w:type="dxa"/>
            <w:vAlign w:val="bottom"/>
          </w:tcPr>
          <w:p>
            <w:pPr>
              <w:ind w:left="260"/>
              <w:spacing w:after="0"/>
              <w:rPr>
                <w:sz w:val="20"/>
                <w:szCs w:val="20"/>
                <w:color w:val="auto"/>
              </w:rPr>
            </w:pPr>
            <w:r>
              <w:rPr>
                <w:rFonts w:ascii="Arial" w:cs="Arial" w:eastAsia="Arial" w:hAnsi="Arial"/>
                <w:sz w:val="18"/>
                <w:szCs w:val="18"/>
                <w:color w:val="auto"/>
              </w:rPr>
              <w:t>Investment Company Act; Other Regulations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4.13</w:t>
            </w:r>
          </w:p>
        </w:tc>
        <w:tc>
          <w:tcPr>
            <w:tcW w:w="9860" w:type="dxa"/>
            <w:vAlign w:val="bottom"/>
          </w:tcPr>
          <w:p>
            <w:pPr>
              <w:ind w:left="260"/>
              <w:spacing w:after="0"/>
              <w:rPr>
                <w:sz w:val="20"/>
                <w:szCs w:val="20"/>
                <w:color w:val="auto"/>
              </w:rPr>
            </w:pPr>
            <w:r>
              <w:rPr>
                <w:rFonts w:ascii="Arial" w:cs="Arial" w:eastAsia="Arial" w:hAnsi="Arial"/>
                <w:sz w:val="18"/>
                <w:szCs w:val="18"/>
                <w:color w:val="auto"/>
              </w:rPr>
              <w:t>Significant Subsidiaries</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4.14</w:t>
            </w:r>
          </w:p>
        </w:tc>
        <w:tc>
          <w:tcPr>
            <w:tcW w:w="9860" w:type="dxa"/>
            <w:vAlign w:val="bottom"/>
          </w:tcPr>
          <w:p>
            <w:pPr>
              <w:ind w:left="260"/>
              <w:spacing w:after="0"/>
              <w:rPr>
                <w:sz w:val="20"/>
                <w:szCs w:val="20"/>
                <w:color w:val="auto"/>
              </w:rPr>
            </w:pPr>
            <w:r>
              <w:rPr>
                <w:rFonts w:ascii="Arial" w:cs="Arial" w:eastAsia="Arial" w:hAnsi="Arial"/>
                <w:sz w:val="18"/>
                <w:szCs w:val="18"/>
                <w:color w:val="auto"/>
              </w:rPr>
              <w:t>Accuracy of Information, etc</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4.15</w:t>
            </w:r>
          </w:p>
        </w:tc>
        <w:tc>
          <w:tcPr>
            <w:tcW w:w="9860" w:type="dxa"/>
            <w:vAlign w:val="bottom"/>
          </w:tcPr>
          <w:p>
            <w:pPr>
              <w:ind w:left="260"/>
              <w:spacing w:after="0"/>
              <w:rPr>
                <w:sz w:val="20"/>
                <w:szCs w:val="20"/>
                <w:color w:val="auto"/>
              </w:rPr>
            </w:pPr>
            <w:r>
              <w:rPr>
                <w:rFonts w:ascii="Arial" w:cs="Arial" w:eastAsia="Arial" w:hAnsi="Arial"/>
                <w:sz w:val="18"/>
                <w:szCs w:val="18"/>
                <w:color w:val="auto"/>
              </w:rPr>
              <w:t>Use of Proceeds</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w:t>
            </w:r>
          </w:p>
        </w:tc>
        <w:tc>
          <w:tcPr>
            <w:tcW w:w="9860" w:type="dxa"/>
            <w:vAlign w:val="bottom"/>
          </w:tcPr>
          <w:p>
            <w:pPr>
              <w:ind w:left="260"/>
              <w:spacing w:after="0"/>
              <w:rPr>
                <w:sz w:val="20"/>
                <w:szCs w:val="20"/>
                <w:color w:val="auto"/>
              </w:rPr>
            </w:pPr>
            <w:r>
              <w:rPr>
                <w:rFonts w:ascii="Arial" w:cs="Arial" w:eastAsia="Arial" w:hAnsi="Arial"/>
                <w:sz w:val="18"/>
                <w:szCs w:val="18"/>
                <w:color w:val="auto"/>
              </w:rPr>
              <w:t>CONDITIONS PRECEDENT</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5.1</w:t>
            </w:r>
          </w:p>
        </w:tc>
        <w:tc>
          <w:tcPr>
            <w:tcW w:w="9860" w:type="dxa"/>
            <w:vAlign w:val="bottom"/>
          </w:tcPr>
          <w:p>
            <w:pPr>
              <w:ind w:left="260"/>
              <w:spacing w:after="0"/>
              <w:rPr>
                <w:sz w:val="20"/>
                <w:szCs w:val="20"/>
                <w:color w:val="auto"/>
              </w:rPr>
            </w:pPr>
            <w:r>
              <w:rPr>
                <w:rFonts w:ascii="Arial" w:cs="Arial" w:eastAsia="Arial" w:hAnsi="Arial"/>
                <w:sz w:val="18"/>
                <w:szCs w:val="18"/>
                <w:color w:val="auto"/>
              </w:rPr>
              <w:t>Conditions of Initial Loans</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5.2</w:t>
            </w:r>
          </w:p>
        </w:tc>
        <w:tc>
          <w:tcPr>
            <w:tcW w:w="9860" w:type="dxa"/>
            <w:vAlign w:val="bottom"/>
          </w:tcPr>
          <w:p>
            <w:pPr>
              <w:ind w:left="260"/>
              <w:spacing w:after="0"/>
              <w:rPr>
                <w:sz w:val="20"/>
                <w:szCs w:val="20"/>
                <w:color w:val="auto"/>
              </w:rPr>
            </w:pPr>
            <w:r>
              <w:rPr>
                <w:rFonts w:ascii="Arial" w:cs="Arial" w:eastAsia="Arial" w:hAnsi="Arial"/>
                <w:sz w:val="18"/>
                <w:szCs w:val="18"/>
                <w:color w:val="auto"/>
              </w:rPr>
              <w:t>Conditions to All Loans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w:t>
            </w:r>
          </w:p>
        </w:tc>
        <w:tc>
          <w:tcPr>
            <w:tcW w:w="9860" w:type="dxa"/>
            <w:vAlign w:val="bottom"/>
          </w:tcPr>
          <w:p>
            <w:pPr>
              <w:ind w:left="260"/>
              <w:spacing w:after="0"/>
              <w:rPr>
                <w:sz w:val="20"/>
                <w:szCs w:val="20"/>
                <w:color w:val="auto"/>
              </w:rPr>
            </w:pPr>
            <w:r>
              <w:rPr>
                <w:rFonts w:ascii="Arial" w:cs="Arial" w:eastAsia="Arial" w:hAnsi="Arial"/>
                <w:sz w:val="18"/>
                <w:szCs w:val="18"/>
                <w:color w:val="auto"/>
              </w:rPr>
              <w:t>AFFIRMATIVE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6.1</w:t>
            </w:r>
          </w:p>
        </w:tc>
        <w:tc>
          <w:tcPr>
            <w:tcW w:w="986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6.2</w:t>
            </w:r>
          </w:p>
        </w:tc>
        <w:tc>
          <w:tcPr>
            <w:tcW w:w="9860" w:type="dxa"/>
            <w:vAlign w:val="bottom"/>
          </w:tcPr>
          <w:p>
            <w:pPr>
              <w:ind w:left="260"/>
              <w:spacing w:after="0"/>
              <w:rPr>
                <w:sz w:val="20"/>
                <w:szCs w:val="20"/>
                <w:color w:val="auto"/>
              </w:rPr>
            </w:pPr>
            <w:r>
              <w:rPr>
                <w:rFonts w:ascii="Arial" w:cs="Arial" w:eastAsia="Arial" w:hAnsi="Arial"/>
                <w:sz w:val="18"/>
                <w:szCs w:val="18"/>
                <w:color w:val="auto"/>
              </w:rPr>
              <w:t>Certificates; Other Information</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6.3</w:t>
            </w:r>
          </w:p>
        </w:tc>
        <w:tc>
          <w:tcPr>
            <w:tcW w:w="9860" w:type="dxa"/>
            <w:vAlign w:val="bottom"/>
          </w:tcPr>
          <w:p>
            <w:pPr>
              <w:ind w:left="260"/>
              <w:spacing w:after="0"/>
              <w:rPr>
                <w:sz w:val="20"/>
                <w:szCs w:val="20"/>
                <w:color w:val="auto"/>
              </w:rPr>
            </w:pPr>
            <w:r>
              <w:rPr>
                <w:rFonts w:ascii="Arial" w:cs="Arial" w:eastAsia="Arial" w:hAnsi="Arial"/>
                <w:sz w:val="18"/>
                <w:szCs w:val="18"/>
                <w:color w:val="auto"/>
              </w:rPr>
              <w:t>Conduct of Business and Maintenance of Existence; Compliance</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1200" w:type="dxa"/>
            <w:vAlign w:val="bottom"/>
          </w:tcPr>
          <w:p>
            <w:pPr>
              <w:ind w:left="660"/>
              <w:spacing w:after="0"/>
              <w:rPr>
                <w:sz w:val="20"/>
                <w:szCs w:val="20"/>
                <w:color w:val="auto"/>
              </w:rPr>
            </w:pPr>
            <w:r>
              <w:rPr>
                <w:rFonts w:ascii="Arial" w:cs="Arial" w:eastAsia="Arial" w:hAnsi="Arial"/>
                <w:sz w:val="18"/>
                <w:szCs w:val="18"/>
                <w:color w:val="auto"/>
              </w:rPr>
              <w:t>6.4</w:t>
            </w:r>
          </w:p>
        </w:tc>
        <w:tc>
          <w:tcPr>
            <w:tcW w:w="9860" w:type="dxa"/>
            <w:vAlign w:val="bottom"/>
          </w:tcPr>
          <w:p>
            <w:pPr>
              <w:ind w:left="260"/>
              <w:spacing w:after="0"/>
              <w:rPr>
                <w:sz w:val="20"/>
                <w:szCs w:val="20"/>
                <w:color w:val="auto"/>
              </w:rPr>
            </w:pPr>
            <w:r>
              <w:rPr>
                <w:rFonts w:ascii="Arial" w:cs="Arial" w:eastAsia="Arial" w:hAnsi="Arial"/>
                <w:sz w:val="18"/>
                <w:szCs w:val="18"/>
                <w:color w:val="auto"/>
              </w:rPr>
              <w:t>Maintenance of Property; Insurance</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80"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1280" w:type="dxa"/>
            <w:vAlign w:val="bottom"/>
            <w:vMerge w:val="restart"/>
          </w:tcPr>
          <w:p>
            <w:pPr>
              <w:ind w:left="660"/>
              <w:spacing w:after="0"/>
              <w:rPr>
                <w:sz w:val="20"/>
                <w:szCs w:val="20"/>
                <w:color w:val="auto"/>
              </w:rPr>
            </w:pPr>
            <w:r>
              <w:rPr>
                <w:rFonts w:ascii="Arial" w:cs="Arial" w:eastAsia="Arial" w:hAnsi="Arial"/>
                <w:sz w:val="18"/>
                <w:szCs w:val="18"/>
                <w:color w:val="auto"/>
              </w:rPr>
              <w:t>6.5</w:t>
            </w:r>
          </w:p>
        </w:tc>
        <w:tc>
          <w:tcPr>
            <w:tcW w:w="9780" w:type="dxa"/>
            <w:vAlign w:val="bottom"/>
            <w:gridSpan w:val="2"/>
            <w:vMerge w:val="restart"/>
          </w:tcPr>
          <w:p>
            <w:pPr>
              <w:ind w:left="300"/>
              <w:spacing w:after="0"/>
              <w:rPr>
                <w:sz w:val="20"/>
                <w:szCs w:val="20"/>
                <w:color w:val="auto"/>
              </w:rPr>
            </w:pPr>
            <w:r>
              <w:rPr>
                <w:rFonts w:ascii="Arial" w:cs="Arial" w:eastAsia="Arial" w:hAnsi="Arial"/>
                <w:sz w:val="18"/>
                <w:szCs w:val="18"/>
                <w:color w:val="auto"/>
              </w:rPr>
              <w:t>Inspection of Property; Books and Records; Discussions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280" w:type="dxa"/>
            <w:vAlign w:val="bottom"/>
            <w:vMerge w:val="continue"/>
          </w:tcPr>
          <w:p>
            <w:pPr>
              <w:spacing w:after="0"/>
              <w:rPr>
                <w:sz w:val="17"/>
                <w:szCs w:val="17"/>
                <w:color w:val="auto"/>
              </w:rPr>
            </w:pPr>
          </w:p>
        </w:tc>
        <w:tc>
          <w:tcPr>
            <w:tcW w:w="9780" w:type="dxa"/>
            <w:vAlign w:val="bottom"/>
            <w:gridSpan w:val="2"/>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6.6</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NEGATIVE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7.1</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Financial Condition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7.2</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Limitation on Indebtedness</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7.3</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Limitation on Liens</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7.4</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Limitation on Fundamental Changes</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7.5</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7.6</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Limitation on Optional Payments and Modifications of Subordinated Indebtedness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7.7</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Clauses Restricting Subsidiary Distributions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7.8</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Restricted 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7.9</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Disposition of Designated Subsidiaries</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EVENTS OF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THE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11.1</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Appointment</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11.2</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Delegation of Duties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11.3</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Exculpatory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11.4</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Reliance by Agent</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11.5</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Notice of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11.6</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Non-Reliance on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11.7</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Indemnification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11.8</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Agent in Its Individual Capacity</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11.9</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Successor Agent</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MISCELLANEOUS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12.1</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Amendments and Waivers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12.2</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12.3</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No Waiver; Cumulative Remedies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12.4</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Survival of 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12.5</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Payment of Expenses and Taxes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12.6</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Confidentiality</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12.7</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Successors and Assigns; Participations and Assignments</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1280" w:type="dxa"/>
            <w:vAlign w:val="bottom"/>
          </w:tcPr>
          <w:p>
            <w:pPr>
              <w:ind w:left="660"/>
              <w:spacing w:after="0"/>
              <w:rPr>
                <w:sz w:val="20"/>
                <w:szCs w:val="20"/>
                <w:color w:val="auto"/>
              </w:rPr>
            </w:pPr>
            <w:r>
              <w:rPr>
                <w:rFonts w:ascii="Arial" w:cs="Arial" w:eastAsia="Arial" w:hAnsi="Arial"/>
                <w:sz w:val="18"/>
                <w:szCs w:val="18"/>
                <w:color w:val="auto"/>
              </w:rPr>
              <w:t>12.8</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Adjustments; Right of Setoff</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1280" w:type="dxa"/>
            <w:vAlign w:val="bottom"/>
          </w:tcPr>
          <w:p>
            <w:pPr>
              <w:ind w:left="660"/>
              <w:spacing w:after="0"/>
              <w:rPr>
                <w:sz w:val="20"/>
                <w:szCs w:val="20"/>
                <w:color w:val="auto"/>
              </w:rPr>
            </w:pPr>
            <w:r>
              <w:rPr>
                <w:rFonts w:ascii="Arial" w:cs="Arial" w:eastAsia="Arial" w:hAnsi="Arial"/>
                <w:sz w:val="18"/>
                <w:szCs w:val="18"/>
                <w:color w:val="auto"/>
              </w:rPr>
              <w:t>12.9</w:t>
            </w:r>
          </w:p>
        </w:tc>
        <w:tc>
          <w:tcPr>
            <w:tcW w:w="9780" w:type="dxa"/>
            <w:vAlign w:val="bottom"/>
            <w:gridSpan w:val="2"/>
          </w:tcPr>
          <w:p>
            <w:pPr>
              <w:ind w:left="300"/>
              <w:spacing w:after="0"/>
              <w:rPr>
                <w:sz w:val="20"/>
                <w:szCs w:val="20"/>
                <w:color w:val="auto"/>
              </w:rPr>
            </w:pPr>
            <w:r>
              <w:rPr>
                <w:rFonts w:ascii="Arial" w:cs="Arial" w:eastAsia="Arial" w:hAnsi="Arial"/>
                <w:sz w:val="18"/>
                <w:szCs w:val="18"/>
                <w:b w:val="1"/>
                <w:bCs w:val="1"/>
                <w:color w:val="auto"/>
              </w:rPr>
              <w:t>WAIVERS OF JURY TRIAL</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12.10</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Submission to Jurisdiction; Waivers</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1280" w:type="dxa"/>
            <w:vAlign w:val="bottom"/>
          </w:tcPr>
          <w:p>
            <w:pPr>
              <w:ind w:left="660"/>
              <w:spacing w:after="0"/>
              <w:rPr>
                <w:sz w:val="20"/>
                <w:szCs w:val="20"/>
                <w:color w:val="auto"/>
              </w:rPr>
            </w:pPr>
            <w:r>
              <w:rPr>
                <w:rFonts w:ascii="Arial" w:cs="Arial" w:eastAsia="Arial" w:hAnsi="Arial"/>
                <w:sz w:val="18"/>
                <w:szCs w:val="18"/>
                <w:color w:val="auto"/>
              </w:rPr>
              <w:t>12.11</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Counterparts</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1280" w:type="dxa"/>
            <w:vAlign w:val="bottom"/>
          </w:tcPr>
          <w:p>
            <w:pPr>
              <w:ind w:left="660"/>
              <w:spacing w:after="0"/>
              <w:rPr>
                <w:sz w:val="20"/>
                <w:szCs w:val="20"/>
                <w:color w:val="auto"/>
              </w:rPr>
            </w:pPr>
            <w:r>
              <w:rPr>
                <w:rFonts w:ascii="Arial" w:cs="Arial" w:eastAsia="Arial" w:hAnsi="Arial"/>
                <w:sz w:val="18"/>
                <w:szCs w:val="18"/>
                <w:color w:val="auto"/>
              </w:rPr>
              <w:t>12.12</w:t>
            </w:r>
          </w:p>
        </w:tc>
        <w:tc>
          <w:tcPr>
            <w:tcW w:w="9780" w:type="dxa"/>
            <w:vAlign w:val="bottom"/>
            <w:gridSpan w:val="2"/>
          </w:tcPr>
          <w:p>
            <w:pPr>
              <w:ind w:left="300"/>
              <w:spacing w:after="0"/>
              <w:rPr>
                <w:sz w:val="20"/>
                <w:szCs w:val="20"/>
                <w:color w:val="auto"/>
              </w:rPr>
            </w:pPr>
            <w:r>
              <w:rPr>
                <w:rFonts w:ascii="Arial" w:cs="Arial" w:eastAsia="Arial" w:hAnsi="Arial"/>
                <w:sz w:val="18"/>
                <w:szCs w:val="18"/>
                <w:b w:val="1"/>
                <w:bCs w:val="1"/>
                <w:color w:val="auto"/>
              </w:rPr>
              <w:t>Governing Law</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1280" w:type="dxa"/>
            <w:vAlign w:val="bottom"/>
          </w:tcPr>
          <w:p>
            <w:pPr>
              <w:ind w:left="660"/>
              <w:spacing w:after="0"/>
              <w:rPr>
                <w:sz w:val="20"/>
                <w:szCs w:val="20"/>
                <w:color w:val="auto"/>
              </w:rPr>
            </w:pPr>
            <w:r>
              <w:rPr>
                <w:rFonts w:ascii="Arial" w:cs="Arial" w:eastAsia="Arial" w:hAnsi="Arial"/>
                <w:sz w:val="18"/>
                <w:szCs w:val="18"/>
                <w:color w:val="auto"/>
              </w:rPr>
              <w:t>12.13</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USA Patriot Act</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0"/>
                <w:szCs w:val="20"/>
                <w:color w:val="auto"/>
              </w:rPr>
            </w:pPr>
            <w:r>
              <w:rPr>
                <w:rFonts w:ascii="Arial" w:cs="Arial" w:eastAsia="Arial" w:hAnsi="Arial"/>
                <w:sz w:val="18"/>
                <w:szCs w:val="18"/>
                <w:color w:val="auto"/>
              </w:rPr>
              <w:t>SCHEDULES:</w:t>
            </w:r>
          </w:p>
        </w:tc>
        <w:tc>
          <w:tcPr>
            <w:tcW w:w="48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Schedule 1.1A</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9300" w:type="dxa"/>
            <w:vAlign w:val="bottom"/>
          </w:tcPr>
          <w:p>
            <w:pPr>
              <w:ind w:left="80"/>
              <w:spacing w:after="0"/>
              <w:rPr>
                <w:sz w:val="20"/>
                <w:szCs w:val="20"/>
                <w:color w:val="auto"/>
              </w:rPr>
            </w:pPr>
            <w:r>
              <w:rPr>
                <w:rFonts w:ascii="Arial" w:cs="Arial" w:eastAsia="Arial" w:hAnsi="Arial"/>
                <w:sz w:val="18"/>
                <w:szCs w:val="18"/>
                <w:color w:val="auto"/>
              </w:rPr>
              <w:t>Commitments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Schedule 1.1B</w:t>
            </w:r>
          </w:p>
        </w:tc>
        <w:tc>
          <w:tcPr>
            <w:tcW w:w="480" w:type="dxa"/>
            <w:vAlign w:val="bottom"/>
          </w:tcPr>
          <w:p>
            <w:pPr>
              <w:spacing w:after="0"/>
              <w:rPr>
                <w:sz w:val="18"/>
                <w:szCs w:val="18"/>
                <w:color w:val="auto"/>
              </w:rPr>
            </w:pPr>
          </w:p>
        </w:tc>
        <w:tc>
          <w:tcPr>
            <w:tcW w:w="9300" w:type="dxa"/>
            <w:vAlign w:val="bottom"/>
          </w:tcPr>
          <w:p>
            <w:pPr>
              <w:ind w:left="80"/>
              <w:spacing w:after="0"/>
              <w:rPr>
                <w:sz w:val="20"/>
                <w:szCs w:val="20"/>
                <w:color w:val="auto"/>
              </w:rPr>
            </w:pPr>
            <w:r>
              <w:rPr>
                <w:rFonts w:ascii="Arial" w:cs="Arial" w:eastAsia="Arial" w:hAnsi="Arial"/>
                <w:sz w:val="18"/>
                <w:szCs w:val="18"/>
                <w:color w:val="auto"/>
              </w:rPr>
              <w:t>Rating Agencies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Schedule 4.13</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9300" w:type="dxa"/>
            <w:vAlign w:val="bottom"/>
          </w:tcPr>
          <w:p>
            <w:pPr>
              <w:ind w:left="80"/>
              <w:spacing w:after="0"/>
              <w:rPr>
                <w:sz w:val="20"/>
                <w:szCs w:val="20"/>
                <w:color w:val="auto"/>
              </w:rPr>
            </w:pPr>
            <w:r>
              <w:rPr>
                <w:rFonts w:ascii="Arial" w:cs="Arial" w:eastAsia="Arial" w:hAnsi="Arial"/>
                <w:sz w:val="18"/>
                <w:szCs w:val="18"/>
                <w:color w:val="auto"/>
              </w:rPr>
              <w:t>Significant Subsidiaries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20"/>
                <w:szCs w:val="20"/>
                <w:color w:val="auto"/>
              </w:rPr>
            </w:pPr>
            <w:r>
              <w:rPr>
                <w:rFonts w:ascii="Arial" w:cs="Arial" w:eastAsia="Arial" w:hAnsi="Arial"/>
                <w:sz w:val="18"/>
                <w:szCs w:val="18"/>
                <w:color w:val="auto"/>
              </w:rPr>
              <w:t>Schedule 7.2</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9300" w:type="dxa"/>
            <w:vAlign w:val="bottom"/>
          </w:tcPr>
          <w:p>
            <w:pPr>
              <w:ind w:left="80"/>
              <w:spacing w:after="0"/>
              <w:rPr>
                <w:sz w:val="20"/>
                <w:szCs w:val="20"/>
                <w:color w:val="auto"/>
              </w:rPr>
            </w:pPr>
            <w:r>
              <w:rPr>
                <w:rFonts w:ascii="Arial" w:cs="Arial" w:eastAsia="Arial" w:hAnsi="Arial"/>
                <w:sz w:val="18"/>
                <w:szCs w:val="18"/>
                <w:color w:val="auto"/>
              </w:rPr>
              <w:t>Existing Indebtedness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6"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EXHIBITS:</w:t>
      </w:r>
    </w:p>
    <w:p>
      <w:pPr>
        <w:sectPr>
          <w:pgSz w:w="11900" w:h="16838" w:orient="portrait"/>
          <w:cols w:equalWidth="0" w:num="1">
            <w:col w:w="10219"/>
          </w:cols>
          <w:pgMar w:left="240" w:top="280" w:right="1440" w:bottom="1440" w:gutter="0" w:footer="0" w:header="0"/>
        </w:sectPr>
      </w:pPr>
    </w:p>
    <w:p>
      <w:pPr>
        <w:spacing w:after="0" w:line="2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Exhibit A Exhibit B-1 Exhibit B-2 Exhibit B-3 Exhibit C Exhibit D Exhibit 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Revolving Credit Note</w:t>
      </w:r>
    </w:p>
    <w:p>
      <w:pPr>
        <w:spacing w:after="0" w:line="1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Opinion of Cravath, Swaine &amp; Moore LLP, Counsel to the Company</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Opinion of General Counsel to the Company</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Opinion of Wilmer Cutler Pickering Hale and Dorr LLP</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Assignment and Assumption</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Compliance Certificate</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U.S. Tax Compliance Certificate</w:t>
      </w:r>
    </w:p>
    <w:p>
      <w:pPr>
        <w:spacing w:after="0" w:line="151" w:lineRule="exact"/>
        <w:rPr>
          <w:sz w:val="20"/>
          <w:szCs w:val="20"/>
          <w:color w:val="auto"/>
        </w:rPr>
      </w:pPr>
    </w:p>
    <w:p>
      <w:pPr>
        <w:sectPr>
          <w:pgSz w:w="11900" w:h="16838" w:orient="portrait"/>
          <w:cols w:equalWidth="0" w:num="2">
            <w:col w:w="840" w:space="420"/>
            <w:col w:w="8959"/>
          </w:cols>
          <w:pgMar w:left="240" w:top="280" w:right="1440" w:bottom="1440" w:gutter="0" w:footer="0" w:header="0"/>
          <w:type w:val="continuous"/>
        </w:sectPr>
      </w:pPr>
    </w:p>
    <w:p>
      <w:pPr>
        <w:ind w:left="56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19"/>
          </w:cols>
          <w:pgMar w:left="240" w:top="280" w:right="1440" w:bottom="1440" w:gutter="0" w:footer="0" w:header="0"/>
          <w:type w:val="continuous"/>
        </w:sectPr>
      </w:pPr>
    </w:p>
    <w:bookmarkStart w:id="88" w:name="page89"/>
    <w:bookmarkEnd w:id="88"/>
    <w:p>
      <w:pPr>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 dated as of September 25, 2012, among LAZARD GROUP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the several Banks, financial institutions, or other entities from time to time parties hereto, and CITIBANK, N.A., a national banking association (“</w:t>
      </w:r>
      <w:r>
        <w:rPr>
          <w:rFonts w:ascii="Arial" w:cs="Arial" w:eastAsia="Arial" w:hAnsi="Arial"/>
          <w:sz w:val="18"/>
          <w:szCs w:val="18"/>
          <w:u w:val="single" w:color="auto"/>
          <w:color w:val="auto"/>
        </w:rPr>
        <w:t>Citibank</w:t>
      </w:r>
      <w:r>
        <w:rPr>
          <w:rFonts w:ascii="Arial" w:cs="Arial" w:eastAsia="Arial" w:hAnsi="Arial"/>
          <w:sz w:val="18"/>
          <w:szCs w:val="18"/>
          <w:color w:val="auto"/>
        </w:rPr>
        <w:t>”), as administrative agent for the Banks hereunder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W I T N E S S E T H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WHEREAS, the Company has applied to the Banks for loans in an aggregate principal amount at any one time outstanding not in excess of $150,000,000;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Banks are willing to make the loans to the Company upon the terms and subject to the conditions hereinafter set forth;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the mutual covenants contained herein, the parties hereto hereby agree as follows:</w:t>
      </w:r>
    </w:p>
    <w:p>
      <w:pPr>
        <w:spacing w:after="0" w:line="35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SECTION 1. 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following meanings: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the Securities and Exchange Act of 1934, as amended from time to time.</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as defined in the Pricing Grid.</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in its capacity as administrative agent for the Banks hereunder, and its successors in such capacity.</w:t>
      </w:r>
    </w:p>
    <w:p>
      <w:pPr>
        <w:spacing w:after="0" w:line="194" w:lineRule="exact"/>
        <w:rPr>
          <w:sz w:val="20"/>
          <w:szCs w:val="20"/>
          <w:color w:val="auto"/>
        </w:rPr>
      </w:pPr>
    </w:p>
    <w:p>
      <w:pPr>
        <w:ind w:left="460" w:right="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any Person (other than a Subsidiary) which, directly or indirectly, is in control of, is controlled by, or is under common control with, the Company. For purposes of this definition, a Person shall be deemed to be “controlled by” the Company if the Company possesses, directly or indirectly, power to direct or cause the direction of the management and policies of such Person whether by contract or otherwise.</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Credit Agreement, as amended, supplemented or modified from time to time.</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the Applicable Margin will be determined in accordance with the Pricing Grid.</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as defined in Section 12.7.</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an agreement substantially in the form of Exhibit C.</w:t>
      </w:r>
    </w:p>
    <w:p>
      <w:pPr>
        <w:spacing w:after="0" w:line="171"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as to each Bank, at a particular time, an amount equal to the difference between (a) the amount of such Bank’s Commitment and (b) the aggregate outstanding principal amount of Loans made by such Bank (after giving effect to any simultaneous repayment of Loans at such time); collectively, as to the Banks, the “Available Commitments”.</w:t>
      </w:r>
    </w:p>
    <w:p>
      <w:pPr>
        <w:spacing w:after="0" w:line="140"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Banks</w:t>
      </w:r>
      <w:r>
        <w:rPr>
          <w:rFonts w:ascii="Arial" w:cs="Arial" w:eastAsia="Arial" w:hAnsi="Arial"/>
          <w:sz w:val="18"/>
          <w:szCs w:val="18"/>
          <w:color w:val="auto"/>
        </w:rPr>
        <w:t>”: Citibank, State Street Bank and Trust Company, The Bank of New York Mellon and HSBC Bank USA, N.A., as parties to this Agreement, and permitted assignees pursuant to subsection 12.7 (individually, a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ectPr>
          <w:pgSz w:w="11900" w:h="16838" w:orient="portrait"/>
          <w:cols w:equalWidth="0" w:num="1">
            <w:col w:w="11360"/>
          </w:cols>
          <w:pgMar w:left="240" w:top="280" w:right="299" w:bottom="1440" w:gutter="0" w:footer="0" w:header="0"/>
        </w:sectPr>
      </w:pPr>
    </w:p>
    <w:bookmarkStart w:id="89" w:name="page90"/>
    <w:bookmarkEnd w:id="89"/>
    <w:p>
      <w:pPr>
        <w:jc w:val="both"/>
        <w:ind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Basel III</w:t>
      </w:r>
      <w:r>
        <w:rPr>
          <w:rFonts w:ascii="Arial" w:cs="Arial" w:eastAsia="Arial" w:hAnsi="Arial"/>
          <w:sz w:val="18"/>
          <w:szCs w:val="18"/>
          <w:color w:val="auto"/>
        </w:rPr>
        <w:t>”: means the consultative papers of The Basel Committee on Banking Supervision of December 2009 entitled “Strengthening the resilience of the banking sector” and “International framework for liquidity risk measurement, standards and monitoring”, in each case together with any amendments thereto.</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Bank</w:t>
      </w:r>
      <w:r>
        <w:rPr>
          <w:rFonts w:ascii="Arial" w:cs="Arial" w:eastAsia="Arial" w:hAnsi="Arial"/>
          <w:sz w:val="18"/>
          <w:szCs w:val="18"/>
          <w:color w:val="auto"/>
        </w:rPr>
        <w:t>”: as defined in Section 12.8.</w:t>
      </w:r>
    </w:p>
    <w:p>
      <w:pPr>
        <w:spacing w:after="0" w:line="171" w:lineRule="exact"/>
        <w:rPr>
          <w:sz w:val="20"/>
          <w:szCs w:val="20"/>
          <w:color w:val="auto"/>
        </w:rPr>
      </w:pPr>
    </w:p>
    <w:p>
      <w:pPr>
        <w:ind w:right="4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as to any Person, the board of directors or managers, as applicable, of such Person (or, if such Person is a partnership, the board of directors or other governing body of the general partner of such Person) or any duly authorized committee thereof.</w:t>
      </w:r>
    </w:p>
    <w:p>
      <w:pPr>
        <w:spacing w:after="0" w:line="85"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the Board of Governors of the Federal Reserve System, or any successor entity to the functions of the Board of Governors of the Federal Reserve System.</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Date</w:t>
      </w:r>
      <w:r>
        <w:rPr>
          <w:rFonts w:ascii="Arial" w:cs="Arial" w:eastAsia="Arial" w:hAnsi="Arial"/>
          <w:sz w:val="16"/>
          <w:szCs w:val="16"/>
          <w:color w:val="auto"/>
        </w:rPr>
        <w:t>”: any Business Day on which the Banks make Loans hereunder, as specified in a notice pursuant to Section 2.6 or Section 2.7.</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 Indebtedness</w:t>
      </w:r>
      <w:r>
        <w:rPr>
          <w:rFonts w:ascii="Arial" w:cs="Arial" w:eastAsia="Arial" w:hAnsi="Arial"/>
          <w:sz w:val="18"/>
          <w:szCs w:val="18"/>
          <w:color w:val="auto"/>
        </w:rPr>
        <w:t>”: Indebtedness of the Subsidiaries of the Company which are registered broker-dealers.</w:t>
      </w:r>
    </w:p>
    <w:p>
      <w:pPr>
        <w:spacing w:after="0" w:line="171" w:lineRule="exact"/>
        <w:rPr>
          <w:sz w:val="20"/>
          <w:szCs w:val="20"/>
          <w:color w:val="auto"/>
        </w:rPr>
      </w:pPr>
    </w:p>
    <w:p>
      <w:pPr>
        <w:ind w:right="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a day other than a Saturday, Sunday or other day on which commercial banks in New York City are authorized or required by law to close; </w:t>
      </w:r>
      <w:r>
        <w:rPr>
          <w:rFonts w:ascii="Arial" w:cs="Arial" w:eastAsia="Arial" w:hAnsi="Arial"/>
          <w:sz w:val="18"/>
          <w:szCs w:val="18"/>
          <w:u w:val="single" w:color="auto"/>
          <w:color w:val="auto"/>
        </w:rPr>
        <w:t>provided</w:t>
      </w:r>
      <w:r>
        <w:rPr>
          <w:rFonts w:ascii="Arial" w:cs="Arial" w:eastAsia="Arial" w:hAnsi="Arial"/>
          <w:sz w:val="18"/>
          <w:szCs w:val="18"/>
          <w:color w:val="auto"/>
        </w:rPr>
        <w:t>, that when such term is used to describe a day on which a borrowing, payment or interest rate determination is to be made in respect of a Eurodollar Loan, or the first day or last day of an Interest Period in respect of a Eurodollar Loan, a Business Day must also be a day on which commercial banks are open for dealings in U.S. Dollar deposits in London.</w:t>
      </w:r>
    </w:p>
    <w:p>
      <w:pPr>
        <w:spacing w:after="0" w:line="143" w:lineRule="exact"/>
        <w:rPr>
          <w:sz w:val="20"/>
          <w:szCs w:val="20"/>
          <w:color w:val="auto"/>
        </w:rPr>
      </w:pPr>
    </w:p>
    <w:p>
      <w:pPr>
        <w:ind w:right="120" w:firstLine="43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Notwithstanding the foregoing, all leases of any Person that are treated as operating leases for purposes of GAAP on the Effective Date shall continue to be accounted for as operating leases (and not as capital leases) for purposes of this Agreement regardless of any change to GAAP following the Effective Date which would otherwise require such leases to be treated as capital leases.</w:t>
      </w:r>
    </w:p>
    <w:p>
      <w:pPr>
        <w:spacing w:after="0" w:line="147" w:lineRule="exact"/>
        <w:rPr>
          <w:sz w:val="20"/>
          <w:szCs w:val="20"/>
          <w:color w:val="auto"/>
        </w:rPr>
      </w:pPr>
    </w:p>
    <w:p>
      <w:pPr>
        <w:ind w:right="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and interests (however designated) of capital stock of a corporation, any and all equivalent ownership interests in a Person (other than a corporation) and any and all warrants, rights or options to purchase any of the foregoing but excluding any profit participation interests and the equity units of Lazard Asset Management LLC issued pursuant to the Lazard Asset Management LLC Limited Liability Company Agreement.</w:t>
      </w:r>
    </w:p>
    <w:p>
      <w:pPr>
        <w:spacing w:after="0" w:line="143" w:lineRule="exact"/>
        <w:rPr>
          <w:sz w:val="20"/>
          <w:szCs w:val="20"/>
          <w:color w:val="auto"/>
        </w:rPr>
      </w:pPr>
    </w:p>
    <w:p>
      <w:pPr>
        <w:ind w:right="26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w:t>
      </w:r>
    </w:p>
    <w:p>
      <w:pPr>
        <w:ind w:right="20" w:firstLine="4"/>
        <w:spacing w:after="0" w:line="252"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certificates of deposit, time deposits, eurodollar time deposits or overnight bank deposits having maturities of six months or less from the date of acquisition issued by any Bank or by any commercial bank organized under the laws of the United States or any state thereof having combined capital and surplus of not less than $500,000,000; (c) commercial paper of an issuer rated at least A-1 by S&amp;P or carrying an equivalent rating by any rating agency set forth on Schedule 1.1B or any nationally recognized rating agency, if S&amp;P and all the rating agencies on Schedule 1.1B cease publishing ratings of commercial paper issues generally, and maturing within six months from the date of acquisition; (d) repurchase obligations of any Bank or of any commercial</w:t>
      </w:r>
    </w:p>
    <w:p>
      <w:pPr>
        <w:spacing w:after="0" w:line="13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90" w:name="page91"/>
    <w:bookmarkEnd w:id="90"/>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carry an equivalent rating by any rating agency set forth on Schedule 1.1B or any nationally recognized rating agency; (f) securities with maturities of six months or less from the date of acquisition backed by standby letters of credit issued by any Bank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carry an equivalent rating by any rating agency set forth on Schedule 1.1B and (iii) have portfolio assets of at least $5,000,000,000.</w:t>
      </w:r>
    </w:p>
    <w:p>
      <w:pPr>
        <w:spacing w:after="0" w:line="123"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(a) the acquisition by any individual or group (other than the Managing Directors, LAZ-MD Holdings, or, in the case of the Company, Holdings or its controlled affiliates) of beneficial ownership of more than 50% of either (i) the then-outstanding shares of Holdings Capital Stock, assuming the full exchange of all of the then-outstanding Exchangeable Interests for shares of Holdings Capital Stock in accordance with the Master Separation Agreement, (ii) the then-outstanding shares of Company Capital Stock or (iii) the combined voting power of the then-outstanding voting securities of the Company (if applicable) or Holdings entitled to vote generally in the election of directors (other than, for the purposes of this clause (a), any acquisition that would otherwise be a Change in Control under this clause (a) pursuant to which the Company and Holdings become Subsidiaries of another person (such person, the “</w:t>
      </w:r>
      <w:r>
        <w:rPr>
          <w:rFonts w:ascii="Arial" w:cs="Arial" w:eastAsia="Arial" w:hAnsi="Arial"/>
          <w:sz w:val="16"/>
          <w:szCs w:val="16"/>
          <w:u w:val="single" w:color="auto"/>
          <w:color w:val="auto"/>
        </w:rPr>
        <w:t>Parent Company</w:t>
      </w:r>
      <w:r>
        <w:rPr>
          <w:rFonts w:ascii="Arial" w:cs="Arial" w:eastAsia="Arial" w:hAnsi="Arial"/>
          <w:sz w:val="16"/>
          <w:szCs w:val="16"/>
          <w:color w:val="auto"/>
        </w:rPr>
        <w:t>”) and such Parent Company shall not have an individual or group having beneficial ownership of more than 50% of the Capital Stock of the Parent Company generally entitled to elect the directors of the Parent Company), (b) failure of Continuing Directors to constitute a majority of the Board of Directors of Holdings or (c) failure of Holdings to beneficially own or be entitled to exercise, directly or indirectly, the right (whether by contract, limited liability company agreement, bylaws, agreement or otherwise) to elect a majority of the Board of Directors of the Company.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the Internal Revenue Code of 1986, as amended from time to time, and the regulations promulgated and the rulings issued thereunder.</w:t>
      </w:r>
    </w:p>
    <w:p>
      <w:pPr>
        <w:spacing w:after="0" w:line="194"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as to each Bank, its obligation to make Loans to the Company in an aggregate principal amount not to exceed the amount set forth opposite such Bank’s name on Schedule 1.1A; collectively, as to the Banks, the “Commitments”.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Rate</w:t>
      </w:r>
      <w:r>
        <w:rPr>
          <w:rFonts w:ascii="Arial" w:cs="Arial" w:eastAsia="Arial" w:hAnsi="Arial"/>
          <w:sz w:val="18"/>
          <w:szCs w:val="18"/>
          <w:color w:val="auto"/>
        </w:rPr>
        <w:t>”: the Commitment Fee Rate will be determined in accordance with the Pricing Grid.</w:t>
      </w:r>
    </w:p>
    <w:p>
      <w:pPr>
        <w:spacing w:after="0" w:line="171"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as to each Bank, the percentage of the amount of the aggregate Commitments constituted by the amount of such Bank’s Commitment.</w:t>
      </w:r>
    </w:p>
    <w:p>
      <w:pPr>
        <w:spacing w:after="0" w:line="132"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on any date of determination thereof, the period from and including the Effective Date to but not including the earlier to occur of (a) the Maturity Date or (b) such other date as the Commitments shall terminate as provided herein.</w:t>
      </w:r>
    </w:p>
    <w:p>
      <w:pPr>
        <w:spacing w:after="0" w:line="132" w:lineRule="exact"/>
        <w:rPr>
          <w:sz w:val="20"/>
          <w:szCs w:val="20"/>
          <w:color w:val="auto"/>
        </w:rPr>
      </w:pPr>
    </w:p>
    <w:p>
      <w:pPr>
        <w:ind w:right="5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Interest</w:t>
      </w:r>
      <w:r>
        <w:rPr>
          <w:rFonts w:ascii="Arial" w:cs="Arial" w:eastAsia="Arial" w:hAnsi="Arial"/>
          <w:sz w:val="18"/>
          <w:szCs w:val="18"/>
          <w:color w:val="auto"/>
        </w:rPr>
        <w:t>”: as defined in the operating agreement of the Company or any other Capital Stock of the Company which shall replace the Common Interest.</w:t>
      </w:r>
    </w:p>
    <w:p>
      <w:pPr>
        <w:spacing w:after="0" w:line="132" w:lineRule="exact"/>
        <w:rPr>
          <w:sz w:val="20"/>
          <w:szCs w:val="20"/>
          <w:color w:val="auto"/>
        </w:rPr>
      </w:pPr>
    </w:p>
    <w:p>
      <w:pPr>
        <w:jc w:val="both"/>
        <w:ind w:right="280" w:firstLine="438"/>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Commonly Controlled Entity</w:t>
      </w:r>
      <w:r>
        <w:rPr>
          <w:rFonts w:ascii="Arial" w:cs="Arial" w:eastAsia="Arial" w:hAnsi="Arial"/>
          <w:sz w:val="15"/>
          <w:szCs w:val="15"/>
          <w:color w:val="auto"/>
        </w:rPr>
        <w:t>”: an entity, whether or not incorporated, which is under common control with the Company within the meaning of Section 4001 of ERISA or is part of a group that includes the Company and that is treated as a single employer under Section 414(b) or (c) of the Code.</w:t>
      </w:r>
    </w:p>
    <w:p>
      <w:pPr>
        <w:spacing w:after="0" w:line="4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91" w:name="page92"/>
    <w:bookmarkEnd w:id="9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Communications</w:t>
      </w:r>
      <w:r>
        <w:rPr>
          <w:rFonts w:ascii="Arial" w:cs="Arial" w:eastAsia="Arial" w:hAnsi="Arial"/>
          <w:sz w:val="18"/>
          <w:szCs w:val="18"/>
          <w:color w:val="auto"/>
        </w:rPr>
        <w:t>”: as defined in Section 12.2.</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the Common Interests of the Company.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for any period, an amount determined for the Company and its Subsidiaries on a consolidated basis equal to</w:t>
      </w:r>
    </w:p>
    <w:p>
      <w:pPr>
        <w:spacing w:after="0" w:line="38" w:lineRule="exact"/>
        <w:rPr>
          <w:sz w:val="20"/>
          <w:szCs w:val="20"/>
          <w:color w:val="auto"/>
        </w:rPr>
      </w:pPr>
    </w:p>
    <w:p>
      <w:pPr>
        <w:ind w:right="40" w:firstLine="4"/>
        <w:spacing w:after="0" w:line="288" w:lineRule="auto"/>
        <w:tabs>
          <w:tab w:leader="none" w:pos="239"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sum, without duplication, of the amounts for such period of (i) Consolidated Net Income, (ii) Consolidated Interest Expense, (iii) provisions for taxes based on income plus tax distributions in accordance with the Company’s operating agreement (computed on a cash basis), (iv) total depreciation expense, (v) total amortization expense, (vi) other non-cash expenses, fees, charges, reserves or losses reducing Consolidated Net Income (excluding any such non-cash item otherwise included in this clause (vi) to the extent that such item represents an accrual or reserve for potential cash items in any future period or amortization of a prepaid cash item that was paid in a prior period (other than severance or restructuring related expenses or charges, which shall be added back);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non-cash items increasing Consolidated Net Income for such period (excluding any such non-cash items to the extent it represents the reversal of an accrual or reserve for potential cash item in any prior period).</w:t>
      </w:r>
    </w:p>
    <w:p>
      <w:pPr>
        <w:spacing w:after="0" w:line="123"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for any period, the ratio of (a) Consolidated Adjusted EBITDA for such period to (b) Consolidated Interest Expense for such period.</w:t>
      </w:r>
    </w:p>
    <w:p>
      <w:pPr>
        <w:spacing w:after="0" w:line="132" w:lineRule="exact"/>
        <w:rPr>
          <w:sz w:val="20"/>
          <w:szCs w:val="20"/>
          <w:color w:val="auto"/>
        </w:rPr>
      </w:pPr>
    </w:p>
    <w:p>
      <w:pPr>
        <w:ind w:right="12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for any period, total cash interest expense (including that attributable to Capital Lease Obligations, but excluding debt issuance costs and similar charges and any amortization thereof) of the Company and its Subsidiaries for such period with respect to all outstanding Indebtedness of the Company and its Subsidiaries (including all commissions, discounts and other fees and charges owed with respect to letters of credit and bankers’ acceptance financing);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 interest income on marketable securities, and (ii) in the case of Broker-Dealer Indebtedness and the Indebtedness of Lazard Frères Banque, interest income related to such Indebtedness. Consolidated Interest Expense shall not include the portion of the payments due under the terms of “mandatory” convertible or “mandatory” exchangeable securities (it being understood that such exchangeable securities refers to securities exchangeable into equity) representing contract adjustment payments (including interest accretion on the contract adjustment payment related liability) or the interest accruals under the Paris Profit Sharing Plan.</w:t>
      </w:r>
    </w:p>
    <w:p>
      <w:pPr>
        <w:spacing w:after="0" w:line="118" w:lineRule="exact"/>
        <w:rPr>
          <w:sz w:val="20"/>
          <w:szCs w:val="20"/>
          <w:color w:val="auto"/>
        </w:rPr>
      </w:pPr>
    </w:p>
    <w:p>
      <w:pPr>
        <w:ind w:right="4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as at the last day of any fiscal quarter, the ratio of (a) Consolidated Total Debt on such day to (b) Consolidated Adjusted EBITDA for the period of four consecutive fiscal quarters then ended.</w:t>
      </w:r>
    </w:p>
    <w:p>
      <w:pPr>
        <w:spacing w:after="0" w:line="132"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for any period, the net income (or loss) of the Company and its Subsidiaries on a consolidated basis for such period taken as a single accounting period determined in conformity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there shall be excluded (a) any net after-tax extraordinary or nonrecurring or unusual gains, losses, expenses or charges, including without limitation those attributable to business dispositions, asset dispositions (other than in the ordinary course of business), discontinued operations and the early extinguishment of indebtedness, (b) any fees, expenses or charges related to any offering of equity interests or debt of any kind or related to any acquisition or merger or similar transaction (whether or not successful), including any fees, expenses, charges or change in control payments related to such transaction, (c) the impact of any cumulative change in accounting principles during the applicable period, (d) any non-cash impairment charge or asset write off resulting from the application of SFAS 142 and 144, and the amortization of intangibles arising pursuant to SFAS 141 and (e) any non-cash expenses realized or resulting from employee benefit plans or post-employment benefit plans, grants of restricted stock, restricted stock units, stock appreciation rights, stock options or other rights, or one-time non-cash compensation charges (including any cash expenditure for the acquisition of equity interests of Holdings to be so granted to the extent that Holdings or any of its subsidiaries contributes to or otherwise invests in the equity of the Company a corresponding amount of cash). Except for purposes of calculation under Section 7.8 (e) (ii), Consolidated Net Income shall be reduced by an amount equal to the tax distributions (computed on a cash basis) in accordance with the Company’s operating agreement.</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700" w:top="280" w:right="299" w:bottom="1440" w:gutter="0" w:footer="0" w:header="0"/>
        </w:sectPr>
      </w:pPr>
    </w:p>
    <w:bookmarkStart w:id="92" w:name="page93"/>
    <w:bookmarkEnd w:id="92"/>
    <w:p>
      <w:pPr>
        <w:ind w:right="20" w:firstLine="43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Consolidated Total Debt</w:t>
      </w:r>
      <w:r>
        <w:rPr>
          <w:rFonts w:ascii="Arial" w:cs="Arial" w:eastAsia="Arial" w:hAnsi="Arial"/>
          <w:sz w:val="18"/>
          <w:szCs w:val="18"/>
          <w:color w:val="auto"/>
        </w:rPr>
        <w:t xml:space="preserve">”: at any date, the aggregate principal amount of all Indebtedness of the Company and its Subsidiaries at such date, determined on a consolidated basis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duplication, “Consolidated Total Debt” shall not include (a) the Indebtedness of Lazard Frères Banque or any Broker-Dealer Indebtedness (other than Broker-Dealer Indebtedness that is included in the calculation used to determine the capital requirements of any of the Company’s Subsidiaries) or (b) up to $200,000,000 aggregate principal amount of any Subordinated Indebtedness.</w:t>
      </w:r>
    </w:p>
    <w:p>
      <w:pPr>
        <w:spacing w:after="0" w:line="143" w:lineRule="exact"/>
        <w:rPr>
          <w:sz w:val="20"/>
          <w:szCs w:val="20"/>
          <w:color w:val="auto"/>
        </w:rPr>
      </w:pPr>
    </w:p>
    <w:p>
      <w:pPr>
        <w:ind w:right="4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the directors constituting Holdings’ Board of Directors at the close of business on the Effective Date, and each other director, if, in each case, such other director’s nomination for election to the Board of Directors of Holdings is recommended or approved by at least a majority of the then Continuing Directors.</w:t>
      </w:r>
    </w:p>
    <w:p>
      <w:pPr>
        <w:spacing w:after="0" w:line="140"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undertaking to which such Person is a party or by which it or any of its property is bound.</w:t>
      </w:r>
    </w:p>
    <w:p>
      <w:pPr>
        <w:spacing w:after="0" w:line="132"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Documents</w:t>
      </w:r>
      <w:r>
        <w:rPr>
          <w:rFonts w:ascii="Arial" w:cs="Arial" w:eastAsia="Arial" w:hAnsi="Arial"/>
          <w:sz w:val="18"/>
          <w:szCs w:val="18"/>
          <w:color w:val="auto"/>
        </w:rPr>
        <w:t>”: any of this Agreement or the Notes and all other certificates, documents, instruments or agreements executed and delivered by the Company for the benefit of the Administrative Agent and the Banks in connection herewith.</w:t>
      </w:r>
    </w:p>
    <w:p>
      <w:pPr>
        <w:spacing w:after="0" w:line="132" w:lineRule="exact"/>
        <w:rPr>
          <w:sz w:val="20"/>
          <w:szCs w:val="20"/>
          <w:color w:val="auto"/>
        </w:rPr>
      </w:pPr>
    </w:p>
    <w:p>
      <w:pPr>
        <w:ind w:right="4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any of the events specified in Section 9, whether or not any requirement for the giving of notice, the lapse of time, or both, has been satisfied.</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Bank, as determined by the Administrative Agent, that has (a) failed to fund any portion of its Loans within three</w:t>
      </w:r>
    </w:p>
    <w:p>
      <w:pPr>
        <w:spacing w:after="0" w:line="38" w:lineRule="exact"/>
        <w:rPr>
          <w:sz w:val="20"/>
          <w:szCs w:val="20"/>
          <w:color w:val="auto"/>
        </w:rPr>
      </w:pPr>
    </w:p>
    <w:p>
      <w:pPr>
        <w:ind w:right="20" w:firstLine="4"/>
        <w:spacing w:after="0" w:line="284" w:lineRule="auto"/>
        <w:tabs>
          <w:tab w:leader="none" w:pos="2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Business Days of the date required to be funded by it hereunder, (b) notified the Company, the Administrative Agent, or any Bank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(3) Business Days after request by the Administrative Agent, to confirm in writing that it will comply with the terms of this Agreement relating to its obligations to fund prospective Loans, (d) otherwise failed to pay over to the Administrative Agent or any other Bank any other amount required to be paid by it hereunder within three (3) Business Days of the date when due, unless the subject of a good faith dispute, or (e) (i) become or is insolvent or has a parent company that has become or is insolvent, or is generally unable to pay its debts as they become due, or admits in writing its inability to pay its debt as they become due, or makes a general assignment for the benefit of its creditors, or (ii) become the subject of a bankruptcy, insolvency, reorganization, liquidation or similar proceeding, or has had a receiver, conservator, trustee, administrator, intervenor, sequestrator, assignee for the benefit of creditors or similar Person charged with the reorganization or liquidation of its business appointed for it, or in the good faith determination of the Administrative Agent, has taken any action in furtherance of or indicating its consent to or acquiescence in any such proceeding or appointment or has a parent company that has become the subject of a bankruptcy , insolvency reorganization, liquidation or similar proceeding, or has had a receiver, conservator, trustee, administrator, intervenor, sequestrator, assignee for the benefit of creditors or similar Person charged with the reorganization or liquidation of its business appointed for it, or in the good faith determination of the Administrative Agent, has taken any action in furtherance of, or indicating its consent to or acquiescence in any such proceeding or appointment. Any determination by the Administrative Agent that a Bank is a Defaulting Lender under any of clauses (a) through (e) above will be conclusive and binding absent manifest error, and such Bank will be deemed to be a Defaulting Lender (subject to Section 2.19(c)) upon notification of such determination by the Administrative Agent to the Company and the Banks.</w:t>
      </w:r>
    </w:p>
    <w:p>
      <w:pPr>
        <w:spacing w:after="0" w:line="128"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Asset Sale</w:t>
      </w:r>
      <w:r>
        <w:rPr>
          <w:rFonts w:ascii="Arial" w:cs="Arial" w:eastAsia="Arial" w:hAnsi="Arial"/>
          <w:sz w:val="16"/>
          <w:szCs w:val="16"/>
          <w:color w:val="auto"/>
        </w:rPr>
        <w:t>”: the sale, transfer or other disposition of any Capital Stock of any Designated Subsidiary, or issuance of any Capital Stock of any Designated Subsidiary, in each case to a Person other than the Company or a Wholly Owned Subsidiary of the Company.</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93" w:name="page94"/>
    <w:bookmarkEnd w:id="93"/>
    <w:p>
      <w:pPr>
        <w:ind w:right="3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each of Lazard Frères &amp; Co. LLC, Lazard Asset Management LLC, Lazard &amp; Co., Limited and Compagnie Financière Lazard Frères SAS and each of their respective successors.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Amount</w:t>
      </w:r>
      <w:r>
        <w:rPr>
          <w:rFonts w:ascii="Arial" w:cs="Arial" w:eastAsia="Arial" w:hAnsi="Arial"/>
          <w:sz w:val="18"/>
          <w:szCs w:val="18"/>
          <w:color w:val="auto"/>
        </w:rPr>
        <w:t>”: as defined in Section 2.18.</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Dodd-Frank</w:t>
      </w:r>
      <w:r>
        <w:rPr>
          <w:rFonts w:ascii="Arial" w:cs="Arial" w:eastAsia="Arial" w:hAnsi="Arial"/>
          <w:sz w:val="18"/>
          <w:szCs w:val="18"/>
          <w:color w:val="auto"/>
        </w:rPr>
        <w:t>”: means the Dodd-Frank Wall Street Reform and Consumer Protection Act, Pub. L. 111-203 (2010).</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 and “$</w:t>
      </w:r>
      <w:r>
        <w:rPr>
          <w:rFonts w:ascii="Arial" w:cs="Arial" w:eastAsia="Arial" w:hAnsi="Arial"/>
          <w:sz w:val="18"/>
          <w:szCs w:val="18"/>
          <w:color w:val="auto"/>
        </w:rPr>
        <w:t>”: dollars in lawful currency of the United States.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the date on which all the conditions set forth in Section 5.1 are satisfied.</w:t>
      </w:r>
    </w:p>
    <w:p>
      <w:pPr>
        <w:spacing w:after="0" w:line="171"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 and the regulations promulgated and rulings issued thereunder. Section references to ERISA are to ERISA, as in effect at the Effective Date and any subsequent provisions of ERISA, amendatory thereof, supplemental thereto or substituted therefor.</w:t>
      </w:r>
    </w:p>
    <w:p>
      <w:pPr>
        <w:spacing w:after="0" w:line="140"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for any day as applied to a Eurodollar Loan, the aggregate (without duplication) of the maximum rates (expressed as a decimal fraction) of reserve requirements in effect on such day (including, without limitation,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of Governors) maintained by a member bank of the Federal Reserve System.</w:t>
      </w:r>
    </w:p>
    <w:p>
      <w:pPr>
        <w:spacing w:after="0" w:line="143" w:lineRule="exact"/>
        <w:rPr>
          <w:sz w:val="20"/>
          <w:szCs w:val="20"/>
          <w:color w:val="auto"/>
        </w:rPr>
      </w:pPr>
    </w:p>
    <w:p>
      <w:pPr>
        <w:ind w:right="60" w:firstLine="43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Eurodollar Base Rate</w:t>
      </w:r>
      <w:r>
        <w:rPr>
          <w:rFonts w:ascii="Arial" w:cs="Arial" w:eastAsia="Arial" w:hAnsi="Arial"/>
          <w:sz w:val="15"/>
          <w:szCs w:val="15"/>
          <w:color w:val="auto"/>
        </w:rPr>
        <w:t>”: with respect to each day during each Interest Period pertaining to a Eurodollar Loan, the rate per annum determined on the basis of the rate for deposits in Dollars for a period equal to such Interest Period commencing on the first day of such Interest Period appearing on the Reuters Screen LIBOR01 Page as of 11:00 A.M., London time, two (2) Business Days prior to the beginning of such Interest Period. In the event that such rate does not appear on the Reuters Screen LIBOR01 Page (or otherwise on such screen), the “</w:t>
      </w:r>
      <w:r>
        <w:rPr>
          <w:rFonts w:ascii="Arial" w:cs="Arial" w:eastAsia="Arial" w:hAnsi="Arial"/>
          <w:sz w:val="15"/>
          <w:szCs w:val="15"/>
          <w:u w:val="single" w:color="auto"/>
          <w:color w:val="auto"/>
        </w:rPr>
        <w:t>Eurodollar Base Rate</w:t>
      </w:r>
      <w:r>
        <w:rPr>
          <w:rFonts w:ascii="Arial" w:cs="Arial" w:eastAsia="Arial" w:hAnsi="Arial"/>
          <w:sz w:val="15"/>
          <w:szCs w:val="15"/>
          <w:color w:val="auto"/>
        </w:rPr>
        <w:t>” shall be determined by reference to such other comparable publicly available service for displaying eurodollar rates as may be selected by the Administrative Agent or, in the absence of such availability, by reference to the rate at which the Administrative Agent is offered Dollar deposits at or about 11:00 A.M., New York City time, two</w:t>
      </w:r>
    </w:p>
    <w:p>
      <w:pPr>
        <w:spacing w:after="0" w:line="1" w:lineRule="exact"/>
        <w:rPr>
          <w:sz w:val="20"/>
          <w:szCs w:val="20"/>
          <w:color w:val="auto"/>
        </w:rPr>
      </w:pPr>
    </w:p>
    <w:p>
      <w:pPr>
        <w:ind w:right="60" w:firstLine="4"/>
        <w:spacing w:after="0" w:line="323"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Business Days prior to the beginning of such Interest Period in the interbank eurodollar market where its eurodollar and foreign currency and exchange operations are then being conducted for delivery on the first day of such Interest Period for the number of days comprised therein.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Loans the rate of interest applicable to which is based upon the Eurodollar Rate.</w:t>
      </w:r>
    </w:p>
    <w:p>
      <w:pPr>
        <w:spacing w:after="0" w:line="171"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with respect to each day during each Interest Period pertaining to a Eurodollar Loan, a rate per annum determined for such day in accordance with the following formula (rounded upward to the nearest 1/100</w:t>
      </w:r>
      <w:r>
        <w:rPr>
          <w:rFonts w:ascii="Arial" w:cs="Arial" w:eastAsia="Arial" w:hAnsi="Arial"/>
          <w:sz w:val="11"/>
          <w:szCs w:val="11"/>
          <w:color w:val="auto"/>
        </w:rPr>
        <w:t>th</w:t>
      </w:r>
      <w:r>
        <w:rPr>
          <w:rFonts w:ascii="Arial" w:cs="Arial" w:eastAsia="Arial" w:hAnsi="Arial"/>
          <w:sz w:val="18"/>
          <w:szCs w:val="18"/>
          <w:color w:val="auto"/>
        </w:rPr>
        <w:t xml:space="preserve"> of 1%):</w:t>
      </w:r>
    </w:p>
    <w:p>
      <w:pPr>
        <w:spacing w:after="0" w:line="1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19685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1.00 - Eurocurrency Reserve Requirements</w:t>
      </w:r>
    </w:p>
    <w:p>
      <w:pPr>
        <w:spacing w:after="0" w:line="171"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Section 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the New York Stock Exchange, Inc.</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94" w:name="page95"/>
    <w:bookmarkEnd w:id="94"/>
    <w:p>
      <w:pPr>
        <w:ind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Exchangeable Interest</w:t>
      </w:r>
      <w:r>
        <w:rPr>
          <w:rFonts w:ascii="Arial" w:cs="Arial" w:eastAsia="Arial" w:hAnsi="Arial"/>
          <w:sz w:val="18"/>
          <w:szCs w:val="18"/>
          <w:color w:val="auto"/>
        </w:rPr>
        <w:t>”: a Class II Interest of LAZ-MD Holdings (or, if applicable, the Common Interest of the Company issued in exchange therefor) that, upon full exchange in accordance with the Master Separation Agreement, is entitled to receive share(s) of Holdings Capital Stock as set forth in the Master Separation Agreement.</w:t>
      </w:r>
    </w:p>
    <w:p>
      <w:pPr>
        <w:spacing w:after="0" w:line="140"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 1</w:t>
      </w:r>
      <w:r>
        <w:rPr>
          <w:rFonts w:ascii="Arial" w:cs="Arial" w:eastAsia="Arial" w:hAnsi="Arial"/>
          <w:sz w:val="18"/>
          <w:szCs w:val="18"/>
          <w:color w:val="auto"/>
        </w:rPr>
        <w:t>”: the Senior Revolving Credit Agreement dated as of May 10, 2005, as amended, among the Company, the banks from time to time parties hereto, and JPMorgan Chase Bank, N.A., as administrative agent.</w:t>
      </w:r>
    </w:p>
    <w:p>
      <w:pPr>
        <w:spacing w:after="0" w:line="132"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 2</w:t>
      </w:r>
      <w:r>
        <w:rPr>
          <w:rFonts w:ascii="Arial" w:cs="Arial" w:eastAsia="Arial" w:hAnsi="Arial"/>
          <w:sz w:val="18"/>
          <w:szCs w:val="18"/>
          <w:color w:val="auto"/>
        </w:rPr>
        <w:t>”: the Senior Revolving Credit Agreement dated as of April 29, 2010, as amended, among the Company, the banks from time to time parties hereto, and Citibank, N.A., as administrative agent.</w:t>
      </w:r>
    </w:p>
    <w:p>
      <w:pPr>
        <w:spacing w:after="0" w:line="132" w:lineRule="exact"/>
        <w:rPr>
          <w:sz w:val="20"/>
          <w:szCs w:val="20"/>
          <w:color w:val="auto"/>
        </w:rPr>
      </w:pPr>
    </w:p>
    <w:p>
      <w:pPr>
        <w:ind w:right="1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with respect to any asset or property, the price that would be negotiated in an arm’s-length transaction between a willing seller and a willing and able buyer, neither of whom is under undue pressure or compulsion to complete the transaction.</w:t>
      </w:r>
    </w:p>
    <w:p>
      <w:pPr>
        <w:spacing w:after="0" w:line="85" w:lineRule="exact"/>
        <w:rPr>
          <w:sz w:val="20"/>
          <w:szCs w:val="20"/>
          <w:color w:val="auto"/>
        </w:rPr>
      </w:pPr>
    </w:p>
    <w:p>
      <w:pPr>
        <w:ind w:right="1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or any intergovernmental agreements entered into by the United States in connection with the implementation of such Sections of the Code (or any such amended or successor version thereof).</w:t>
      </w:r>
    </w:p>
    <w:p>
      <w:pPr>
        <w:spacing w:after="0" w:line="113"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 Rate</w:t>
      </w:r>
      <w:r>
        <w:rPr>
          <w:rFonts w:ascii="Arial" w:cs="Arial" w:eastAsia="Arial" w:hAnsi="Arial"/>
          <w:sz w:val="16"/>
          <w:szCs w:val="16"/>
          <w:color w:val="auto"/>
        </w:rPr>
        <w:t>”: with respect to (a) the first day in each period during which a Fed Rate Loan is outstanding, the rate per annum which is the average of the rates on the offered side of the Federal funds market quoted by three interbank Federal funds brokers selected by the Administrative Agent at approximately the time the Company requests such Fed Rate Loan, for dollar deposits in immediately available funds, for a period and in an amount, comparable to the principal amount of such Fed Rate Loan, and (b) for each day in such period thereafter, the rate per annum which is the average of the rates on the offered side of the Federal funds market quoted by three interbank Federal funds brokers selected by the Administrative Agent at approximately 1:00 p.m., New York City time, on such date for dollar deposits in immediately available funds, for a period and in an amount comparable to the principal amount of such Fed Rate Loan; in the case of both clauses (a) and (b) above, as determined by the Administrative Agent and rounded upwards, if necessary, to the nearest 1/100 of 1%.</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 Rate Loans</w:t>
      </w:r>
      <w:r>
        <w:rPr>
          <w:rFonts w:ascii="Arial" w:cs="Arial" w:eastAsia="Arial" w:hAnsi="Arial"/>
          <w:sz w:val="18"/>
          <w:szCs w:val="18"/>
          <w:color w:val="auto"/>
        </w:rPr>
        <w:t>”: Loans the rate of interest applicable to which is based upon the Fed Rate.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the Fee Letter dated as of August 31, 2012 among the Lead Arranger, the Administrative Agent and the Company.</w:t>
      </w:r>
    </w:p>
    <w:p>
      <w:pPr>
        <w:spacing w:after="0" w:line="171" w:lineRule="exact"/>
        <w:rPr>
          <w:sz w:val="20"/>
          <w:szCs w:val="20"/>
          <w:color w:val="auto"/>
        </w:rPr>
      </w:pPr>
    </w:p>
    <w:p>
      <w:pPr>
        <w:ind w:right="2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each employee benefit plan (within the meaning of Section 3(3) of ERISA, whether or not subject to ERISA) that is not subject to U.S. law and is maintained or contributed to (or within the past six years has been maintained or contributed to) by the Company, any of its Significant Subsidiaries or any Commonly Controlled Entity.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w:t>
      </w:r>
    </w:p>
    <w:p>
      <w:pPr>
        <w:spacing w:after="0" w:line="171"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nation or government, any state or other political subdivision thereof and any entity exercising executive, legislative, judicial, regulatory or administrative functions of or pertaining to government.</w:t>
      </w:r>
    </w:p>
    <w:p>
      <w:pPr>
        <w:spacing w:after="0" w:line="132" w:lineRule="exact"/>
        <w:rPr>
          <w:sz w:val="20"/>
          <w:szCs w:val="20"/>
          <w:color w:val="auto"/>
        </w:rPr>
      </w:pPr>
    </w:p>
    <w:p>
      <w:pPr>
        <w:ind w:right="4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Obligation</w:t>
      </w:r>
      <w:r>
        <w:rPr>
          <w:rFonts w:ascii="Arial" w:cs="Arial" w:eastAsia="Arial" w:hAnsi="Arial"/>
          <w:sz w:val="18"/>
          <w:szCs w:val="18"/>
          <w:color w:val="auto"/>
        </w:rPr>
        <w:t>”: as to any Person (the “</w:t>
      </w:r>
      <w:r>
        <w:rPr>
          <w:rFonts w:ascii="Arial" w:cs="Arial" w:eastAsia="Arial" w:hAnsi="Arial"/>
          <w:sz w:val="18"/>
          <w:szCs w:val="18"/>
          <w:u w:val="single" w:color="auto"/>
          <w:color w:val="auto"/>
        </w:rPr>
        <w:t>guaranteeing person</w:t>
      </w:r>
      <w:r>
        <w:rPr>
          <w:rFonts w:ascii="Arial" w:cs="Arial" w:eastAsia="Arial" w:hAnsi="Arial"/>
          <w:sz w:val="18"/>
          <w:szCs w:val="18"/>
          <w:color w:val="auto"/>
        </w:rPr>
        <w:t>”), any obligation, including a reimbursement, counterindemnity or similar obligation, of the guaranteeing Person that guarantees or in</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95" w:name="page96"/>
    <w:bookmarkEnd w:id="95"/>
    <w:p>
      <w:pPr>
        <w:ind w:right="1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including any obligation of the guaranteeing person, whether or not contingent, (a) to purchase any such primary obligation or any property constituting direct or indirect security therefor, (b) to advance or supply funds (i) for the purchase or payment of any such primary obligation or</w:t>
      </w:r>
    </w:p>
    <w:p>
      <w:pPr>
        <w:spacing w:after="0" w:line="3" w:lineRule="exact"/>
        <w:rPr>
          <w:sz w:val="20"/>
          <w:szCs w:val="20"/>
          <w:color w:val="auto"/>
        </w:rPr>
      </w:pPr>
    </w:p>
    <w:p>
      <w:pPr>
        <w:ind w:right="20" w:firstLine="4"/>
        <w:spacing w:after="0" w:line="286" w:lineRule="auto"/>
        <w:tabs>
          <w:tab w:leader="none" w:pos="259"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assurances given in the ordinary course of business for the payment of obligations of customers or suppliers of the Company or any Subsidiary, customary indemnifications, representations and warranties made in connection with purchases, sales or leasing of property or assets or issuances of securities,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Lazard Ltd.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Capital Stock</w:t>
      </w:r>
      <w:r>
        <w:rPr>
          <w:rFonts w:ascii="Arial" w:cs="Arial" w:eastAsia="Arial" w:hAnsi="Arial"/>
          <w:sz w:val="18"/>
          <w:szCs w:val="18"/>
          <w:color w:val="auto"/>
        </w:rPr>
        <w:t>”: the Class A common stock, par value $.01 per share, of Holdings.</w:t>
      </w:r>
    </w:p>
    <w:p>
      <w:pPr>
        <w:spacing w:after="0" w:line="171" w:lineRule="exact"/>
        <w:rPr>
          <w:sz w:val="20"/>
          <w:szCs w:val="20"/>
          <w:color w:val="auto"/>
        </w:rPr>
      </w:pPr>
    </w:p>
    <w:p>
      <w:pPr>
        <w:ind w:right="100" w:firstLine="438"/>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of any Person at any date, without duplication, (a) all indebtedness of such Person for borrowed money, (b) all obligations of such Person for the deferred purchase price of property or services (other than current trade payables incurred in the ordinary course of such Person’s business),</w:t>
      </w:r>
    </w:p>
    <w:p>
      <w:pPr>
        <w:ind w:right="180" w:firstLine="4"/>
        <w:spacing w:after="0" w:line="300" w:lineRule="auto"/>
        <w:tabs>
          <w:tab w:leader="none" w:pos="239" w:val="left"/>
        </w:tabs>
        <w:numPr>
          <w:ilvl w:val="0"/>
          <w:numId w:val="62"/>
        </w:numPr>
        <w:rPr>
          <w:rFonts w:ascii="Arial" w:cs="Arial" w:eastAsia="Arial" w:hAnsi="Arial"/>
          <w:sz w:val="15"/>
          <w:szCs w:val="15"/>
          <w:color w:val="auto"/>
        </w:rPr>
      </w:pPr>
      <w:r>
        <w:rPr>
          <w:rFonts w:ascii="Arial" w:cs="Arial" w:eastAsia="Arial" w:hAnsi="Arial"/>
          <w:sz w:val="15"/>
          <w:szCs w:val="15"/>
          <w:color w:val="auto"/>
        </w:rPr>
        <w:t>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w:t>
      </w:r>
    </w:p>
    <w:p>
      <w:pPr>
        <w:spacing w:after="0" w:line="1" w:lineRule="exact"/>
        <w:rPr>
          <w:rFonts w:ascii="Arial" w:cs="Arial" w:eastAsia="Arial" w:hAnsi="Arial"/>
          <w:sz w:val="15"/>
          <w:szCs w:val="15"/>
          <w:color w:val="auto"/>
        </w:rPr>
      </w:pPr>
    </w:p>
    <w:p>
      <w:pPr>
        <w:ind w:firstLine="4"/>
        <w:spacing w:after="0" w:line="285" w:lineRule="auto"/>
        <w:tabs>
          <w:tab w:leader="none" w:pos="219"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all obligations of such Person, contingent or otherwise, as an account party or applicant under or in respect of acceptances, letters of credit, surety bonds or similar arrangements, (g) all “mandatory” convertible or exchangeable indebtedness of such Person and all “mandatory” redeemable preferred Capital Stock of such Person, (h) the amount then outstanding under any Receivables Financing, (i) all Guarantee Obligations of such Person in respect of obligations of the kind referred to in clauses (a) through (h) above, and (j) all obligations of the kind referred to in clauses (a) through (i)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directly liable therefor as a result of such Person’s ownership interest in such entity, except to the extent the terms of such Indebtedness expressly provide that such Person is not liable therefor. Notwithstanding anything to the contrary herein, Indebtedness shall exclude (1) for the avoidance of doubt, deposits or other funds held by Subsidiaries that are regulated banks or registered broker-dealers for the benefit of, or owed to, their customers in the ordinary course of business and (2) 80% of “mandatory” convertible or exchangeable Indebtedness prior to the remarketing period for such Indebtedness. After the remarketing period, Indebtedness shall include (x) the principal amount of any remarketed Indebtedness relating to “mandatory” convertible or exchangeable Indebtedness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(y) any</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and Cash Equivalents of the Company and its Subsidiaries to the extent such Cash and Cash Equivalents are greater than $50,000,000.</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as defined in Section 12.5.</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as defined in Section 12.5.</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w:t>
      </w:r>
      <w:r>
        <w:rPr>
          <w:rFonts w:ascii="Arial" w:cs="Arial" w:eastAsia="Arial" w:hAnsi="Arial"/>
          <w:sz w:val="16"/>
          <w:szCs w:val="16"/>
          <w:color w:val="auto"/>
        </w:rPr>
        <w:t>”: with respect to any Multiemployer Plan, the condition that such plan is insolvent within the meaning of Section 4245 of ERISA.</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171"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Installment Notes</w:t>
      </w:r>
      <w:r>
        <w:rPr>
          <w:rFonts w:ascii="Arial" w:cs="Arial" w:eastAsia="Arial" w:hAnsi="Arial"/>
          <w:sz w:val="18"/>
          <w:szCs w:val="18"/>
          <w:color w:val="auto"/>
        </w:rPr>
        <w:t>”: Indebtedness issued by the Company or any Subsidiary to facilitate the deferral by clients of capital gains which result from securities transactions.</w:t>
      </w:r>
    </w:p>
    <w:p>
      <w:pPr>
        <w:spacing w:after="0" w:line="132"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(a) as to any Fed Rate Loan, the last day of each March, June, September and December while such Loan is outstanding and (b) as to any Eurodollar Loan having an Interest Period of three months or less, the last day of such Interest Period, and (c) as to any Eurodollar Loan having an Interest Period longer than three months each day which is three months, or a whole multiple thereof, after the first day of such Interest Period and the last day of such Interest Period.</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with respect to any Eurodollar Loan:</w:t>
      </w:r>
    </w:p>
    <w:p>
      <w:pPr>
        <w:spacing w:after="0" w:line="90" w:lineRule="exact"/>
        <w:rPr>
          <w:sz w:val="20"/>
          <w:szCs w:val="20"/>
          <w:color w:val="auto"/>
        </w:rPr>
      </w:pPr>
    </w:p>
    <w:p>
      <w:pPr>
        <w:ind w:left="460" w:right="180" w:firstLine="421"/>
        <w:spacing w:after="0" w:line="256" w:lineRule="auto"/>
        <w:tabs>
          <w:tab w:leader="none" w:pos="11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initially, the period commencing on the Borrowing Date or date of conversion pursuant to Section 2.7, as the case may be, with respect to such Eurodollar Loan and ending one, two, three or six (or, if available to all relevant Banks, nine or twelve) months thereafter, as selected by the Company in its notice of borrowing pursuant to Section 2.6 or notice of conversion pursuant to Section 2.7, as the case may be, given with respect thereto; and</w:t>
      </w:r>
    </w:p>
    <w:p>
      <w:pPr>
        <w:spacing w:after="0" w:line="62" w:lineRule="exact"/>
        <w:rPr>
          <w:rFonts w:ascii="Arial" w:cs="Arial" w:eastAsia="Arial" w:hAnsi="Arial"/>
          <w:sz w:val="18"/>
          <w:szCs w:val="18"/>
          <w:color w:val="auto"/>
        </w:rPr>
      </w:pPr>
    </w:p>
    <w:p>
      <w:pPr>
        <w:ind w:left="460" w:right="240" w:firstLine="421"/>
        <w:spacing w:after="0" w:line="335" w:lineRule="auto"/>
        <w:tabs>
          <w:tab w:leader="none" w:pos="1128"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thereafter, each period commencing on the last day of the next preceding Interest Period applicable to such Eurodollar Loan and ending one, two, three or six (or, if available to all relevant Banks, nine or twelve) months thereafter, as selected by the Company by irrevocable notice to the Administrative Agent not less than three (3) Business Days prior to the last day of the then current Interest Period with respect thereto;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provisions relating to Interest Periods are subject to the following:</w:t>
      </w:r>
    </w:p>
    <w:p>
      <w:pPr>
        <w:spacing w:after="0" w:line="90" w:lineRule="exact"/>
        <w:rPr>
          <w:sz w:val="20"/>
          <w:szCs w:val="20"/>
          <w:color w:val="auto"/>
        </w:rPr>
      </w:pPr>
    </w:p>
    <w:p>
      <w:pPr>
        <w:jc w:val="both"/>
        <w:ind w:left="460" w:right="60" w:firstLine="421"/>
        <w:spacing w:after="0" w:line="306" w:lineRule="auto"/>
        <w:tabs>
          <w:tab w:leader="none" w:pos="1089"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any Interest Period pertaining to a Eurodollar Loan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25" w:lineRule="exact"/>
        <w:rPr>
          <w:rFonts w:ascii="Arial" w:cs="Arial" w:eastAsia="Arial" w:hAnsi="Arial"/>
          <w:sz w:val="16"/>
          <w:szCs w:val="16"/>
          <w:color w:val="auto"/>
        </w:rPr>
      </w:pPr>
    </w:p>
    <w:p>
      <w:pPr>
        <w:ind w:left="1140" w:hanging="259"/>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Interest Period that would otherwise extend beyond the Maturity Date shall end on the Maturity Date; and</w:t>
      </w:r>
    </w:p>
    <w:p>
      <w:pPr>
        <w:spacing w:after="0" w:line="90" w:lineRule="exact"/>
        <w:rPr>
          <w:rFonts w:ascii="Arial" w:cs="Arial" w:eastAsia="Arial" w:hAnsi="Arial"/>
          <w:sz w:val="18"/>
          <w:szCs w:val="18"/>
          <w:color w:val="auto"/>
        </w:rPr>
      </w:pPr>
    </w:p>
    <w:p>
      <w:pPr>
        <w:ind w:left="460" w:firstLine="421"/>
        <w:spacing w:after="0" w:line="370" w:lineRule="auto"/>
        <w:tabs>
          <w:tab w:leader="none" w:pos="1187"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any Interest Period pertaining to a Eurodollar Loan that begins on the last Business Day of a calendar month (or on a day for which there is no numerically corresponding day in the calendar month at the end of such Interest Period) shall end on the last Business Day of a calendar month.</w:t>
      </w:r>
    </w:p>
    <w:p>
      <w:pPr>
        <w:spacing w:after="0" w:line="62" w:lineRule="exact"/>
        <w:rPr>
          <w:sz w:val="20"/>
          <w:szCs w:val="20"/>
          <w:color w:val="auto"/>
        </w:rPr>
      </w:pPr>
    </w:p>
    <w:p>
      <w:pPr>
        <w:ind w:right="1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any advance, loan, extension of credit (by way of guaranty or otherwise) or capital contribution to, or purchase of any Capital Stock, bonds, notes debentures or other debt securities of, or any assets constituting a business unit of, or any other investment in, any Person.</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as defined in Section 2.17(d).</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97" w:name="page98"/>
    <w:bookmarkEnd w:id="9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LAZ-MD Holdings</w:t>
      </w:r>
      <w:r>
        <w:rPr>
          <w:rFonts w:ascii="Arial" w:cs="Arial" w:eastAsia="Arial" w:hAnsi="Arial"/>
          <w:sz w:val="18"/>
          <w:szCs w:val="18"/>
          <w:color w:val="auto"/>
        </w:rPr>
        <w:t>”: LAZ-MD Holdings LLC, a Delaware limited liability company.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Citigroup Global Markets Inc.</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LFNY</w:t>
      </w:r>
      <w:r>
        <w:rPr>
          <w:rFonts w:ascii="Arial" w:cs="Arial" w:eastAsia="Arial" w:hAnsi="Arial"/>
          <w:sz w:val="18"/>
          <w:szCs w:val="18"/>
          <w:color w:val="auto"/>
        </w:rPr>
        <w:t>”: Lazard Frères &amp; Co. LLC, a New York limited liability company.</w:t>
      </w:r>
    </w:p>
    <w:p>
      <w:pPr>
        <w:spacing w:after="0" w:line="171" w:lineRule="exact"/>
        <w:rPr>
          <w:sz w:val="20"/>
          <w:szCs w:val="20"/>
          <w:color w:val="auto"/>
        </w:rPr>
      </w:pPr>
    </w:p>
    <w:p>
      <w:pPr>
        <w:ind w:right="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any mortgage, pledge, hypothecation, assignment by way of security, deposit arrangement by way of security, encumbrance, attachment lien (statutory or other), or other security agreement or arrangement of any kind or nature whatsoever (including, without limitation, any conditional sale or other title retention agreement, or any financing lease having substantially the same economic effect as any of the foregoing.</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each loan made to the Company pursuant to Section 2.1.</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the collective reference to the Loans.</w:t>
      </w:r>
    </w:p>
    <w:p>
      <w:pPr>
        <w:spacing w:after="0" w:line="171"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Managing Directors</w:t>
      </w:r>
      <w:r>
        <w:rPr>
          <w:rFonts w:ascii="Arial" w:cs="Arial" w:eastAsia="Arial" w:hAnsi="Arial"/>
          <w:sz w:val="16"/>
          <w:szCs w:val="16"/>
          <w:color w:val="auto"/>
        </w:rPr>
        <w:t>”: the collective reference to each of the managing directors of Holdings, the Company, LFCM Holdings LLC or any of their respective controlled affiliates who holds, directly or indirectly, an equity interest of Holdings or securities convertible or exchangeable into equity interests of Holdings (including without limitation Exchangeable Interests, restricted stock, restricted stock units or other issuances under Holdings’ equity incentive plan) and each trust, estate planning vehicle or other entity that holds or shall be transferred any such interest for tax or estate planning purposes.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as defined in Regulation U of the Board of Governors as in effect from time to time.</w:t>
      </w:r>
    </w:p>
    <w:p>
      <w:pPr>
        <w:spacing w:after="0" w:line="171"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Separation Agreement</w:t>
      </w:r>
      <w:r>
        <w:rPr>
          <w:rFonts w:ascii="Arial" w:cs="Arial" w:eastAsia="Arial" w:hAnsi="Arial"/>
          <w:sz w:val="18"/>
          <w:szCs w:val="18"/>
          <w:color w:val="auto"/>
        </w:rPr>
        <w:t>”: means the Master Separation Agreement, dated as of May 10, 2005, by and among Holdings, LAZ-MD Holdings, the Company and LFCM Holdings LLC, as amended from time to time.</w:t>
      </w:r>
    </w:p>
    <w:p>
      <w:pPr>
        <w:spacing w:after="0" w:line="132" w:lineRule="exact"/>
        <w:rPr>
          <w:sz w:val="20"/>
          <w:szCs w:val="20"/>
          <w:color w:val="auto"/>
        </w:rPr>
      </w:pPr>
    </w:p>
    <w:p>
      <w:pPr>
        <w:ind w:right="6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 material adverse effect on (a) the business, property, financial condition or results of operations of the Company and its Subsidiaries taken as a whole or (b) the ability of the Company to perform its obligations under this Agreement or the Notes.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the date which is the third anniversary of the Effective Date.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 Equity</w:t>
      </w:r>
      <w:r>
        <w:rPr>
          <w:rFonts w:ascii="Arial" w:cs="Arial" w:eastAsia="Arial" w:hAnsi="Arial"/>
          <w:sz w:val="18"/>
          <w:szCs w:val="18"/>
          <w:color w:val="auto"/>
        </w:rPr>
        <w:t>”: ownership equity of the Company represented by common members’ interests.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multiemployer plan as defined in Section 4001(a)(3) of ERISA.</w:t>
      </w:r>
    </w:p>
    <w:p>
      <w:pPr>
        <w:spacing w:after="0" w:line="171"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the National Association of Securities Dealers, Inc., or any other self-regulatory body which succeeds to the functions of the National Association of Securities Dealers, Inc.</w:t>
      </w:r>
    </w:p>
    <w:p>
      <w:pPr>
        <w:spacing w:after="0" w:line="132" w:lineRule="exact"/>
        <w:rPr>
          <w:sz w:val="20"/>
          <w:szCs w:val="20"/>
          <w:color w:val="auto"/>
        </w:rPr>
      </w:pPr>
    </w:p>
    <w:p>
      <w:pPr>
        <w:ind w:right="20" w:firstLine="43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in the case of cash proceeds received (a) in connection with any Designated Asset Sale constituting a sale, transfer or other disposition of Capital Stock, the proceeds thereof in the form of cash and Cash Equivalents (including any such proceeds received by way of deferred payment of principal pursuant to a note or installment receivable or purchase price adjustment receivable or otherwise, but only as and when received), net of the sum of (i) attorneys’ fees, accountants’ fees, investment banking fees and other customary fees and expenses actually incurred in connection therewith, (ii) taxes paid or reasonably estimated to be payable as a result thereof (after taking into account any available tax credits or deductions and any tax sharing arrangements), (iii) the amount of all payments required to be made by the Company and the applicable Subsidiary to repay Indebtedness secured by assets transferred in connection with such sale, transfer or disposition, and (iv) the amount of any payments that the Company estimates in good faith</w:t>
      </w:r>
    </w:p>
    <w:p>
      <w:pPr>
        <w:spacing w:after="0" w:line="1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98" w:name="page99"/>
    <w:bookmarkEnd w:id="98"/>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 be required to be made in respect of contingent liabilities directly attributable to such event and set forth in a notice delivered to the Administrative Agent (provided that the Company will evaluate in good faith not less often than quarterly any estimate resulting in a reduction of Net Proceeds under this clause (iv) and will promptly notify the Administrative Agent if the estimated amount of such payments in respect of any contingent liability shall be reduced, and the Company and any such Subsidiary shall be deemed to have received Net Proceeds equal to the amount of any such reduction), and (b) in connection with any issuance of any Capital Stock constituting a Designated Asset Sale, the cash proceeds received from such issuance, net of attorneys’ fees, investment banking fees, accountants’ fees, underwriting discounts, taxes paid or reasonably estimated to be payable as a result thereof (after taking into account any available tax credits or deductions and any tax sharing arrangements) and commissions and other customary fees and expenses actually incurred therewith.</w:t>
      </w:r>
    </w:p>
    <w:p>
      <w:pPr>
        <w:spacing w:after="0" w:line="118"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color w:val="auto"/>
        </w:rPr>
        <w:t>In the case of non-cash proceeds received in connection with any Designated Asset Sale, the Net Proceeds shall be deemed to be the book value of the portion of the property giving rise thereto as reflected in the financial statements most recently delivered pursuant to Section 6.1 or, if not reflected therein, as reflected in the financial statements of the relevant entity, in each case as demonstrated in reasonable detail and certified to the Administrative Agent by a Responsible Officer.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as defined in Section 2.17(a).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as defined in Section 2.17(d).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as defined in Section 2.2; collectively, the “Notes”.</w:t>
      </w:r>
    </w:p>
    <w:p>
      <w:pPr>
        <w:spacing w:after="0" w:line="171"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Company, whether or not a claim for post-filing or post-petition interest is allowed in such proceeding) the Loans and all other monetary obligations and liabilities of the Company to the Administrative Agent or to any Bank, whether direct or indirect, absolute or contingent, due or to become due, or now existing or hereafter incurred, which may arise under or in connection with, this Agreement, whether on account of principal, interest, reimbursement obligations, fees, indemnities, costs, expenses (including all fees, charges and disbursements of counsel to the Administrative Agent or to any Bank that are required to be paid by the Company pursuant hereto) or otherwise.</w:t>
      </w:r>
    </w:p>
    <w:p>
      <w:pPr>
        <w:spacing w:after="0" w:line="118" w:lineRule="exact"/>
        <w:rPr>
          <w:sz w:val="20"/>
          <w:szCs w:val="20"/>
          <w:color w:val="auto"/>
        </w:rPr>
      </w:pPr>
    </w:p>
    <w:p>
      <w:pPr>
        <w:ind w:right="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any and all present or future stamp or documentary taxes or any other excise or property taxes, charges or similar levies arising from any payment made hereunder or from the execution, delivery or enforcement of, or otherwise with respect to, this Agreement.</w:t>
      </w:r>
    </w:p>
    <w:p>
      <w:pPr>
        <w:spacing w:after="0" w:line="85"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Lease</w:t>
      </w:r>
      <w:r>
        <w:rPr>
          <w:rFonts w:ascii="Arial" w:cs="Arial" w:eastAsia="Arial" w:hAnsi="Arial"/>
          <w:sz w:val="18"/>
          <w:szCs w:val="18"/>
          <w:color w:val="auto"/>
        </w:rPr>
        <w:t>”: the sale and lease-back of the real properties located at 121 Boulevard Haussmann, 75008, Paris, 119 Boulevard Haussmann, 75008, Paris, and 10 Avenue Percier, 75008, Paris.</w:t>
      </w:r>
    </w:p>
    <w:p>
      <w:pPr>
        <w:spacing w:after="0" w:line="132" w:lineRule="exact"/>
        <w:rPr>
          <w:sz w:val="20"/>
          <w:szCs w:val="20"/>
          <w:color w:val="auto"/>
        </w:rPr>
      </w:pPr>
    </w:p>
    <w:p>
      <w:pPr>
        <w:ind w:right="2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Profit Sharing Plan</w:t>
      </w:r>
      <w:r>
        <w:rPr>
          <w:rFonts w:ascii="Arial" w:cs="Arial" w:eastAsia="Arial" w:hAnsi="Arial"/>
          <w:sz w:val="18"/>
          <w:szCs w:val="18"/>
          <w:color w:val="auto"/>
        </w:rPr>
        <w:t>”: that certain Accord de participation de groupe initially dated March 21, 1996 among Lazard Frères SAS and its employees, Lazard Frères Gestion SAS and its employees, Maison Lazard SAS, Lazard Frères Banque and its employees and Fonds Partenaires Gestion and its employees.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as defined in Section 12.7.</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as defined in Section 12.7.</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99" w:name="page100"/>
    <w:bookmarkEnd w:id="99"/>
    <w:p>
      <w:pPr>
        <w:jc w:val="both"/>
        <w:ind w:right="30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Pension Reserve Letter Agreement</w:t>
      </w:r>
      <w:r>
        <w:rPr>
          <w:rFonts w:ascii="Arial" w:cs="Arial" w:eastAsia="Arial" w:hAnsi="Arial"/>
          <w:sz w:val="16"/>
          <w:szCs w:val="16"/>
          <w:color w:val="auto"/>
        </w:rPr>
        <w:t>”: the letter agreement dated June 30, 2009, from Holdings and Lazard &amp; Co., Holdings Limited to the Staff Pension Trustees and the Directors’ Pension Trustees (in each case as defined therein), in respect of reserves to be retained by Lazard &amp; Co., Holdings Limited, Lazard &amp; Co., Limited and Lazard &amp; Co., Services Limited for certain pension obligations, and as such letter agreement is further amended, restated, modified, supplemented or replaced from time to time, in each case with respect to the same or similar such reserves.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Financings</w:t>
      </w:r>
      <w:r>
        <w:rPr>
          <w:rFonts w:ascii="Arial" w:cs="Arial" w:eastAsia="Arial" w:hAnsi="Arial"/>
          <w:sz w:val="18"/>
          <w:szCs w:val="18"/>
          <w:color w:val="auto"/>
        </w:rPr>
        <w:t>”: any Receivables Financing of a Receivables Subsidiary that meets the following conditions:</w:t>
      </w:r>
    </w:p>
    <w:p>
      <w:pPr>
        <w:spacing w:after="0" w:line="90" w:lineRule="exact"/>
        <w:rPr>
          <w:sz w:val="20"/>
          <w:szCs w:val="20"/>
          <w:color w:val="auto"/>
        </w:rPr>
      </w:pPr>
    </w:p>
    <w:p>
      <w:pPr>
        <w:ind w:right="120" w:firstLine="443"/>
        <w:spacing w:after="0" w:line="259" w:lineRule="auto"/>
        <w:tabs>
          <w:tab w:leader="none" w:pos="6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senior management or the Board of Directors of the Company shall have determined in good faith that such Permitted Receivables Financing (including financing terms, covenants, termination events and other provisions) is in the aggregate economically fair and reasonable to the Company and the Receivables Subsidiary;</w:t>
      </w:r>
    </w:p>
    <w:p>
      <w:pPr>
        <w:spacing w:after="0" w:line="59" w:lineRule="exact"/>
        <w:rPr>
          <w:rFonts w:ascii="Arial" w:cs="Arial" w:eastAsia="Arial" w:hAnsi="Arial"/>
          <w:sz w:val="18"/>
          <w:szCs w:val="18"/>
          <w:color w:val="auto"/>
        </w:rPr>
      </w:pPr>
    </w:p>
    <w:p>
      <w:pPr>
        <w:ind w:right="720" w:firstLine="443"/>
        <w:spacing w:after="0" w:line="357" w:lineRule="auto"/>
        <w:tabs>
          <w:tab w:leader="none" w:pos="687" w:val="left"/>
        </w:tabs>
        <w:numPr>
          <w:ilvl w:val="0"/>
          <w:numId w:val="66"/>
        </w:numPr>
        <w:rPr>
          <w:rFonts w:ascii="Arial" w:cs="Arial" w:eastAsia="Arial" w:hAnsi="Arial"/>
          <w:sz w:val="15"/>
          <w:szCs w:val="15"/>
          <w:color w:val="auto"/>
        </w:rPr>
      </w:pPr>
      <w:r>
        <w:rPr>
          <w:rFonts w:ascii="Arial" w:cs="Arial" w:eastAsia="Arial" w:hAnsi="Arial"/>
          <w:sz w:val="15"/>
          <w:szCs w:val="15"/>
          <w:color w:val="auto"/>
        </w:rPr>
        <w:t>all sales of accounts receivable and related assets to the Receivables Subsidiary (or valid capital contributions made to the Receivables Subsidiary) are made at Fair Market Value (as determined in good faith by senior management or the Board of Directors of the Company; and</w:t>
      </w:r>
    </w:p>
    <w:p>
      <w:pPr>
        <w:ind w:right="360" w:firstLine="443"/>
        <w:spacing w:after="0" w:line="268" w:lineRule="auto"/>
        <w:tabs>
          <w:tab w:leader="none" w:pos="6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financing terms, covenants, termination events and other provisions thereof shall be market terms (as determined in good faith by senior management or the Board of Directors of the Company).</w:t>
      </w:r>
    </w:p>
    <w:p>
      <w:pPr>
        <w:spacing w:after="0" w:line="132" w:lineRule="exact"/>
        <w:rPr>
          <w:sz w:val="20"/>
          <w:szCs w:val="20"/>
          <w:color w:val="auto"/>
        </w:rPr>
      </w:pPr>
    </w:p>
    <w:p>
      <w:pPr>
        <w:ind w:right="40"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any Indebtedness issued in exchange for, or the net proceeds of which are used to extend, refinance, renew, replace, defease or refund (collectively, to “</w:t>
      </w:r>
      <w:r>
        <w:rPr>
          <w:rFonts w:ascii="Arial" w:cs="Arial" w:eastAsia="Arial" w:hAnsi="Arial"/>
          <w:sz w:val="16"/>
          <w:szCs w:val="16"/>
          <w:u w:val="single" w:color="auto"/>
          <w:color w:val="auto"/>
        </w:rPr>
        <w:t>Refinance</w:t>
      </w:r>
      <w:r>
        <w:rPr>
          <w:rFonts w:ascii="Arial" w:cs="Arial" w:eastAsia="Arial" w:hAnsi="Arial"/>
          <w:sz w:val="16"/>
          <w:szCs w:val="16"/>
          <w:color w:val="auto"/>
        </w:rPr>
        <w:t xml:space="preserve">”), the Indebtedness being Refinanced (or previous refinancings thereof constituting Permitted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thereon and underwriting discounts, fees, commissions and expenses), (b) the average life to maturity of such Permitted Refinancing Indebtedness is greater than or equal to the remaining average life to maturity of the Indebtedness being Refinanced, (c) if the Indebtedness being Refinanced is subordinated in right of payment to the Obligations under this Agreement, such Permitted Refinancing Indebtedness shall be subordinated in right of payment to such Obligations on terms at least as favorable to the Banks as those contained in the documentation governing the Indebtedness being Refinanced and (d) no Permitted Refinancing Indebtedness shall have different obligors, or greater guarantees or security, than the Indebtedness being Refinanced, unless the incurrence of such Indebtedness, guarantees or security is permitted by a separate provision of this Agreement.</w:t>
      </w:r>
    </w:p>
    <w:p>
      <w:pPr>
        <w:spacing w:after="0" w:line="123"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partnership, corporation, business trust, joint stock company, trust, unincorporated association, joint venture, Governmental Authority or other entity of whatever nature.</w:t>
      </w:r>
    </w:p>
    <w:p>
      <w:pPr>
        <w:spacing w:after="0" w:line="132" w:lineRule="exact"/>
        <w:rPr>
          <w:sz w:val="20"/>
          <w:szCs w:val="20"/>
          <w:color w:val="auto"/>
        </w:rPr>
      </w:pPr>
    </w:p>
    <w:p>
      <w:pPr>
        <w:jc w:val="both"/>
        <w:ind w:right="6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any employee benefit plan (as defined in Section 3(3) of ERISA) and in respect of which the Company, any Subsidiary thereof or a Commonly Controlled Entity is (or, if such plan were terminated at such time, would under Section 4062 or 4069 of ERISA be deemed to be) an “employer” as defined in Section 3(5) of ERISA.</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as defined in Section 12.2.</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700" w:top="280" w:right="339" w:bottom="1440" w:gutter="0" w:footer="0" w:header="0"/>
        </w:sectPr>
      </w:pPr>
    </w:p>
    <w:bookmarkStart w:id="100" w:name="page101"/>
    <w:bookmarkEnd w:id="10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Pricing Grid</w:t>
      </w:r>
      <w:r>
        <w:rPr>
          <w:rFonts w:ascii="Arial" w:cs="Arial" w:eastAsia="Arial" w:hAnsi="Arial"/>
          <w:sz w:val="18"/>
          <w:szCs w:val="18"/>
          <w:color w:val="auto"/>
        </w:rPr>
        <w:t>”: the table set forth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700" w:type="dxa"/>
            <w:vAlign w:val="bottom"/>
            <w:gridSpan w:val="2"/>
          </w:tcPr>
          <w:p>
            <w:pPr>
              <w:jc w:val="center"/>
              <w:ind w:right="2660"/>
              <w:spacing w:after="0"/>
              <w:rPr>
                <w:sz w:val="20"/>
                <w:szCs w:val="20"/>
                <w:color w:val="auto"/>
              </w:rPr>
            </w:pPr>
            <w:r>
              <w:rPr>
                <w:rFonts w:ascii="Arial" w:cs="Arial" w:eastAsia="Arial" w:hAnsi="Arial"/>
                <w:sz w:val="14"/>
                <w:szCs w:val="14"/>
                <w:color w:val="auto"/>
                <w:w w:val="84"/>
              </w:rPr>
              <w:t>Ratings</w:t>
            </w:r>
          </w:p>
        </w:tc>
        <w:tc>
          <w:tcPr>
            <w:tcW w:w="1660" w:type="dxa"/>
            <w:vAlign w:val="bottom"/>
          </w:tcPr>
          <w:p>
            <w:pPr>
              <w:spacing w:after="0"/>
              <w:rPr>
                <w:sz w:val="14"/>
                <w:szCs w:val="14"/>
                <w:color w:val="auto"/>
              </w:rPr>
            </w:pPr>
          </w:p>
        </w:tc>
        <w:tc>
          <w:tcPr>
            <w:tcW w:w="2920" w:type="dxa"/>
            <w:vAlign w:val="bottom"/>
            <w:gridSpan w:val="3"/>
            <w:vMerge w:val="restart"/>
          </w:tcPr>
          <w:p>
            <w:pPr>
              <w:ind w:left="120"/>
              <w:spacing w:after="0"/>
              <w:rPr>
                <w:sz w:val="20"/>
                <w:szCs w:val="20"/>
                <w:color w:val="auto"/>
              </w:rPr>
            </w:pPr>
            <w:r>
              <w:rPr>
                <w:rFonts w:ascii="Arial" w:cs="Arial" w:eastAsia="Arial" w:hAnsi="Arial"/>
                <w:sz w:val="14"/>
                <w:szCs w:val="14"/>
                <w:color w:val="auto"/>
              </w:rPr>
              <w:t>Applicable Margin</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80" w:type="dxa"/>
            <w:vAlign w:val="bottom"/>
          </w:tcPr>
          <w:p>
            <w:pPr>
              <w:spacing w:after="0"/>
              <w:rPr>
                <w:sz w:val="13"/>
                <w:szCs w:val="13"/>
                <w:color w:val="auto"/>
              </w:rPr>
            </w:pPr>
          </w:p>
        </w:tc>
        <w:tc>
          <w:tcPr>
            <w:tcW w:w="3700" w:type="dxa"/>
            <w:vAlign w:val="bottom"/>
            <w:gridSpan w:val="2"/>
          </w:tcPr>
          <w:p>
            <w:pPr>
              <w:jc w:val="center"/>
              <w:ind w:right="2660"/>
              <w:spacing w:after="0" w:line="159" w:lineRule="exact"/>
              <w:rPr>
                <w:sz w:val="20"/>
                <w:szCs w:val="20"/>
                <w:color w:val="auto"/>
              </w:rPr>
            </w:pPr>
            <w:r>
              <w:rPr>
                <w:rFonts w:ascii="Arial" w:cs="Arial" w:eastAsia="Arial" w:hAnsi="Arial"/>
                <w:sz w:val="14"/>
                <w:szCs w:val="14"/>
                <w:color w:val="auto"/>
                <w:w w:val="89"/>
              </w:rPr>
              <w:t>(or, if applicable,</w:t>
            </w:r>
          </w:p>
        </w:tc>
        <w:tc>
          <w:tcPr>
            <w:tcW w:w="16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3"/>
            <w:vMerge w:val="continue"/>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3700" w:type="dxa"/>
            <w:vAlign w:val="bottom"/>
            <w:gridSpan w:val="2"/>
          </w:tcPr>
          <w:p>
            <w:pPr>
              <w:jc w:val="center"/>
              <w:ind w:right="2660"/>
              <w:spacing w:after="0" w:line="118" w:lineRule="exact"/>
              <w:rPr>
                <w:sz w:val="20"/>
                <w:szCs w:val="20"/>
                <w:color w:val="auto"/>
              </w:rPr>
            </w:pPr>
            <w:r>
              <w:rPr>
                <w:rFonts w:ascii="Arial" w:cs="Arial" w:eastAsia="Arial" w:hAnsi="Arial"/>
                <w:sz w:val="12"/>
                <w:szCs w:val="12"/>
                <w:color w:val="auto"/>
              </w:rPr>
              <w:t>equivalent ratings</w:t>
            </w:r>
          </w:p>
        </w:tc>
        <w:tc>
          <w:tcPr>
            <w:tcW w:w="1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700" w:type="dxa"/>
            <w:vAlign w:val="bottom"/>
            <w:gridSpan w:val="2"/>
          </w:tcPr>
          <w:p>
            <w:pPr>
              <w:jc w:val="center"/>
              <w:ind w:right="2660"/>
              <w:spacing w:after="0" w:line="149" w:lineRule="exact"/>
              <w:rPr>
                <w:sz w:val="20"/>
                <w:szCs w:val="20"/>
                <w:color w:val="auto"/>
              </w:rPr>
            </w:pPr>
            <w:r>
              <w:rPr>
                <w:rFonts w:ascii="Arial" w:cs="Arial" w:eastAsia="Arial" w:hAnsi="Arial"/>
                <w:sz w:val="14"/>
                <w:szCs w:val="14"/>
                <w:color w:val="auto"/>
                <w:w w:val="87"/>
              </w:rPr>
              <w:t>by a rating agency</w:t>
            </w:r>
          </w:p>
        </w:tc>
        <w:tc>
          <w:tcPr>
            <w:tcW w:w="1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tcPr>
          <w:p>
            <w:pPr>
              <w:spacing w:after="0"/>
              <w:rPr>
                <w:sz w:val="13"/>
                <w:szCs w:val="13"/>
                <w:color w:val="auto"/>
              </w:rPr>
            </w:pPr>
          </w:p>
        </w:tc>
        <w:tc>
          <w:tcPr>
            <w:tcW w:w="3700" w:type="dxa"/>
            <w:vAlign w:val="bottom"/>
            <w:gridSpan w:val="2"/>
          </w:tcPr>
          <w:p>
            <w:pPr>
              <w:jc w:val="center"/>
              <w:ind w:right="2660"/>
              <w:spacing w:after="0" w:line="159" w:lineRule="exact"/>
              <w:rPr>
                <w:sz w:val="20"/>
                <w:szCs w:val="20"/>
                <w:color w:val="auto"/>
              </w:rPr>
            </w:pPr>
            <w:r>
              <w:rPr>
                <w:rFonts w:ascii="Arial" w:cs="Arial" w:eastAsia="Arial" w:hAnsi="Arial"/>
                <w:sz w:val="14"/>
                <w:szCs w:val="14"/>
                <w:color w:val="auto"/>
                <w:w w:val="85"/>
              </w:rPr>
              <w:t>set forth on</w:t>
            </w:r>
          </w:p>
        </w:tc>
        <w:tc>
          <w:tcPr>
            <w:tcW w:w="1660" w:type="dxa"/>
            <w:vAlign w:val="bottom"/>
          </w:tcPr>
          <w:p>
            <w:pPr>
              <w:jc w:val="center"/>
              <w:ind w:left="759"/>
              <w:spacing w:after="0" w:line="159" w:lineRule="exact"/>
              <w:rPr>
                <w:sz w:val="20"/>
                <w:szCs w:val="20"/>
                <w:color w:val="auto"/>
              </w:rPr>
            </w:pPr>
            <w:r>
              <w:rPr>
                <w:rFonts w:ascii="Arial" w:cs="Arial" w:eastAsia="Arial" w:hAnsi="Arial"/>
                <w:sz w:val="14"/>
                <w:szCs w:val="14"/>
                <w:color w:val="auto"/>
                <w:w w:val="90"/>
              </w:rPr>
              <w:t>Eurodollar</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4"/>
              </w:rPr>
              <w:t>Federal Funds Rate</w:t>
            </w: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700" w:type="dxa"/>
            <w:vAlign w:val="bottom"/>
            <w:gridSpan w:val="2"/>
          </w:tcPr>
          <w:p>
            <w:pPr>
              <w:jc w:val="center"/>
              <w:ind w:right="2660"/>
              <w:spacing w:after="0" w:line="129" w:lineRule="exact"/>
              <w:rPr>
                <w:sz w:val="20"/>
                <w:szCs w:val="20"/>
                <w:color w:val="auto"/>
              </w:rPr>
            </w:pPr>
            <w:r>
              <w:rPr>
                <w:rFonts w:ascii="Arial" w:cs="Arial" w:eastAsia="Arial" w:hAnsi="Arial"/>
                <w:sz w:val="14"/>
                <w:szCs w:val="14"/>
                <w:color w:val="auto"/>
                <w:w w:val="87"/>
              </w:rPr>
              <w:t>Schedule 1.1B)</w:t>
            </w:r>
          </w:p>
        </w:tc>
        <w:tc>
          <w:tcPr>
            <w:tcW w:w="1660" w:type="dxa"/>
            <w:vAlign w:val="bottom"/>
          </w:tcPr>
          <w:p>
            <w:pPr>
              <w:jc w:val="center"/>
              <w:ind w:left="779"/>
              <w:spacing w:after="0" w:line="129" w:lineRule="exact"/>
              <w:rPr>
                <w:sz w:val="20"/>
                <w:szCs w:val="20"/>
                <w:color w:val="auto"/>
              </w:rPr>
            </w:pPr>
            <w:r>
              <w:rPr>
                <w:rFonts w:ascii="Arial" w:cs="Arial" w:eastAsia="Arial" w:hAnsi="Arial"/>
                <w:sz w:val="14"/>
                <w:szCs w:val="14"/>
                <w:color w:val="auto"/>
                <w:w w:val="83"/>
              </w:rPr>
              <w:t>Loans</w:t>
            </w: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jc w:val="center"/>
              <w:spacing w:after="0" w:line="129" w:lineRule="exact"/>
              <w:rPr>
                <w:sz w:val="20"/>
                <w:szCs w:val="20"/>
                <w:color w:val="auto"/>
              </w:rPr>
            </w:pPr>
            <w:r>
              <w:rPr>
                <w:rFonts w:ascii="Arial" w:cs="Arial" w:eastAsia="Arial" w:hAnsi="Arial"/>
                <w:sz w:val="14"/>
                <w:szCs w:val="14"/>
                <w:color w:val="auto"/>
                <w:w w:val="83"/>
              </w:rPr>
              <w:t>Loans</w:t>
            </w:r>
          </w:p>
        </w:tc>
        <w:tc>
          <w:tcPr>
            <w:tcW w:w="900" w:type="dxa"/>
            <w:vAlign w:val="bottom"/>
          </w:tcPr>
          <w:p>
            <w:pPr>
              <w:spacing w:after="0"/>
              <w:rPr>
                <w:sz w:val="12"/>
                <w:szCs w:val="12"/>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color w:val="auto"/>
                <w:w w:val="89"/>
              </w:rPr>
              <w:t>Commitment Fee</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8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jc w:val="center"/>
              <w:ind w:right="2660"/>
              <w:spacing w:after="0" w:line="196" w:lineRule="exact"/>
              <w:rPr>
                <w:sz w:val="20"/>
                <w:szCs w:val="20"/>
                <w:color w:val="auto"/>
              </w:rPr>
            </w:pPr>
            <w:r>
              <w:rPr>
                <w:rFonts w:ascii="Arial" w:cs="Arial" w:eastAsia="Arial" w:hAnsi="Arial"/>
                <w:sz w:val="18"/>
                <w:szCs w:val="18"/>
                <w:color w:val="auto"/>
                <w:w w:val="93"/>
              </w:rPr>
              <w:t>³ BBB</w:t>
            </w:r>
          </w:p>
        </w:tc>
        <w:tc>
          <w:tcPr>
            <w:tcW w:w="1660" w:type="dxa"/>
            <w:vAlign w:val="bottom"/>
            <w:shd w:val="clear" w:color="auto" w:fill="CCEEFF"/>
          </w:tcPr>
          <w:p>
            <w:pPr>
              <w:jc w:val="center"/>
              <w:ind w:left="779"/>
              <w:spacing w:after="0" w:line="196" w:lineRule="exact"/>
              <w:rPr>
                <w:sz w:val="20"/>
                <w:szCs w:val="20"/>
                <w:color w:val="auto"/>
              </w:rPr>
            </w:pPr>
            <w:r>
              <w:rPr>
                <w:rFonts w:ascii="Arial" w:cs="Arial" w:eastAsia="Arial" w:hAnsi="Arial"/>
                <w:sz w:val="18"/>
                <w:szCs w:val="18"/>
                <w:color w:val="auto"/>
                <w:w w:val="87"/>
              </w:rPr>
              <w:t>175 bps</w:t>
            </w: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ind w:left="460"/>
              <w:spacing w:after="0" w:line="196" w:lineRule="exact"/>
              <w:rPr>
                <w:sz w:val="20"/>
                <w:szCs w:val="20"/>
                <w:color w:val="auto"/>
              </w:rPr>
            </w:pPr>
            <w:r>
              <w:rPr>
                <w:rFonts w:ascii="Arial" w:cs="Arial" w:eastAsia="Arial" w:hAnsi="Arial"/>
                <w:sz w:val="18"/>
                <w:szCs w:val="18"/>
                <w:color w:val="auto"/>
              </w:rPr>
              <w:t>75 bps</w:t>
            </w:r>
          </w:p>
        </w:tc>
        <w:tc>
          <w:tcPr>
            <w:tcW w:w="9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30 bps</w:t>
            </w:r>
          </w:p>
        </w:tc>
        <w:tc>
          <w:tcPr>
            <w:tcW w:w="0" w:type="dxa"/>
            <w:vAlign w:val="bottom"/>
          </w:tcPr>
          <w:p>
            <w:pPr>
              <w:spacing w:after="0"/>
              <w:rPr>
                <w:sz w:val="1"/>
                <w:szCs w:val="1"/>
                <w:color w:val="auto"/>
              </w:rPr>
            </w:pPr>
          </w:p>
        </w:tc>
      </w:tr>
      <w:tr>
        <w:trPr>
          <w:trHeight w:val="216"/>
        </w:trPr>
        <w:tc>
          <w:tcPr>
            <w:tcW w:w="4780" w:type="dxa"/>
            <w:vAlign w:val="bottom"/>
            <w:gridSpan w:val="3"/>
          </w:tcPr>
          <w:p>
            <w:pPr>
              <w:jc w:val="center"/>
              <w:ind w:right="1580"/>
              <w:spacing w:after="0"/>
              <w:rPr>
                <w:sz w:val="20"/>
                <w:szCs w:val="20"/>
                <w:color w:val="auto"/>
              </w:rPr>
            </w:pPr>
            <w:r>
              <w:rPr>
                <w:rFonts w:ascii="Arial" w:cs="Arial" w:eastAsia="Arial" w:hAnsi="Arial"/>
                <w:sz w:val="18"/>
                <w:szCs w:val="18"/>
                <w:color w:val="auto"/>
                <w:w w:val="94"/>
              </w:rPr>
              <w:t>³ BBB- but &lt; BBB</w:t>
            </w:r>
          </w:p>
        </w:tc>
        <w:tc>
          <w:tcPr>
            <w:tcW w:w="1660" w:type="dxa"/>
            <w:vAlign w:val="bottom"/>
          </w:tcPr>
          <w:p>
            <w:pPr>
              <w:jc w:val="center"/>
              <w:ind w:left="779"/>
              <w:spacing w:after="0"/>
              <w:rPr>
                <w:sz w:val="20"/>
                <w:szCs w:val="20"/>
                <w:color w:val="auto"/>
              </w:rPr>
            </w:pPr>
            <w:r>
              <w:rPr>
                <w:rFonts w:ascii="Arial" w:cs="Arial" w:eastAsia="Arial" w:hAnsi="Arial"/>
                <w:sz w:val="18"/>
                <w:szCs w:val="18"/>
                <w:color w:val="auto"/>
                <w:w w:val="87"/>
              </w:rPr>
              <w:t>200 bps</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100 bps</w:t>
            </w:r>
          </w:p>
        </w:tc>
        <w:tc>
          <w:tcPr>
            <w:tcW w:w="9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40 bps</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jc w:val="center"/>
              <w:ind w:right="1580"/>
              <w:spacing w:after="0"/>
              <w:rPr>
                <w:sz w:val="20"/>
                <w:szCs w:val="20"/>
                <w:color w:val="auto"/>
              </w:rPr>
            </w:pPr>
            <w:r>
              <w:rPr>
                <w:rFonts w:ascii="Arial" w:cs="Arial" w:eastAsia="Arial" w:hAnsi="Arial"/>
                <w:sz w:val="18"/>
                <w:szCs w:val="18"/>
                <w:color w:val="auto"/>
                <w:w w:val="92"/>
              </w:rPr>
              <w:t>³ BB+ but &lt; BBB-</w:t>
            </w:r>
          </w:p>
        </w:tc>
        <w:tc>
          <w:tcPr>
            <w:tcW w:w="1660" w:type="dxa"/>
            <w:vAlign w:val="bottom"/>
            <w:shd w:val="clear" w:color="auto" w:fill="CCEEFF"/>
          </w:tcPr>
          <w:p>
            <w:pPr>
              <w:jc w:val="center"/>
              <w:ind w:left="779"/>
              <w:spacing w:after="0"/>
              <w:rPr>
                <w:sz w:val="20"/>
                <w:szCs w:val="20"/>
                <w:color w:val="auto"/>
              </w:rPr>
            </w:pPr>
            <w:r>
              <w:rPr>
                <w:rFonts w:ascii="Arial" w:cs="Arial" w:eastAsia="Arial" w:hAnsi="Arial"/>
                <w:sz w:val="18"/>
                <w:szCs w:val="18"/>
                <w:color w:val="auto"/>
                <w:w w:val="87"/>
              </w:rPr>
              <w:t>225 bps</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125 bps</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 bps</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700" w:type="dxa"/>
            <w:vAlign w:val="bottom"/>
            <w:gridSpan w:val="2"/>
          </w:tcPr>
          <w:p>
            <w:pPr>
              <w:jc w:val="center"/>
              <w:ind w:right="2660"/>
              <w:spacing w:after="0"/>
              <w:rPr>
                <w:sz w:val="20"/>
                <w:szCs w:val="20"/>
                <w:color w:val="auto"/>
              </w:rPr>
            </w:pPr>
            <w:r>
              <w:rPr>
                <w:rFonts w:ascii="Arial" w:cs="Arial" w:eastAsia="Arial" w:hAnsi="Arial"/>
                <w:sz w:val="18"/>
                <w:szCs w:val="18"/>
                <w:color w:val="auto"/>
                <w:w w:val="95"/>
              </w:rPr>
              <w:t>&lt; BB+</w:t>
            </w:r>
          </w:p>
        </w:tc>
        <w:tc>
          <w:tcPr>
            <w:tcW w:w="1660" w:type="dxa"/>
            <w:vAlign w:val="bottom"/>
          </w:tcPr>
          <w:p>
            <w:pPr>
              <w:jc w:val="center"/>
              <w:ind w:left="779"/>
              <w:spacing w:after="0"/>
              <w:rPr>
                <w:sz w:val="20"/>
                <w:szCs w:val="20"/>
                <w:color w:val="auto"/>
              </w:rPr>
            </w:pPr>
            <w:r>
              <w:rPr>
                <w:rFonts w:ascii="Arial" w:cs="Arial" w:eastAsia="Arial" w:hAnsi="Arial"/>
                <w:sz w:val="18"/>
                <w:szCs w:val="18"/>
                <w:color w:val="auto"/>
                <w:w w:val="87"/>
              </w:rPr>
              <w:t>250 bps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150 bps</w:t>
            </w:r>
          </w:p>
        </w:tc>
        <w:tc>
          <w:tcPr>
            <w:tcW w:w="9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60 bps</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460" w:right="60" w:firstLine="438"/>
        <w:spacing w:after="0" w:line="294" w:lineRule="auto"/>
        <w:rPr>
          <w:sz w:val="20"/>
          <w:szCs w:val="20"/>
          <w:color w:val="auto"/>
        </w:rPr>
      </w:pPr>
      <w:r>
        <w:rPr>
          <w:rFonts w:ascii="Arial" w:cs="Arial" w:eastAsia="Arial" w:hAnsi="Arial"/>
          <w:sz w:val="16"/>
          <w:szCs w:val="16"/>
          <w:color w:val="auto"/>
        </w:rPr>
        <w:t>For the purposes of the Pricing Grid, the Company shall provide prompt written notice to the Administrative Agent of any change in any Rating by S&amp;P (or, if applicable, such other rating agency determined in accordance with the definition of “Ratings”). The Applicable Margin and the Commitment Fee Rate resulting from changes in the Ratings shall be effective on the date (the “</w:t>
      </w:r>
      <w:r>
        <w:rPr>
          <w:rFonts w:ascii="Arial" w:cs="Arial" w:eastAsia="Arial" w:hAnsi="Arial"/>
          <w:sz w:val="16"/>
          <w:szCs w:val="16"/>
          <w:u w:val="single" w:color="auto"/>
          <w:color w:val="auto"/>
        </w:rPr>
        <w:t>Adjustment Date</w:t>
      </w:r>
      <w:r>
        <w:rPr>
          <w:rFonts w:ascii="Arial" w:cs="Arial" w:eastAsia="Arial" w:hAnsi="Arial"/>
          <w:sz w:val="16"/>
          <w:szCs w:val="16"/>
          <w:color w:val="auto"/>
        </w:rPr>
        <w:t>”) that is three (3) Business Days after the date of such change and shall remain in effect until the next change to be effected pursuant to this paragraph. In the event that the Company has obtained more than one Rating and such Ratings are split, the Pricing Grid will be based on the higher rating.</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has the meaning assigned to such term in Section 406 of ERISA and Section 4975(c) of the Code.</w:t>
      </w:r>
    </w:p>
    <w:p>
      <w:pPr>
        <w:spacing w:after="0" w:line="171" w:lineRule="exact"/>
        <w:rPr>
          <w:sz w:val="20"/>
          <w:szCs w:val="20"/>
          <w:color w:val="auto"/>
        </w:rPr>
      </w:pPr>
    </w:p>
    <w:p>
      <w:pPr>
        <w:ind w:left="460" w:right="8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Ratings</w:t>
      </w:r>
      <w:r>
        <w:rPr>
          <w:rFonts w:ascii="Arial" w:cs="Arial" w:eastAsia="Arial" w:hAnsi="Arial"/>
          <w:sz w:val="16"/>
          <w:szCs w:val="16"/>
          <w:color w:val="auto"/>
        </w:rPr>
        <w:t xml:space="preserve">”: a rating of the Company’s senior unsecured non-credit enhanced indebtedness for borrowed money assigned by S&amp;P, each rating agency set forth on Schedule 1.1B or any internationally recognized rating agency approved by the Administrative Agent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if the Company shall have no senior unsecured non-credit enhanced indebtedness for borrowed money, the Company’s corporate credit rating shall be used;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S&amp;P or any rating agency set forth on Schedule 1.1B shall not maintain a rating for the Company’s senior unsecured non-credit enhanced indebtedness for borrowed money, or shall not maintain a corporate credit rating for the Company, as the case may be, the Required Lenders and the Company may agree to determine the ratings using the corresponding ratings level of one or more Nationally Recognized Statistical Rating Organizations (as defined in Rule 436 under the Securities Act of 1933).</w:t>
      </w:r>
    </w:p>
    <w:p>
      <w:pPr>
        <w:spacing w:after="0" w:line="118" w:lineRule="exact"/>
        <w:rPr>
          <w:sz w:val="20"/>
          <w:szCs w:val="20"/>
          <w:color w:val="auto"/>
        </w:rPr>
      </w:pPr>
    </w:p>
    <w:p>
      <w:pPr>
        <w:ind w:left="460" w:right="4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Financing</w:t>
      </w:r>
      <w:r>
        <w:rPr>
          <w:rFonts w:ascii="Arial" w:cs="Arial" w:eastAsia="Arial" w:hAnsi="Arial"/>
          <w:sz w:val="16"/>
          <w:szCs w:val="16"/>
          <w:color w:val="auto"/>
        </w:rPr>
        <w:t>”: any transaction or series of transactions that may be entered into by the Company or any of its Subsidiaries pursuant to which the Company or any of its Subsidiaries may (a) sell, convey or otherwise transfer to a Receivables Subsidiary or (b) grant a security interest in, any accounts receivable (whether now existing or arising in the future) of the Company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w:t>
      </w:r>
    </w:p>
    <w:p>
      <w:pPr>
        <w:spacing w:after="0" w:line="120" w:lineRule="exact"/>
        <w:rPr>
          <w:sz w:val="20"/>
          <w:szCs w:val="20"/>
          <w:color w:val="auto"/>
        </w:rPr>
      </w:pPr>
    </w:p>
    <w:p>
      <w:pPr>
        <w:ind w:left="460" w:right="16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Subsidiary</w:t>
      </w:r>
      <w:r>
        <w:rPr>
          <w:rFonts w:ascii="Arial" w:cs="Arial" w:eastAsia="Arial" w:hAnsi="Arial"/>
          <w:sz w:val="16"/>
          <w:szCs w:val="16"/>
          <w:color w:val="auto"/>
        </w:rPr>
        <w:t>”: means a Wholly Owned Subsidiary of the Company (or another Person formed for the purposes of engaging in a Permitted Receivables Financing with the Company in which the Company or any Subsidiary of the Company makes an investment and to which the Company or any Subsidiary of the Company transfers accounts receivable and related assets) which engages in no activities other than in connection with the financing of accounts receivable of the Company and its Subsidiaries, all proceeds thereof and all rights (contractual or other), collateral and other assets relating thereto, and any business or activities incidental or related to such business, and which is designated by the Chief Financial Officer of the Company (as provided below) as a Receivables Subsidiary and:</w:t>
      </w:r>
    </w:p>
    <w:p>
      <w:pPr>
        <w:spacing w:after="0" w:line="39" w:lineRule="exact"/>
        <w:rPr>
          <w:sz w:val="20"/>
          <w:szCs w:val="20"/>
          <w:color w:val="auto"/>
        </w:rPr>
      </w:pPr>
    </w:p>
    <w:p>
      <w:pPr>
        <w:ind w:left="460" w:right="660" w:firstLine="443"/>
        <w:spacing w:after="0" w:line="268" w:lineRule="auto"/>
        <w:tabs>
          <w:tab w:leader="none" w:pos="11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which (i) is guaranteed by the Company or any other Subsidiary of the Company, (ii) is recourse to or obligates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01" w:name="page102"/>
    <w:bookmarkEnd w:id="101"/>
    <w:p>
      <w:pPr>
        <w:ind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any other Subsidiary of the Company in any way (except for standard representations, warranties, covenants and indemnities made in connection with such facilities) or (iii) subjects any property or asset of the Company or any other Subsidiary of the Company, directly or indirectly, contingently or otherwise, to the satisfaction thereof;</w:t>
      </w:r>
    </w:p>
    <w:p>
      <w:pPr>
        <w:spacing w:after="0" w:line="59" w:lineRule="exact"/>
        <w:rPr>
          <w:sz w:val="20"/>
          <w:szCs w:val="20"/>
          <w:color w:val="auto"/>
        </w:rPr>
      </w:pPr>
    </w:p>
    <w:p>
      <w:pPr>
        <w:ind w:firstLine="443"/>
        <w:spacing w:after="0" w:line="259" w:lineRule="auto"/>
        <w:tabs>
          <w:tab w:leader="none" w:pos="68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which neither the Company nor any other Subsidiary of the Company has any material contract, agreement, arrangement or understanding other than on terms which the Company reasonably believes to be, on the whole, no less favorable to the Company or such Subsidiary than those that might be obtained at the time from Persons that are not Affiliates of the Company; and</w:t>
      </w:r>
    </w:p>
    <w:p>
      <w:pPr>
        <w:spacing w:after="0" w:line="59" w:lineRule="exact"/>
        <w:rPr>
          <w:rFonts w:ascii="Arial" w:cs="Arial" w:eastAsia="Arial" w:hAnsi="Arial"/>
          <w:sz w:val="18"/>
          <w:szCs w:val="18"/>
          <w:color w:val="auto"/>
        </w:rPr>
      </w:pPr>
    </w:p>
    <w:p>
      <w:pPr>
        <w:ind w:right="600" w:firstLine="443"/>
        <w:spacing w:after="0" w:line="268" w:lineRule="auto"/>
        <w:tabs>
          <w:tab w:leader="none" w:pos="6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which neither the Company nor any other Subsidiary of the Company has any obligation to maintain or preserve such entity’s financial condition or cause such entity to achieve certain levels of operating results.</w:t>
      </w:r>
    </w:p>
    <w:p>
      <w:pPr>
        <w:spacing w:after="0" w:line="132" w:lineRule="exact"/>
        <w:rPr>
          <w:sz w:val="20"/>
          <w:szCs w:val="20"/>
          <w:color w:val="auto"/>
        </w:rPr>
      </w:pPr>
    </w:p>
    <w:p>
      <w:pPr>
        <w:ind w:right="280" w:firstLine="438"/>
        <w:spacing w:after="0" w:line="259" w:lineRule="auto"/>
        <w:rPr>
          <w:sz w:val="20"/>
          <w:szCs w:val="20"/>
          <w:color w:val="auto"/>
        </w:rPr>
      </w:pPr>
      <w:r>
        <w:rPr>
          <w:rFonts w:ascii="Arial" w:cs="Arial" w:eastAsia="Arial" w:hAnsi="Arial"/>
          <w:sz w:val="18"/>
          <w:szCs w:val="18"/>
          <w:color w:val="auto"/>
        </w:rPr>
        <w:t>Any such designation by the Chief Financial Officer of the Company shall be evidenced to the Administrative Agent by delivery to the Administrative Agent a certified copy of the resolution of the Board of Directors of the Company giving effect to such designation and a certificate of a Responsible Officer certifying that such designation complied with the foregoing conditions.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as defined in Section 12.7.</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as in effect from time to time.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Reorganization</w:t>
      </w:r>
      <w:r>
        <w:rPr>
          <w:rFonts w:ascii="Arial" w:cs="Arial" w:eastAsia="Arial" w:hAnsi="Arial"/>
          <w:sz w:val="16"/>
          <w:szCs w:val="16"/>
          <w:color w:val="auto"/>
        </w:rPr>
        <w:t>”: with respect to any Multiemployer Plan, the condition that such plan is in reorganization within the meaning of Section 4241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165" w:lineRule="exact"/>
        <w:rPr>
          <w:sz w:val="20"/>
          <w:szCs w:val="20"/>
          <w:color w:val="auto"/>
        </w:rPr>
      </w:pPr>
    </w:p>
    <w:p>
      <w:pPr>
        <w:ind w:right="4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day notice period is waived under subsections .27, .28, .29, .30, .31, .32, .34 or .35 of PBGC Reg. § 4043.</w:t>
      </w:r>
    </w:p>
    <w:p>
      <w:pPr>
        <w:spacing w:after="0" w:line="132"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at any time, the holders of more than 50% of (a) the sum of the Commitments then in effect or, if the Commitments have terminated, (b) the sum of the aggregate unpaid principal amount of the Loans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when there are two or more non-affiliated Banks party hereto, in no event shall the Required Lenders consist of fewer than two non-affiliated Banks.</w:t>
      </w:r>
    </w:p>
    <w:p>
      <w:pPr>
        <w:spacing w:after="0" w:line="107" w:lineRule="exact"/>
        <w:rPr>
          <w:sz w:val="20"/>
          <w:szCs w:val="20"/>
          <w:color w:val="auto"/>
        </w:rPr>
      </w:pPr>
    </w:p>
    <w:p>
      <w:pPr>
        <w:jc w:val="both"/>
        <w:ind w:right="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as to any Person, the certificate of incorporation and by-laws or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07"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the chief executive officer, president or chief financial officer of the Company, but in any event, with respect to financial matters, the chief financial officer of the Company.</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as defined in Section 7.8.</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Services.</w:t>
      </w:r>
    </w:p>
    <w:p>
      <w:pPr>
        <w:spacing w:after="0" w:line="171"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or such other regulatory body which succeeds to the functions of the Securities and Exchange Commission.</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 Filings</w:t>
      </w:r>
      <w:r>
        <w:rPr>
          <w:rFonts w:ascii="Arial" w:cs="Arial" w:eastAsia="Arial" w:hAnsi="Arial"/>
          <w:sz w:val="16"/>
          <w:szCs w:val="16"/>
          <w:color w:val="auto"/>
        </w:rPr>
        <w:t>”: as to the Company, any public filings that the Company or Lazard Ltd has made on form 10-K, 10-Q or 8-K pursuant to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statutes, rules or regulations prior to the Effective Date.</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80" w:right="259" w:bottom="1440" w:gutter="0" w:footer="0" w:header="0"/>
        </w:sectPr>
      </w:pPr>
    </w:p>
    <w:bookmarkStart w:id="102" w:name="page103"/>
    <w:bookmarkEnd w:id="102"/>
    <w:p>
      <w:pPr>
        <w:ind w:right="320" w:firstLine="438"/>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Senior Note Indentures</w:t>
      </w:r>
      <w:r>
        <w:rPr>
          <w:rFonts w:ascii="Arial" w:cs="Arial" w:eastAsia="Arial" w:hAnsi="Arial"/>
          <w:sz w:val="16"/>
          <w:szCs w:val="16"/>
          <w:color w:val="auto"/>
        </w:rPr>
        <w:t>”: the Indenture dated as of May 10, 2005, as supplemented by the First and Second Supplemental Indentures dated as of May 10, 2005 the Amended and Restated Third Supplemental Indenture dated as of May 15, 2008 and the Fourth Supplemental Indenture dated as of June 21, 2007, together with all instruments and other agreements entered into by the Company in connection therewith.</w:t>
      </w:r>
    </w:p>
    <w:p>
      <w:pPr>
        <w:spacing w:after="0" w:line="107"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the senior notes of the Company, in the initial principal amount outstanding of $1,150,000,000, issued pursuant to the Senior Note Indentures.</w:t>
      </w:r>
    </w:p>
    <w:p>
      <w:pPr>
        <w:spacing w:after="0" w:line="132"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any Subsidiary that would be a “Significant Subsidiary” of the Company within the meaning of Rule 1-02 under Regulation S-X promulgated by the SEC as in effect on the date hereof, but excluding Lazard Group Finance LLC and Lazard Funding Limited LLC.</w:t>
      </w:r>
    </w:p>
    <w:p>
      <w:pPr>
        <w:spacing w:after="0" w:line="85"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(other than a Multiemployer plan) that is covered by Section 412 of the Code or Section 302 or Title IV of ERISA and is maintained or contributed to by the Company or any Commonly Controlled Entity.</w:t>
      </w:r>
    </w:p>
    <w:p>
      <w:pPr>
        <w:spacing w:after="0" w:line="132"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Non-Recourse Indebtedness</w:t>
      </w:r>
      <w:r>
        <w:rPr>
          <w:rFonts w:ascii="Arial" w:cs="Arial" w:eastAsia="Arial" w:hAnsi="Arial"/>
          <w:sz w:val="18"/>
          <w:szCs w:val="18"/>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only to such assets and is not a general obligation of the Company or any of its Subsidiaries (notwithstanding that such terms provide that such Indebtedness may become Specified Recourse Indebtedness upon the occurrence of certain events after such time).</w:t>
      </w:r>
    </w:p>
    <w:p>
      <w:pPr>
        <w:spacing w:after="0" w:line="143"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Recourse Indebtedness</w:t>
      </w:r>
      <w:r>
        <w:rPr>
          <w:rFonts w:ascii="Arial" w:cs="Arial" w:eastAsia="Arial" w:hAnsi="Arial"/>
          <w:sz w:val="16"/>
          <w:szCs w:val="16"/>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a general obligation of the Company or any of its Subsidiaries.</w:t>
      </w:r>
    </w:p>
    <w:p>
      <w:pPr>
        <w:spacing w:after="0" w:line="107"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Street Loans</w:t>
      </w:r>
      <w:r>
        <w:rPr>
          <w:rFonts w:ascii="Arial" w:cs="Arial" w:eastAsia="Arial" w:hAnsi="Arial"/>
          <w:sz w:val="18"/>
          <w:szCs w:val="18"/>
          <w:color w:val="auto"/>
        </w:rPr>
        <w:t>”: short term borrowings made by the Company for the purpose of purchasing or carrying securities for the Company, or for customers of the Company.</w:t>
      </w:r>
    </w:p>
    <w:p>
      <w:pPr>
        <w:spacing w:after="0" w:line="132" w:lineRule="exact"/>
        <w:rPr>
          <w:sz w:val="20"/>
          <w:szCs w:val="20"/>
          <w:color w:val="auto"/>
        </w:rPr>
      </w:pPr>
    </w:p>
    <w:p>
      <w:pPr>
        <w:ind w:right="4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xml:space="preserve">”: Indebtedness of the Company that is subordinated in right of payment to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incurred after the Effective Date, such Indebtedness has (a) no maturity, amortization, mandatory redemption or repurchase option or sinking fund payment prior to the date that is six months after the Maturity Date (other than customary provisions for application of asset sale proceeds or following a change of control) and (b) customary subordination provisions as shall be reasonably satisfactory to the Administrative Agent and the Required Lenders.</w:t>
      </w:r>
    </w:p>
    <w:p>
      <w:pPr>
        <w:spacing w:after="0" w:line="113" w:lineRule="exact"/>
        <w:rPr>
          <w:sz w:val="20"/>
          <w:szCs w:val="20"/>
          <w:color w:val="auto"/>
        </w:rPr>
      </w:pPr>
    </w:p>
    <w:p>
      <w:pPr>
        <w:ind w:right="4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as to any Person, (a) a corporation, limited liability company or other similar business entity of which shares of stock or other equity interests having ordinary voting power (other than stock or other equity interests having such power only by reason of the happening of a contingency) to elect a majority of the Board of Directors or other managers of such corporation or entity are at the time owned, or the management of which is otherwise controlled, directly or indirectly through one or more intermediaries, or both, by such Person or (b) any partnership of which such Person and/or one or more Subsidiaries of such Person has, directly or indirectly, more than 50% of the interest in profits and losses. Unless otherwise qualified, all references to a “Subsidiary” or to “Subsidiaries” in this Agreement shall refer to a Subsidiary or Subsidiaries of the Company.</w:t>
      </w:r>
    </w:p>
    <w:p>
      <w:pPr>
        <w:spacing w:after="0" w:line="120" w:lineRule="exact"/>
        <w:rPr>
          <w:sz w:val="20"/>
          <w:szCs w:val="20"/>
          <w:color w:val="auto"/>
        </w:rPr>
      </w:pPr>
    </w:p>
    <w:p>
      <w:pPr>
        <w:ind w:right="2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economic, financial or pricing risk or value or any similar transaction or any combination of these transactions.</w:t>
      </w:r>
    </w:p>
    <w:p>
      <w:pPr>
        <w:spacing w:after="0" w:line="171" w:lineRule="exact"/>
        <w:rPr>
          <w:sz w:val="20"/>
          <w:szCs w:val="20"/>
          <w:color w:val="auto"/>
        </w:rPr>
      </w:pPr>
    </w:p>
    <w:p>
      <w:pPr>
        <w:ind w:left="460" w:right="1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Debt</w:t>
      </w:r>
      <w:r>
        <w:rPr>
          <w:rFonts w:ascii="Arial" w:cs="Arial" w:eastAsia="Arial" w:hAnsi="Arial"/>
          <w:sz w:val="16"/>
          <w:szCs w:val="16"/>
          <w:color w:val="auto"/>
        </w:rPr>
        <w:t>”: of a Person, at a particular date, (i) indebtedness of such Person resulting from free credit balances and similar payables, day loans, Installment Notes, Street Loans, and other liabilities and obligations incurred in the ordinary course of business of such Person both as principal and as agent as an investment banker, futures commission merchant, broker dealer or financial services institution; and (ii) other short term indebtedness of such Person incurred in the ordinary course of its business not material individually or in the aggregate to such Person.</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as to any Loan, its nature as a Fed Rate Loan or a Eurodollar Loan.</w:t>
      </w:r>
    </w:p>
    <w:p>
      <w:pPr>
        <w:spacing w:after="0" w:line="171"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the Uniting and Strengthening America by Providing Appropriate Tools Required to Intercept and Obstruct Terrorism Act of 2001, as amended from time to time.</w:t>
      </w:r>
    </w:p>
    <w:p>
      <w:pPr>
        <w:spacing w:after="0" w:line="132"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a Subsidiary of such Person 95% of the outstanding Capital Stock or other ownership interests of which shall at the time be owned by such Person or by one or more Wholly Owned Subsidiaries of such Person.</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Unless otherwise specified therein, all terms defined in this Agreement shall have the defined meanings when used in the Notes or any certificate or other document made or delivered pursuant hereto.</w:t>
      </w:r>
    </w:p>
    <w:p>
      <w:pPr>
        <w:spacing w:after="0" w:line="51" w:lineRule="exact"/>
        <w:rPr>
          <w:sz w:val="20"/>
          <w:szCs w:val="20"/>
          <w:color w:val="auto"/>
        </w:rPr>
      </w:pPr>
    </w:p>
    <w:p>
      <w:pPr>
        <w:ind w:right="40" w:firstLine="464"/>
        <w:spacing w:after="0" w:line="289" w:lineRule="auto"/>
        <w:tabs>
          <w:tab w:leader="none" w:pos="705"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As used herein and in the Notes, unless otherwise specified, all accounting terms used herein shall be interpreted, all accounting determinations hereunder shall be made, and all financial statements required to be delivered hereunder shall be prepared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notifies the Administrative Agent that the Company wishes to amend any provision hereof, including, without limitation, any covenant in Article VI, to eliminate the effect of any change in GAAP (or the application thereof) adopted after the Effective Date on the operation of such provision (or if the Administrative Agent notifies the Company that the Required Lenders wish to amend any such provision for such purpose), then the Company’s compliance with such provision shall be determined on the basis of GAAP in effect and applied immediately before the relevant change in GAAP (or the application thereof) became effective, until either such notice is withdrawn or such provision is amended in a manner satisfactory to the Company and the Required Lenders.</w:t>
      </w:r>
    </w:p>
    <w:p>
      <w:pPr>
        <w:spacing w:after="0" w:line="118" w:lineRule="exact"/>
        <w:rPr>
          <w:rFonts w:ascii="Arial" w:cs="Arial" w:eastAsia="Arial" w:hAnsi="Arial"/>
          <w:sz w:val="16"/>
          <w:szCs w:val="16"/>
          <w:color w:val="auto"/>
        </w:rPr>
      </w:pPr>
    </w:p>
    <w:p>
      <w:pPr>
        <w:ind w:firstLine="464"/>
        <w:spacing w:after="0" w:line="283" w:lineRule="auto"/>
        <w:tabs>
          <w:tab w:leader="none" w:pos="695"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(ii) any reference herein to any Person shall be construed to include such Person’s successors and assigns, (iii) the words “herein”, “hereof’ and “hereunder”, and words of similar import, shall be construed to refer to this Agreement in its entirety and not to any particular provision hereof,</w:t>
      </w:r>
    </w:p>
    <w:p>
      <w:pPr>
        <w:ind w:right="180" w:firstLine="8"/>
        <w:spacing w:after="0" w:line="255" w:lineRule="auto"/>
        <w:tabs>
          <w:tab w:leader="none" w:pos="29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references herein to Articles, Sections, Exhibits and Schedules shall be construed to refer to Articles and Sections of, and Exhibits and Schedules to, this Agreement and (v) the words “asset” and “property” shall be construed to have the same meaning and effect and to refer to any and all tangible and intangible assets and properties, including cash, securities, accounts and contract rights.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 AMOUNT AND TERMS OF LOAN COMMITMENTS</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Loans</w:t>
      </w:r>
      <w:r>
        <w:rPr>
          <w:rFonts w:ascii="Arial" w:cs="Arial" w:eastAsia="Arial" w:hAnsi="Arial"/>
          <w:sz w:val="18"/>
          <w:szCs w:val="18"/>
          <w:color w:val="auto"/>
        </w:rPr>
        <w:t>. (a) Subject to the terms and conditions hereof, each Bank severally agrees to make revolving credit loans (individually, a “</w:t>
      </w:r>
      <w:r>
        <w:rPr>
          <w:rFonts w:ascii="Arial" w:cs="Arial" w:eastAsia="Arial" w:hAnsi="Arial"/>
          <w:sz w:val="18"/>
          <w:szCs w:val="18"/>
          <w:u w:val="single" w:color="auto"/>
          <w:color w:val="auto"/>
        </w:rPr>
        <w:t>Loan</w:t>
      </w:r>
      <w:r>
        <w:rPr>
          <w:rFonts w:ascii="Arial" w:cs="Arial" w:eastAsia="Arial" w:hAnsi="Arial"/>
          <w:sz w:val="18"/>
          <w:szCs w:val="18"/>
          <w:color w:val="auto"/>
        </w:rPr>
        <w:t>”; collectively, the “</w:t>
      </w:r>
      <w:r>
        <w:rPr>
          <w:rFonts w:ascii="Arial" w:cs="Arial" w:eastAsia="Arial" w:hAnsi="Arial"/>
          <w:sz w:val="18"/>
          <w:szCs w:val="18"/>
          <w:u w:val="single" w:color="auto"/>
          <w:color w:val="auto"/>
        </w:rPr>
        <w:t>Loans</w:t>
      </w:r>
      <w:r>
        <w:rPr>
          <w:rFonts w:ascii="Arial" w:cs="Arial" w:eastAsia="Arial" w:hAnsi="Arial"/>
          <w:sz w:val="18"/>
          <w:szCs w:val="18"/>
          <w:color w:val="auto"/>
        </w:rPr>
        <w:t>”) to the Company from time to time during the Commitment Period in an aggregate principal amount at any one time outstanding not to exceed the amount of such Bank’s Commitment, as such amount may be reduced as provided herein. During the Commitment Period, the Company may use the Commitments by borrowing, prepaying the Loans in whole or in part subject to subsection 2.9, and reborrowing, all in accordance with the terms and conditions hereof.</w:t>
      </w:r>
    </w:p>
    <w:p>
      <w:pPr>
        <w:spacing w:after="0" w:line="62" w:lineRule="exact"/>
        <w:rPr>
          <w:sz w:val="20"/>
          <w:szCs w:val="20"/>
          <w:color w:val="auto"/>
        </w:rPr>
      </w:pPr>
    </w:p>
    <w:p>
      <w:pPr>
        <w:ind w:right="280" w:firstLine="464"/>
        <w:spacing w:after="0" w:line="259"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Loans may from time to time be (i) Eurodollar Loans, (ii) Fed Rate Loans or (iii) a combination thereof, as determined by the Company and notified to the Administrative Agent in accordance with Sections 2.6 and 2.7,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shall be continued as or converted into a Eurodollar Loan after the day that is one month prior to the Maturity Date.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Notes</w:t>
      </w:r>
      <w:r>
        <w:rPr>
          <w:rFonts w:ascii="Arial" w:cs="Arial" w:eastAsia="Arial" w:hAnsi="Arial"/>
          <w:sz w:val="16"/>
          <w:szCs w:val="16"/>
          <w:color w:val="auto"/>
        </w:rPr>
        <w:t>. Each Bank may request that the Loans made by such Bank pursuant hereto shall be evidenced by a promissory note of the Company, substantially in the form of Exhibit A hereto, with appropriate insertions as to date and principal amount (individually a “</w:t>
      </w:r>
      <w:r>
        <w:rPr>
          <w:rFonts w:ascii="Arial" w:cs="Arial" w:eastAsia="Arial" w:hAnsi="Arial"/>
          <w:sz w:val="16"/>
          <w:szCs w:val="16"/>
          <w:u w:val="single" w:color="auto"/>
          <w:color w:val="auto"/>
        </w:rPr>
        <w:t>Note</w:t>
      </w:r>
      <w:r>
        <w:rPr>
          <w:rFonts w:ascii="Arial" w:cs="Arial" w:eastAsia="Arial" w:hAnsi="Arial"/>
          <w:sz w:val="16"/>
          <w:szCs w:val="16"/>
          <w:color w:val="auto"/>
        </w:rPr>
        <w:t>”; collectively, the “</w:t>
      </w:r>
      <w:r>
        <w:rPr>
          <w:rFonts w:ascii="Arial" w:cs="Arial" w:eastAsia="Arial" w:hAnsi="Arial"/>
          <w:sz w:val="16"/>
          <w:szCs w:val="16"/>
          <w:u w:val="single" w:color="auto"/>
          <w:color w:val="auto"/>
        </w:rPr>
        <w:t>Notes</w:t>
      </w:r>
      <w:r>
        <w:rPr>
          <w:rFonts w:ascii="Arial" w:cs="Arial" w:eastAsia="Arial" w:hAnsi="Arial"/>
          <w:sz w:val="16"/>
          <w:szCs w:val="16"/>
          <w:color w:val="auto"/>
        </w:rPr>
        <w:t xml:space="preserve">”), payable to the order of such Bank and evidencing the obligation of the Company to pay the aggregate unpaid principal amount of all Loans made by such Bank hereunder, with interest thereon as prescribed in Section 2.3. Each Bank is hereby authorized to record the date and amount of each Loan made by such Bank, and the date and amount of each payment or prepayment of principal thereof on the schedule annexed to and constituting a part of its Note, and any such recordation shall constitute prima facie evidence of the accuracy of the information so recorded;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error or omission in making any such recordation shall not affect the obligations of the Company hereunder or under any Note. Each Note shall (x) be stated to mature on the last day of the Commitment Period and (y) bear interest on the unpaid principal amount thereof from time to time outstanding at the rates set forth in Section 2.3.</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Interest Rates and Interest Payment Dates</w:t>
      </w:r>
      <w:r>
        <w:rPr>
          <w:rFonts w:ascii="Arial" w:cs="Arial" w:eastAsia="Arial" w:hAnsi="Arial"/>
          <w:sz w:val="18"/>
          <w:szCs w:val="18"/>
          <w:color w:val="auto"/>
        </w:rPr>
        <w:t>. (a) Each Eurodollar Loan shall bear interest for each day during each Interest Period with respect thereto at a rate per annum equal to the Eurodollar Rate determined for such day plus the Applicable Margin.</w:t>
      </w:r>
    </w:p>
    <w:p>
      <w:pPr>
        <w:spacing w:after="0" w:line="51" w:lineRule="exact"/>
        <w:rPr>
          <w:sz w:val="20"/>
          <w:szCs w:val="20"/>
          <w:color w:val="auto"/>
        </w:rPr>
      </w:pPr>
    </w:p>
    <w:p>
      <w:pPr>
        <w:ind w:left="720" w:hanging="256"/>
        <w:spacing w:after="0"/>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Fed Rate Loan shall bear interest for each day at a rate per annum equal to the Fed Rate determined for such day plus the Applicable Margin.</w:t>
      </w:r>
    </w:p>
    <w:p>
      <w:pPr>
        <w:spacing w:after="0" w:line="113" w:lineRule="exact"/>
        <w:rPr>
          <w:rFonts w:ascii="Arial" w:cs="Arial" w:eastAsia="Arial" w:hAnsi="Arial"/>
          <w:sz w:val="16"/>
          <w:szCs w:val="16"/>
          <w:color w:val="auto"/>
        </w:rPr>
      </w:pPr>
    </w:p>
    <w:p>
      <w:pPr>
        <w:ind w:right="400" w:firstLine="464"/>
        <w:spacing w:after="0" w:line="268"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accruing pursuant to paragraph (d) of this Section shall be payable from time to time on demand.</w:t>
      </w:r>
    </w:p>
    <w:p>
      <w:pPr>
        <w:spacing w:after="0" w:line="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(d)(i) If all or a portion of the principal amount of any Loan shall not be paid when due (whether at the stated maturity, by acceleration or otherwise), then such overdue principal amount shall bear interest at a rate per annum which is 2% above the rate which would otherwise be applicable pursuant to Section 2.3(a) or 2.3(b), as the case may be, and (ii) if all or a portion of any interest payable on any Loan or any commitment fee or other amount payable hereunder shall not be paid when due (whether at the stated maturity, by acceleration or otherwise), such overdue amount shall bear interest at a rate per annum which is 2% above the rate then applicable to Fed Rate Loans, in each case, with respect to clauses (i) and (ii) above, from the date of such non-payment until such amount is paid in full (as well after as before judgment).</w:t>
      </w:r>
    </w:p>
    <w:p>
      <w:pPr>
        <w:spacing w:after="0" w:line="144"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Fees</w:t>
      </w:r>
      <w:r>
        <w:rPr>
          <w:rFonts w:ascii="Arial" w:cs="Arial" w:eastAsia="Arial" w:hAnsi="Arial"/>
          <w:sz w:val="15"/>
          <w:szCs w:val="15"/>
          <w:color w:val="auto"/>
        </w:rPr>
        <w:t>. (a) The Company agrees to pay to the Administrative Agent for the account of each Bank a commitment fee computed at the Commitment Fee Rate on the average daily amount of the undrawn Commitment of such Bank during the period for which payment is made, the accrued and unpaid portion of such fee to be payable in arrears on the last day of March, June, September and December of each year (commencing on the first such date to occur after the Effective Date) and on the Maturity Date. The Administrative Agent shall promptly distribute to each Bank its pro rata share of each payment of such fees.</w:t>
      </w:r>
    </w:p>
    <w:p>
      <w:pPr>
        <w:spacing w:after="0" w:line="17" w:lineRule="exact"/>
        <w:rPr>
          <w:sz w:val="20"/>
          <w:szCs w:val="20"/>
          <w:color w:val="auto"/>
        </w:rPr>
      </w:pPr>
    </w:p>
    <w:p>
      <w:pPr>
        <w:ind w:right="140" w:firstLine="464"/>
        <w:spacing w:after="0" w:line="268"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 as set forth in the Fee Letter and to perform any other obligations contained therein.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05" w:name="page106"/>
    <w:bookmarkEnd w:id="105"/>
    <w:p>
      <w:pPr>
        <w:ind w:right="40"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5"/>
          <w:szCs w:val="15"/>
          <w:u w:val="single" w:color="auto"/>
          <w:color w:val="auto"/>
        </w:rPr>
        <w:t>Computation of Interest and Fees</w:t>
      </w:r>
      <w:r>
        <w:rPr>
          <w:rFonts w:ascii="Arial" w:cs="Arial" w:eastAsia="Arial" w:hAnsi="Arial"/>
          <w:sz w:val="15"/>
          <w:szCs w:val="15"/>
          <w:color w:val="auto"/>
        </w:rPr>
        <w:t>. (a) Interest and fees shall be computed on the basis of (i) a 360 day year for actual days elapsed for Eurodollar Loans and (ii) a 365 day or 366 day, as the case may be, year for actual days elapsed for Fed Rate Loans and for fees under this Agreement. The Administrative Agent shall as soon as practicable notify the Company and the Banks of each determination of a Eurodollar Rate or of a Fed Rate. Any change in the interest rate on a Loan resulting from a change in the Fed Rate shall become effective as of the opening of business on the day on which such change becomes effective. The Administrative Agent shall as soon as practicable notify the Company and the Banks of such effective date and the amount of each such change in interest rate.</w:t>
      </w:r>
    </w:p>
    <w:p>
      <w:pPr>
        <w:spacing w:after="0" w:line="19" w:lineRule="exact"/>
        <w:rPr>
          <w:sz w:val="20"/>
          <w:szCs w:val="20"/>
          <w:color w:val="auto"/>
        </w:rPr>
      </w:pPr>
    </w:p>
    <w:p>
      <w:pPr>
        <w:ind w:right="140" w:firstLine="464"/>
        <w:spacing w:after="0" w:line="306" w:lineRule="auto"/>
        <w:tabs>
          <w:tab w:leader="none" w:pos="705" w:val="left"/>
        </w:tabs>
        <w:numPr>
          <w:ilvl w:val="0"/>
          <w:numId w:val="74"/>
        </w:numPr>
        <w:rPr>
          <w:rFonts w:ascii="Arial" w:cs="Arial" w:eastAsia="Arial" w:hAnsi="Arial"/>
          <w:sz w:val="16"/>
          <w:szCs w:val="16"/>
          <w:color w:val="auto"/>
        </w:rPr>
      </w:pPr>
      <w:r>
        <w:rPr>
          <w:rFonts w:ascii="Arial" w:cs="Arial" w:eastAsia="Arial" w:hAnsi="Arial"/>
          <w:sz w:val="16"/>
          <w:szCs w:val="16"/>
          <w:color w:val="auto"/>
        </w:rPr>
        <w:t>Each determination of an interest rate by the Administrative Agent pursuant to any provision of this Agreement shall be conclusive and binding on the Company and the Banks in the absence of manifest error. The Administrative Agent shall, at the request of the Company, deliver to the Company a statement showing the quotations used by the Administrative Agent in determining any interest rate pursuant to Section 2.3(a) or 2.3(b), as the case may be.</w:t>
      </w:r>
    </w:p>
    <w:p>
      <w:pPr>
        <w:spacing w:after="0" w:line="107"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Procedure for Borrowing</w:t>
      </w:r>
      <w:r>
        <w:rPr>
          <w:rFonts w:ascii="Arial" w:cs="Arial" w:eastAsia="Arial" w:hAnsi="Arial"/>
          <w:sz w:val="16"/>
          <w:szCs w:val="16"/>
          <w:color w:val="auto"/>
        </w:rPr>
        <w:t xml:space="preserve">. The Company may borrow Loans under the Commitments during the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give the Administrative Agent irrevocable notice (which notice must be received by the Administrative Agent prior to 1:00 P.M., New York City time, (a) three (3) Business Days prior to the requested Borrowing Date, if all or any part of the requested Loans are to be initially Eurodollar Loans or</w:t>
      </w:r>
    </w:p>
    <w:p>
      <w:pPr>
        <w:spacing w:after="0" w:line="1"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one (1) Business Day prior to the requested Borrowing Date, otherwise), specifying (i) the amount to be borrowed, (ii) the requested Borrowing Date,</w:t>
      </w:r>
    </w:p>
    <w:p>
      <w:pPr>
        <w:spacing w:after="0" w:line="32" w:lineRule="exact"/>
        <w:rPr>
          <w:rFonts w:ascii="Arial" w:cs="Arial" w:eastAsia="Arial" w:hAnsi="Arial"/>
          <w:sz w:val="16"/>
          <w:szCs w:val="16"/>
          <w:color w:val="auto"/>
        </w:rPr>
      </w:pPr>
    </w:p>
    <w:p>
      <w:pPr>
        <w:ind w:right="100" w:firstLine="8"/>
        <w:spacing w:after="0" w:line="290" w:lineRule="auto"/>
        <w:tabs>
          <w:tab w:leader="none" w:pos="307" w:val="left"/>
        </w:tabs>
        <w:numPr>
          <w:ilvl w:val="0"/>
          <w:numId w:val="76"/>
        </w:numPr>
        <w:rPr>
          <w:rFonts w:ascii="Arial" w:cs="Arial" w:eastAsia="Arial" w:hAnsi="Arial"/>
          <w:sz w:val="16"/>
          <w:szCs w:val="16"/>
          <w:color w:val="auto"/>
        </w:rPr>
      </w:pPr>
      <w:r>
        <w:rPr>
          <w:rFonts w:ascii="Arial" w:cs="Arial" w:eastAsia="Arial" w:hAnsi="Arial"/>
          <w:sz w:val="16"/>
          <w:szCs w:val="16"/>
          <w:color w:val="auto"/>
        </w:rPr>
        <w:t>whether the borrowing is to be of Eurodollar Loans, Fed Rate Loans or a combination thereof and (iv) if the borrowing is to be entirely or partly of Eurodollar Loans, the amount of such Type of Loan and the length of the initial Interest Periods therefor. Each borrowing of Loans pursuant to the Commitments shall be in an aggregate principal amount equal to the lesser of (i) $5,000,000 or a whole multiple thereof, and (ii) the Available Commitments. Upon receipt of any such notice, the Administrative Agent shall promptly notify each Bank thereof. Each Bank will make available to the Company at the office of the Administrative Agent specified in Section 12.2, prior to 12:00 noon (New York City time) on the requested Borrowing Date, or as soon as practicable thereafter, an amount in immediately available funds equal to the amount of the Loan to be made by such Bank.</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 xml:space="preserve">. (a) The Company may elect from time to time to convert Eurodollar Loans to Fed Rate Loans, by giving the Administrative Agent at least two (2) Business Days’ prior irrevocable notice of such election. The Company may elect from time to time to convert Fed Rate Loans to Eurodollar Loans by giving the Administrative Agent at least three (3) Business Days’ prior irrevocable notice of such election. Any such notice of conversion to Eurodollar Loans shall specify the length of the initial Interest Period or Interest Periods therefor. Upon receipt of any such notice the Administrative Agent shall promptly notify each Bank thereof. All or any part of outstanding Eurodollar Loans and Fed Rate Loans may be converted as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Loan may be converted into a Eurodollar Loan when any Event of Default has occurred and is continuing and the Administrative Agent has or the Banks have determined and notified the Company that such a conversion is not appropriate and (ii) no Loan may be converted into a Eurodollar Loan after the date that is one month prior to the Maturity Date.</w:t>
      </w:r>
    </w:p>
    <w:p>
      <w:pPr>
        <w:spacing w:after="0" w:line="37" w:lineRule="exact"/>
        <w:rPr>
          <w:sz w:val="20"/>
          <w:szCs w:val="20"/>
          <w:color w:val="auto"/>
        </w:rPr>
      </w:pPr>
    </w:p>
    <w:p>
      <w:pPr>
        <w:ind w:right="180" w:firstLine="464"/>
        <w:spacing w:after="0" w:line="291" w:lineRule="auto"/>
        <w:tabs>
          <w:tab w:leader="none" w:pos="705"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Any Eurodollar Loans may be continued as such upon the expiration of the then current Interest Period with respect thereto by the Company giving notice to the Administrative Agent, in accordance with the applicable provisions of the term “Interest Period” set forth in Section 1.1, of the length of the next Interest Period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Eurodollar Loan may be continued as such (i) when any Event of Default has occurred and is continuing and the Administrative Agent has or the Banks have determined and notified the Company that such a continuation is not appropriate or (ii) after the date that is one month prior to the Maturity Date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shall fail to give such notice or if such continuation is not permitted such Loans shall be automatically converted to Fed Rate Loans on the last day of such then expiring Interest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06" w:name="page107"/>
    <w:bookmarkEnd w:id="106"/>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2.8 </w:t>
      </w:r>
      <w:r>
        <w:rPr>
          <w:rFonts w:ascii="Arial" w:cs="Arial" w:eastAsia="Arial" w:hAnsi="Arial"/>
          <w:sz w:val="16"/>
          <w:szCs w:val="16"/>
          <w:u w:val="single" w:color="auto"/>
          <w:color w:val="auto"/>
        </w:rPr>
        <w:t>Termination or Reduction of Commitments</w:t>
      </w:r>
      <w:r>
        <w:rPr>
          <w:rFonts w:ascii="Arial" w:cs="Arial" w:eastAsia="Arial" w:hAnsi="Arial"/>
          <w:sz w:val="16"/>
          <w:szCs w:val="16"/>
          <w:color w:val="auto"/>
        </w:rPr>
        <w:t xml:space="preserve">. The Company shall have the right, upon not less than three (3) Business Days’ notice to the Banks, to terminate the Commitments or, from time to time, reduce the amount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proviso in Section 2.9(a), (a) any such reduction shall be accompanied by prepayment of the Loans to the extent, if any, that the amount of the Loans then outstanding exceeds the amount of the Commitments as then reduced, (b) any such termination of the Commitments shall be accompanied by prepayment in full of the Loans then outstanding, together with accrued interest thereon to the date of such prepayment, and the payment of any unpaid commitment fee then accrued hereunder and other amounts, if any, payable by the Company hereunder and (c) for any such prepayment, the Company shall reasonably promptly pay the costs arising therefrom pursuant to Section 2.12. Any such reduction shall be in an amount of $5,000,000, or greater integral multiple of $5,000,000, and shall reduce permanently the amount of the Commitments then in effect.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Optional Prepayments of Loans</w:t>
      </w:r>
      <w:r>
        <w:rPr>
          <w:rFonts w:ascii="Arial" w:cs="Arial" w:eastAsia="Arial" w:hAnsi="Arial"/>
          <w:sz w:val="16"/>
          <w:szCs w:val="16"/>
          <w:color w:val="auto"/>
        </w:rPr>
        <w:t xml:space="preserve">. (a) The Company may, at any time, on the last day of any Interest Period with respect thereto, in the case of Eurodollar Loans (or on any other day if the Company reasonably promptly pays the costs arising therefrom pursuant to Section 2.12), and from time to time, in the case of Fed Rate Loans, and upon three (3) Business Days’ irrevocable notice (such notice to be revocable only if such prepayment is conditioned upon a refinancing of the Loans or other events mutually agreed between the Company and the Administrative Agent), in the case of Eurodollar Loans, and upon one (1) Business Day’s notice, in case of Fed Rate Loans, to the Administrative Agent, prepay the Loans on the date specified in such notice, in whole or in part, with accrued interest to the date of such prepayment on the amount prepaid;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each partial prepayment of Loans shall be in a principal amount of $5,000,000 or a larger integral multiple of $1,000,000.</w:t>
      </w:r>
    </w:p>
    <w:p>
      <w:pPr>
        <w:spacing w:after="0" w:line="37" w:lineRule="exact"/>
        <w:rPr>
          <w:sz w:val="20"/>
          <w:szCs w:val="20"/>
          <w:color w:val="auto"/>
        </w:rPr>
      </w:pPr>
    </w:p>
    <w:p>
      <w:pPr>
        <w:ind w:right="160" w:firstLine="464"/>
        <w:spacing w:after="0" w:line="268"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receipt of a notice of prepayment of Loans pursuant to Section 2.9(a), the Administrative Agent shall promptly notify each Bank of the contents thereof and of such Bank’s ratable share of such prepayment.</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Pro Rata Treatment and Payments</w:t>
      </w:r>
      <w:r>
        <w:rPr>
          <w:rFonts w:ascii="Arial" w:cs="Arial" w:eastAsia="Arial" w:hAnsi="Arial"/>
          <w:sz w:val="16"/>
          <w:szCs w:val="16"/>
          <w:color w:val="auto"/>
        </w:rPr>
        <w:t>. (a) Each borrowing of Loans by the Company from the Banks and each payment (including each prepayment) by the Company on account of principal of and interest on the Loans shall be made pro rata according to the respective principal and interest owed to the Banks and any reduction of the Commitments of the Banks hereunder shall be made pro rata according to the respective Commitment Percentages of the Banks. All payments (including prepayments) to be made by the Company in respect of the Loans on account of principal, interest and fees shall be made without set-off or counterclaim and shall be made directly to the office of the Administrative Agent specified in Section 12.2, in lawful money of the United States of America and in immediately available funds. The Administrative Agent shall distribute such payments to the Banks entitled thereto promptly upon receipt in like funds as received by the Administrative Agent. If any payment hereunder becomes due and payable on a day other than a Business Day, the due date for such payment shall be extended to the next succeeding Business Day, and, with respect to payments of principal, interest thereon shall be payable at the then applicable rate during such extension.</w:t>
      </w:r>
    </w:p>
    <w:p>
      <w:pPr>
        <w:spacing w:after="0" w:line="39" w:lineRule="exact"/>
        <w:rPr>
          <w:sz w:val="20"/>
          <w:szCs w:val="20"/>
          <w:color w:val="auto"/>
        </w:rPr>
      </w:pPr>
    </w:p>
    <w:p>
      <w:pPr>
        <w:ind w:right="40" w:firstLine="464"/>
        <w:spacing w:after="0" w:line="255"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Each Bank shall apply the amount of each payment (including each prepayment) made by the Company on account of principal of the Loans to the payment of the then outstanding principal amounts of Loans, in such amounts and in such order as the Company shall direct by notice to the Administrative Agent (or, in the case of a prepayment pursuant to Section 2.9, as the Company shall direct in its notice of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shall fail to give any such notice, each Bank shall apply the amount received to the payment of the then outstanding Loans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respective outstanding principal amounts of such Loans.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Non-Receipt of Funds by the Administrative Agent</w:t>
      </w:r>
      <w:r>
        <w:rPr>
          <w:rFonts w:ascii="Arial" w:cs="Arial" w:eastAsia="Arial" w:hAnsi="Arial"/>
          <w:sz w:val="16"/>
          <w:szCs w:val="16"/>
          <w:color w:val="auto"/>
        </w:rPr>
        <w:t>. (a) Unless the Administrative Agent shall have been notified by the Company prior to the date on which any payment in respect of a Loan is due from it hereunder (which notice shall be effective upon receipt) that the Company does not intend to make such payment, the Administrative Agent may assume that the Company has made such payment when due and the Administrative Agent may in reliance upon such assumption (but shall not be required to) make available to each Bank on such payment date an amount equal to the portion of such assumed payment to which such Bank is entitled hereunder, and if the Company has not in fact made such payment to the Administrative Agent, such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07" w:name="page108"/>
    <w:bookmarkEnd w:id="107"/>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shall, on demand, repay to the Administrative Agent the amount made available to such Bank together with interest thereon in respect of each day during the period commencing on the date such amount was made available to such Bank and ending on (but excluding) the date such Bank repays such amount to the Administrative Agent, at a rate per annum equal to the Administrative Agent’s cost of obtaining overnight funds in the federal funds market in New York on each such day.</w:t>
      </w:r>
    </w:p>
    <w:p>
      <w:pPr>
        <w:spacing w:after="0" w:line="62" w:lineRule="exact"/>
        <w:rPr>
          <w:sz w:val="20"/>
          <w:szCs w:val="20"/>
          <w:color w:val="auto"/>
        </w:rPr>
      </w:pPr>
    </w:p>
    <w:p>
      <w:pPr>
        <w:ind w:right="280" w:firstLine="464"/>
        <w:spacing w:after="0" w:line="268"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 certificate of the Administrative Agent submitted to any Bank with respect to any amount owing under the foregoing paragraph (a) shall be </w:t>
      </w:r>
      <w:r>
        <w:rPr>
          <w:rFonts w:ascii="Arial" w:cs="Arial" w:eastAsia="Arial" w:hAnsi="Arial"/>
          <w:sz w:val="18"/>
          <w:szCs w:val="18"/>
          <w:u w:val="single" w:color="auto"/>
          <w:color w:val="auto"/>
        </w:rPr>
        <w:t>prima</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facie</w:t>
      </w:r>
      <w:r>
        <w:rPr>
          <w:rFonts w:ascii="Arial" w:cs="Arial" w:eastAsia="Arial" w:hAnsi="Arial"/>
          <w:sz w:val="18"/>
          <w:szCs w:val="18"/>
          <w:color w:val="auto"/>
        </w:rPr>
        <w:t xml:space="preserve"> evidence of the facts stated therein.</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agrees to indemnify each Bank and to hold each Bank harmless from any loss or expense which such Bank may sustain or incur as a consequence of (a) default by the Company in making a borrowing of, conversion into or continuation of Eurodollar Loans after the Company has given a notice requesting the same in accordance with the provisions of this Agreement, (b) default by the Company in making any prepayment of or conversion from a Eurodollar Loan after the Company has given a notice thereof in accordance with the provisions of Section 2.9 or (c) the making of a prepayment or conversion of Eurodollar Loans on a day which is not the last day of an Interest Period with respect thereto. Such indemnification may include an amount equal to the excess, if any, of (i) the amount of interest which would have accrued on the amount so prepaid, or not so borrowed, prepaid, converted or continued, for the period from the date of such prepayment or of such failure to borrow, prepay, convert or continue to the last day of such Interest Period (or, in the case of a failure to borrow, convert or continue, the Interest Period that would have commenced on the date of such failure) in each case at the applicable Eurodollar Rate (excluding the Applicable Margin) over (ii) the amount of interest (as reasonably determined by such Bank) which would have accrued to such Bank on such amount by redeploying such amount in respect of deposits in the eurodollar market for a comparable period. This covenant shall survive the termination of this Agreement and the payment of the Loans and all other amounts payable hereunder.</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Capital Adequacy</w:t>
      </w:r>
      <w:r>
        <w:rPr>
          <w:rFonts w:ascii="Arial" w:cs="Arial" w:eastAsia="Arial" w:hAnsi="Arial"/>
          <w:sz w:val="16"/>
          <w:szCs w:val="16"/>
          <w:color w:val="auto"/>
        </w:rPr>
        <w:t xml:space="preserve">. In the event that any of the Banks shall have determined that the adoption after the date hereof of any law, rule or regulation regarding capital adequacy, or any change after the date hereof therein or in the interpretation or application thereof or compliance by such Bank with any request or directive regarding capital adequacy (whether or not having the force of law) from any central bank or Governmental Authority including under Basel III or Dodd-Frank, does or shall have the effect of reducing the rate of return on such Bank’s capital as a consequence of its obligations hereunder to a level below that which such Bank could have achieved but for such adoption, change or compliance (taking into consideration such Bank’s policies with respect to capital adequacy) by an amount deemed by such Bank to be material, then after submission by such Bank to the Company of a written request therefor, the amount of interest payable by the Company to such Bank on each Interest Payment Date shall be increased by such amount (as determined in good faith by such Bank in accordance with its practice applicable in similar circumstances under comparable provisions of other financing agreements of similarly situated borrowers) as will compensate such Bank for the portion of such reduction allocable to the period in respect of which interest is so paid on such Interest Payment Date. A certificate as to any additional amounts payable pursuant to this Section 2.13, together with a statement by such Bank that such amounts have been calculated consistently with amounts calculated and claimed for in the case of other borrowers parties to revolving credit agreements with such Bank, submitted by such Bank, through the Administrative Agent, to the Company, shall be conclusive evidence, absent demonstrable error, of the facts stated therein. Notwithstanding the foregoing, the Company shall not be required to compensate a Bank for any increased costs or reductions incurred more than 270 days prior to the date that such Bank notifies the Company of the change in law giving rise to such increased costs or reductions and of such Bank’s intention to claim compensation under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24"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Inability to Determine Interest Rate</w:t>
      </w:r>
      <w:r>
        <w:rPr>
          <w:rFonts w:ascii="Arial" w:cs="Arial" w:eastAsia="Arial" w:hAnsi="Arial"/>
          <w:sz w:val="18"/>
          <w:szCs w:val="18"/>
          <w:color w:val="auto"/>
        </w:rPr>
        <w:t>. If prior to the first day of any Interest Period the Administrative Agent shall have determined (which determination shall be conclusive and binding upon the Company) that,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08" w:name="page109"/>
    <w:bookmarkEnd w:id="10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 of circumstances affecting the relevant market, adequate and reasonable means do not exist for ascertaining the Eurodollar Rate for such Interest Period the Administrative Agent shall give telecopy notice thereof to the Company and the Banks as soon as practicable thereafter. If such notice is given (a) any Eurodollar Loans requested to be made on the first day of such Interest Period shall be made as Fed Rate Loans, (b) any Loans that were to have been converted on the first day of such Interest Period to Eurodollar Loans shall be converted to or continued as Fed Rate Loans and (c) any outstanding Eurodollar Loans shall be converted, on the first day of such Interest Period, to Fed Rate Loans. Until such notice has been withdrawn by the Administrative Agent, no further Eurodollar Loans shall be made or continued as such, nor shall the Company have the right to convert Loans to Eurodollar Loans.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Notwithstanding any other provision herein, if the adoption of or any change in any Requirement of Law or in the interpretation or application thereof (including under Basel III or Dodd-Frank) shall make it unlawful for any Bank to make or maintain Eurodollar Loans as contemplated by this Agreement, then, such Bank shall give written notice thereof to the Company and to the Administrative Agent and (a) the commitment of such Bank hereunder to make Eurodollar Loans, continue Eurodollar Loans as such and convert Fed Rate Loans to Eurodollar Loans shall forthwith be suspended for the duration of such unlawfulness and (b) the Bank and the Company shall promptly enter into negotiations in good faith to agree to a solution to such illegality, limitation or impracticability;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such an agreement has not been reached by the respective last days of the then current Interest Periods with respect to such Loans or within such earlier period as required by law, such Bank’s Loans then outstanding as Eurodollar Loans, if any, shall be converted automatically to Fed Rate Loans. If any such conversion of a Eurodollar Loan occurs on a day which is not the last day of the then current Interest Period with respect thereto, the Company shall pay to such Bank such amounts, if any, as may be required pursuant to Section 2.12. Each Bank that has delivered a notice pursuant to this Section, if the circumstances giving rise to such notice cease to exist, shall notify the Company thereof as soon as practicable.</w:t>
      </w:r>
    </w:p>
    <w:p>
      <w:pPr>
        <w:spacing w:after="0" w:line="12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(a) If the adoption of or any change in any Requirement of Law or in the interpretation or application thereof or compliance by any Bank with any request or directive (whether or not having the force of law) from any central bank or other Governmental Authority made subsequent to the date hereof:</w:t>
      </w:r>
    </w:p>
    <w:p>
      <w:pPr>
        <w:spacing w:after="0" w:line="59" w:lineRule="exact"/>
        <w:rPr>
          <w:sz w:val="20"/>
          <w:szCs w:val="20"/>
          <w:color w:val="auto"/>
        </w:rPr>
      </w:pPr>
    </w:p>
    <w:p>
      <w:pPr>
        <w:ind w:right="40" w:firstLine="464"/>
        <w:spacing w:after="0" w:line="256" w:lineRule="auto"/>
        <w:tabs>
          <w:tab w:leader="none" w:pos="6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shall subject any Bank to any tax on its loans, loan principal, letters of credit, commitments, or other obligations, or its deposits, reserves, other liabilities or capital attributable thereto (except for Non-Excluded Taxes covered by Section 2.17, changes in the rate of tax on the overall net income of such Bank, any branch profits imposed by the United States of America or any similar tax imposed by any other jurisdiction and any United States federal withholding taxes imposed under FATCA);</w:t>
      </w:r>
    </w:p>
    <w:p>
      <w:pPr>
        <w:spacing w:after="0" w:line="62" w:lineRule="exact"/>
        <w:rPr>
          <w:rFonts w:ascii="Arial" w:cs="Arial" w:eastAsia="Arial" w:hAnsi="Arial"/>
          <w:sz w:val="18"/>
          <w:szCs w:val="18"/>
          <w:color w:val="auto"/>
        </w:rPr>
      </w:pPr>
    </w:p>
    <w:p>
      <w:pPr>
        <w:ind w:right="240" w:firstLine="464"/>
        <w:spacing w:after="0" w:line="259" w:lineRule="auto"/>
        <w:tabs>
          <w:tab w:leader="none" w:pos="7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Bank which is not otherwise included in the determination of the Eurodollar Rate hereunder; or</w:t>
      </w:r>
    </w:p>
    <w:p>
      <w:pPr>
        <w:spacing w:after="0" w:line="59" w:lineRule="exact"/>
        <w:rPr>
          <w:rFonts w:ascii="Arial" w:cs="Arial" w:eastAsia="Arial" w:hAnsi="Arial"/>
          <w:sz w:val="18"/>
          <w:szCs w:val="18"/>
          <w:color w:val="auto"/>
        </w:rPr>
      </w:pPr>
    </w:p>
    <w:p>
      <w:pPr>
        <w:ind w:left="780" w:hanging="31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shall impose on such Bank any other condition;</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and the result of any of the foregoing is to increase the cost to such Bank, by an amount which such Bank deems to be material, of making, converting into, continuing or maintaining Eurodollar Loans or to reduce any amount receivable hereunder in respect thereof, then, in any such case, the amount of interest payable by the Company to such Bank on the Interest Payment Date in respect of each Interest Period shall be increased by such amount (as determined in good faith by such Bank in accordance with its practice applicable in similar circumstances under comparable provisions of other financing agreements of similarly situated borrowers) as will compensate such Bank for such increased cost or reduced amount receivable allocable to such Interest Period. Any Bank claiming additional amounts pursuant to this Section 2.16 shall use its reasonable efforts (consistent with internal policy and applicable legal and regulatory restrictions) to take such action, as requested by the Company in writing, if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09" w:name="page110"/>
    <w:bookmarkEnd w:id="109"/>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taking of such action would avoid the need for or reduce the amount of any such additional amounts and would not, in the judgment of such Bank, be adverse to the affected Loans or to such Bank.</w:t>
      </w:r>
    </w:p>
    <w:p>
      <w:pPr>
        <w:spacing w:after="0" w:line="132"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If any Bank becomes entitled to claim any additional amounts pursuant to this Section, it shall promptly notify the Company (with a copy to the Administrative Agent) of the event by reason of which it has become so entitled. A certificate as to any additional amounts payable pursuant to this Section submitted by such Bank to the Company (with a copy to the Administrative Agent) shall be conclusive in the absence of demonstrable error. The agreements in this Section shall survive the termination of this Agreement and the payment of the Loans and all other amounts payable hereunder.</w:t>
      </w:r>
    </w:p>
    <w:p>
      <w:pPr>
        <w:spacing w:after="0" w:line="32" w:lineRule="exact"/>
        <w:rPr>
          <w:sz w:val="20"/>
          <w:szCs w:val="20"/>
          <w:color w:val="auto"/>
        </w:rPr>
      </w:pPr>
    </w:p>
    <w:p>
      <w:pPr>
        <w:ind w:right="80" w:firstLine="464"/>
        <w:spacing w:after="0" w:line="306" w:lineRule="auto"/>
        <w:tabs>
          <w:tab w:leader="none" w:pos="705"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Bank shall be entitled to any compensation under this Section 2.16 for any costs incurred or reduction suffered with respect to any date unless such Bank shall have notified the Company that it will demand compensation for such costs or reductions under paragraph (a) above not more than 60 days after the later of (i) such date and (ii) the date on which such Bank shall have become aware of such costs or reductions.</w:t>
      </w:r>
    </w:p>
    <w:p>
      <w:pPr>
        <w:spacing w:after="0" w:line="25" w:lineRule="exact"/>
        <w:rPr>
          <w:rFonts w:ascii="Arial" w:cs="Arial" w:eastAsia="Arial" w:hAnsi="Arial"/>
          <w:sz w:val="16"/>
          <w:szCs w:val="16"/>
          <w:color w:val="auto"/>
        </w:rPr>
      </w:pPr>
    </w:p>
    <w:p>
      <w:pPr>
        <w:ind w:right="420" w:firstLine="464"/>
        <w:spacing w:after="0" w:line="255"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Dodd-Frank and all requests, rules, guidelines, requirements and directives thereunder or issued in connection therewith or in implementation thereof, shall in each case be deemed to be a change in law under this Agreement, regardless of the date enacted, adopted, issued or implemented.</w:t>
      </w:r>
    </w:p>
    <w:p>
      <w:pPr>
        <w:spacing w:after="0" w:line="14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or on account of the Company under this Agreement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(including any interest, additions to tax or penalties applicable thereto), excluding (i) net income taxes and franchise taxes (imposed in lieu of net income taxes) imposed on the Administrative Agent or any Bank by (A) the jurisdiction under the laws of which such entity is organized or in which its principal office or applicable lending office is located or (B) any jurisdiction as a result of a present or former connection between the Administrative Agent or such Bank and the jurisdiction of the Governmental Authority imposing such tax or any political subdivision or taxing authority thereof or therein (other than any such connection arising solely from the Administrative Agent or such Bank having executed, delivered or performed its obligations or received a payment under, or enforced, this Agreement), (ii) any branch profits taxes imposed by the United States of America or any similar tax imposed by any other jurisdiction described in clause (i) above and (iii) any United States federal withholding taxes imposed under FATCA; provided, that if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xml:space="preserve">”) or Other Taxes are required to be withheld from any amounts payable by or on account of the Company to the Administrative Agent or any Bank as determined in good faith by the applicable withholding agent, (x) such amounts shall be paid to the relevant Governmental Authority by the applicable withholding agent in accordance with applicable law, and (y) the amounts so payable by the Company to the Administrative Agent or such Bank shall be increased to the extent necessary to yield to the Administrative Agent or such Bank (after payment of all Non-Excluded Taxes and Other Taxes) interest or any such other amounts payable hereunder at the rates or in the amounts specified in this Agreement as if such withholding or deduction had not been made,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increase any such amounts payable to the Administrative Agent or any Bank with respect to any Non-Excluded Taxes</w:t>
      </w:r>
    </w:p>
    <w:p>
      <w:pPr>
        <w:spacing w:after="0" w:line="5" w:lineRule="exact"/>
        <w:rPr>
          <w:sz w:val="20"/>
          <w:szCs w:val="20"/>
          <w:color w:val="auto"/>
        </w:rPr>
      </w:pPr>
    </w:p>
    <w:p>
      <w:pPr>
        <w:ind w:right="40" w:firstLine="8"/>
        <w:spacing w:after="0" w:line="254" w:lineRule="auto"/>
        <w:tabs>
          <w:tab w:leader="none" w:pos="24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are attributable to such Bank’s failure to comply with the requirements of paragraph (d) of this Section, or (2) that are United States federal withholding taxes imposed on amounts payable by the Company to such Bank at the time such Bank becomes a party to this Agreement, except to the extent that such Bank’s assignor (if any) was entitled, at the time of assignment, to receive additional amounts from the Company with respect to such Non-Excluded Taxes pursuant to this paragraph.</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addition, the Company shall pay any Other Taxes to the relevant Governmental Authority in accordance with applicable law.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110" w:name="page111"/>
    <w:bookmarkEnd w:id="110"/>
    <w:p>
      <w:pPr>
        <w:ind w:left="-8" w:firstLine="464"/>
        <w:spacing w:after="0" w:line="283" w:lineRule="auto"/>
        <w:tabs>
          <w:tab w:leader="none" w:pos="687" w:val="left"/>
        </w:tabs>
        <w:numPr>
          <w:ilvl w:val="1"/>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any Non-Excluded Taxes or Other Taxes are payable by the Company (or the Administrative Agent on account of such Banks), as promptly as possible after the payment of such Non-Excluded or Other Taxes, the Company shall send to the Administrative Agent for its own account or for the account of the relevant Bank, as the case may be, proof of payment thereof. If (i) the Company fails to pay any Non-Excluded Taxes or Other Taxes when due to the appropriate taxing authority or (ii) any Non-Excluded Taxes (other than taxes described in clauses (1) and (2) of the final proviso of Section 2.17(a)) or Other Taxes are imposed directly upon the Administrative Agent or any Bank, the Company shall indemnify the Administrative Agent and the Banks for such amounts and any incremental taxes, interest or penalties that may become payable by the Administrative Agent or any Bank as a result of any such failure, in the case of</w:t>
      </w:r>
    </w:p>
    <w:p>
      <w:pPr>
        <w:spacing w:after="0" w:line="1" w:lineRule="exact"/>
        <w:rPr>
          <w:rFonts w:ascii="Arial" w:cs="Arial" w:eastAsia="Arial" w:hAnsi="Arial"/>
          <w:sz w:val="16"/>
          <w:szCs w:val="16"/>
          <w:color w:val="auto"/>
        </w:rPr>
      </w:pPr>
    </w:p>
    <w:p>
      <w:pPr>
        <w:ind w:left="212" w:hanging="212"/>
        <w:spacing w:after="0"/>
        <w:tabs>
          <w:tab w:leader="none" w:pos="2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or any such direct imposition, in the case of (ii).</w:t>
      </w:r>
    </w:p>
    <w:p>
      <w:pPr>
        <w:spacing w:after="0" w:line="83" w:lineRule="exact"/>
        <w:rPr>
          <w:rFonts w:ascii="Arial" w:cs="Arial" w:eastAsia="Arial" w:hAnsi="Arial"/>
          <w:sz w:val="18"/>
          <w:szCs w:val="18"/>
          <w:color w:val="auto"/>
        </w:rPr>
      </w:pPr>
    </w:p>
    <w:p>
      <w:pPr>
        <w:ind w:left="-8" w:firstLine="464"/>
        <w:spacing w:after="0" w:line="284" w:lineRule="auto"/>
        <w:tabs>
          <w:tab w:leader="none" w:pos="697" w:val="left"/>
        </w:tabs>
        <w:numPr>
          <w:ilvl w:val="1"/>
          <w:numId w:val="85"/>
        </w:numPr>
        <w:rPr>
          <w:rFonts w:ascii="Arial" w:cs="Arial" w:eastAsia="Arial" w:hAnsi="Arial"/>
          <w:sz w:val="16"/>
          <w:szCs w:val="16"/>
          <w:color w:val="auto"/>
        </w:rPr>
      </w:pPr>
      <w:r>
        <w:rPr>
          <w:rFonts w:ascii="Arial" w:cs="Arial" w:eastAsia="Arial" w:hAnsi="Arial"/>
          <w:sz w:val="16"/>
          <w:szCs w:val="16"/>
          <w:color w:val="auto"/>
        </w:rPr>
        <w:t>Any Bank that is entitled to an exemption from or reduction of any applicable withholding tax with respect to payments hereunder shall, to the extent it is legally entitled to do so, deliver to the Company (with a copy to the Administrative Agent), at the time or times reasonably requested by the Company or Administrative Agent, such properly completed and executed documentation prescribed by applicable law or as reasonable requested by the Company or the Administrative Agent as will permit such payments to be made without withholding or at a reduced rate of withholding. Without limiting the generality of the foregoing, each Bank (or Assignee) that is not a “United States person” as defined in Section 7701(a)(30) of the Code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Company and the Administrative Agent (or, in the case of a Participant, to the Bank from which the related participation shall have been purchased) two copies of U.S.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Form W-8BEN, Form W-8ECI, of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E and a Form W-8BEN, or any subsequent versions thereof or successors thereto, properly completed and duly executed by such Non-U.S. Lender claiming complete exemption from, or a reduced rate of, U.S. federal withholding tax on all payments by the Company under this Agreement. Such forms shall be delivered by each Non-U.S. Lender on or before the date it becomes a party to this Agreement (or, in the case of any Participant, on or before the date such Participant purchases the related participation) and from time to time thereafter upon the reasonable request of the Company or the Administrative Agent. In addition, each Non-U.S. Lender shall deliver such forms promptly upon the obsolescence or invalidity of any form previously delivered by such Non-U.S. Lender. Each Non-U.S. Lender shall promptly notify the Company and the Administrative Agent at any time it determines that it is no longer in a position to provide any previously delivered certificate to the Company (or any other form of certification adopted by the U.S. taxing authorities for such purpose). If a payment made to a Bank would be subject to U.S. federal withholding imposed by FATCA if such Lender were to fail to comply with the applicable reporting requirements of FATCA (including those contained in Section 1471(b) or 1472(b) of the Code, as applicable), such Bank shall deliver to the Company and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Bank has complied with such Bank’s obligations under FATCA or to determine the amount to deduct and withhold from such payment. Solely for purposes of the preceding sentence, “FATCA” shall include any amendments made to FATCA after the date of this Agreement. Notwithstanding any other provision of this paragraph, a Non-U.S. Lender shall not be required to deliver any form pursuant to this paragraph that such Non-U.S. Lender is not legally able to deliver.</w:t>
      </w:r>
    </w:p>
    <w:p>
      <w:pPr>
        <w:spacing w:after="0" w:line="43" w:lineRule="exact"/>
        <w:rPr>
          <w:rFonts w:ascii="Arial" w:cs="Arial" w:eastAsia="Arial" w:hAnsi="Arial"/>
          <w:sz w:val="16"/>
          <w:szCs w:val="16"/>
          <w:color w:val="auto"/>
        </w:rPr>
      </w:pPr>
    </w:p>
    <w:p>
      <w:pPr>
        <w:ind w:left="-8" w:right="40" w:firstLine="464"/>
        <w:spacing w:after="0" w:line="298" w:lineRule="auto"/>
        <w:tabs>
          <w:tab w:leader="none" w:pos="687" w:val="left"/>
        </w:tabs>
        <w:numPr>
          <w:ilvl w:val="1"/>
          <w:numId w:val="85"/>
        </w:numPr>
        <w:rPr>
          <w:rFonts w:ascii="Arial" w:cs="Arial" w:eastAsia="Arial" w:hAnsi="Arial"/>
          <w:sz w:val="16"/>
          <w:szCs w:val="16"/>
          <w:color w:val="auto"/>
        </w:rPr>
      </w:pPr>
      <w:r>
        <w:rPr>
          <w:rFonts w:ascii="Arial" w:cs="Arial" w:eastAsia="Arial" w:hAnsi="Arial"/>
          <w:sz w:val="16"/>
          <w:szCs w:val="16"/>
          <w:color w:val="auto"/>
        </w:rPr>
        <w:t>Each Bank shall indemnify the Administrative Agent for the full amount of any taxes, levies, imposts, duties, charges, fees, deductions, withholdings or similar charges imposed by any Governmental Authority that are attributable to such Bank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Bank by the Administrative Agent shall be conclusive absent manifest error.</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92"/>
          </w:cols>
          <w:pgMar w:left="248" w:top="280" w:right="259" w:bottom="1440" w:gutter="0" w:footer="0" w:header="0"/>
        </w:sectPr>
      </w:pPr>
    </w:p>
    <w:bookmarkStart w:id="111" w:name="page112"/>
    <w:bookmarkEnd w:id="111"/>
    <w:p>
      <w:pPr>
        <w:ind w:right="80" w:firstLine="464"/>
        <w:spacing w:after="0" w:line="288" w:lineRule="auto"/>
        <w:tabs>
          <w:tab w:leader="none" w:pos="676" w:val="left"/>
        </w:tabs>
        <w:numPr>
          <w:ilvl w:val="0"/>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Administrative Agent or any Bank determines, in its sole discretion, that it has received a refund of any Non-Excluded Taxes or Other Taxes as to which it has been indemnified by the Company or with respect to which the Company has paid additional amounts pursuant to this Section 2.17, it shall pay over such refund to the Company (but only to the extent of indemnity payments made, and/or additional amounts paid, by the Company under this Section 2.17 with respect to the Non-Excluded Taxes or Other Taxes giving rise to such refund), net of all reasonable out-of-pocket expenses of the Administrative Agent or such Bank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upon the written request of the Administrative Agent or such Bank, agrees to repay the amount paid over to the Company (plus any penalties, interest or other charges imposed by the relevant Governmental Authority) to the Administrative Agent or such Bank in the event the Administrative Agent or such Bank is required to repay such refund to such Governmental Authority. This paragraph shall not be construed to require the Administrative Agent or any Bank to make available its tax returns (or any other information relating to its taxes which it deems confidential) to the Company or any other Person.</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agreements in this Section shall survive the termination of this Agreement and the payment of the Loans and all other amounts payable hereunder.</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Commitment Reductions and Mandatory Prepayments</w:t>
      </w:r>
      <w:r>
        <w:rPr>
          <w:rFonts w:ascii="Arial" w:cs="Arial" w:eastAsia="Arial" w:hAnsi="Arial"/>
          <w:sz w:val="16"/>
          <w:szCs w:val="16"/>
          <w:color w:val="auto"/>
        </w:rPr>
        <w:t>. If on any date the Company or any of its Subsidiaries shall receive Net Proceeds from a Designated Asset Sale and if, after such Designated Asset Sale, the Company or any of its Subsidiaries owns less than 65% of the Capital Stock of the Designated Subsidiary subject to such Designated Asset Sale, the Commitments shall be permanently reduced by an amount equal to 100% of the value of such Net Proceeds (the “</w:t>
      </w:r>
      <w:r>
        <w:rPr>
          <w:rFonts w:ascii="Arial" w:cs="Arial" w:eastAsia="Arial" w:hAnsi="Arial"/>
          <w:sz w:val="16"/>
          <w:szCs w:val="16"/>
          <w:u w:val="single" w:color="auto"/>
          <w:color w:val="auto"/>
        </w:rPr>
        <w:t>Disposition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immediately prior to giving effect to such Designated Asset Sale, the Company and its Subsidiaries own in excess of 65% of the Capital Stock of the Designated Subsidiary that is subject to such Designated Asset Sale, the “Disposition Amount” shall be limited to the portion of the Net Proceeds attributable to the percentage of the Capital Stock of such Designated Subsidiary sold, transferred, otherwise disposed of or issued, that is equal to the difference between 65% and the percentage of the Capital Stock of such Designated Subsidiary owned by the Company and its Subsidiaries after giving effect to such Designated Asset Sale. Any such reduction shall be accompanied by (x) a prepayment of the Loans to the extent, if any, that the amount of the Commitments then reduced and (y) payment of the costs arising therefrom pursuant to Section 2.12.</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Defaulting Lender</w:t>
      </w:r>
      <w:r>
        <w:rPr>
          <w:rFonts w:ascii="Arial" w:cs="Arial" w:eastAsia="Arial" w:hAnsi="Arial"/>
          <w:sz w:val="18"/>
          <w:szCs w:val="18"/>
          <w:color w:val="auto"/>
        </w:rPr>
        <w:t>. Notwithstanding any provision of this Agreement to the contrary, if any Bank becomes a Defaulting Lender, then the following provisions shall apply for so long as such Bank is a Defaulting Lender:</w:t>
      </w:r>
    </w:p>
    <w:p>
      <w:pPr>
        <w:spacing w:after="0" w:line="51" w:lineRule="exact"/>
        <w:rPr>
          <w:sz w:val="20"/>
          <w:szCs w:val="20"/>
          <w:color w:val="auto"/>
        </w:rPr>
      </w:pPr>
    </w:p>
    <w:p>
      <w:pPr>
        <w:ind w:left="700" w:hanging="236"/>
        <w:spacing w:after="0"/>
        <w:tabs>
          <w:tab w:leader="none" w:pos="7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fees shall cease to accrue on the unfunded portion of the Commitment of such Defaulting Lender pursuant to Section 2.4;</w:t>
      </w:r>
    </w:p>
    <w:p>
      <w:pPr>
        <w:spacing w:after="0" w:line="90" w:lineRule="exact"/>
        <w:rPr>
          <w:rFonts w:ascii="Arial" w:cs="Arial" w:eastAsia="Arial" w:hAnsi="Arial"/>
          <w:sz w:val="18"/>
          <w:szCs w:val="18"/>
          <w:color w:val="auto"/>
        </w:rPr>
      </w:pPr>
    </w:p>
    <w:p>
      <w:pPr>
        <w:ind w:firstLine="464"/>
        <w:spacing w:after="0" w:line="291" w:lineRule="auto"/>
        <w:tabs>
          <w:tab w:leader="none" w:pos="705"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the Commitment and Loans of such Defaulting Lender shall not be included in determining whether all Banks, each affected Bank, or the Required Lenders have taken or may take any action hereunder (including any consent to any amendment or waiver pursuant to Section 12.1),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waiver, amendment or modification that would increase or extend the term of the Commitment of such Defaulting Lender, extend the date for the payment of principal or interest owing to such Defaulting Lender hereunder, reduce the principal amount of any obligation owing to such Defaulting Lender hereunder, reduce the amount of or the rate or amount of interest on any amount owing to such Defaulting Lender or of any fee payable to such Defaulting Lender hereunder, or alter the terms of this proviso, will require the consent of such Defaulting Lender; and</w:t>
      </w:r>
    </w:p>
    <w:p>
      <w:pPr>
        <w:spacing w:after="0" w:line="39" w:lineRule="exact"/>
        <w:rPr>
          <w:rFonts w:ascii="Arial" w:cs="Arial" w:eastAsia="Arial" w:hAnsi="Arial"/>
          <w:sz w:val="16"/>
          <w:szCs w:val="16"/>
          <w:color w:val="auto"/>
        </w:rPr>
      </w:pPr>
    </w:p>
    <w:p>
      <w:pPr>
        <w:ind w:right="100" w:firstLine="464"/>
        <w:spacing w:after="0" w:line="284" w:lineRule="auto"/>
        <w:tabs>
          <w:tab w:leader="none" w:pos="695" w:val="left"/>
        </w:tabs>
        <w:numPr>
          <w:ilvl w:val="1"/>
          <w:numId w:val="87"/>
        </w:numPr>
        <w:rPr>
          <w:rFonts w:ascii="Arial" w:cs="Arial" w:eastAsia="Arial" w:hAnsi="Arial"/>
          <w:sz w:val="16"/>
          <w:szCs w:val="16"/>
          <w:color w:val="auto"/>
        </w:rPr>
      </w:pPr>
      <w:r>
        <w:rPr>
          <w:rFonts w:ascii="Arial" w:cs="Arial" w:eastAsia="Arial" w:hAnsi="Arial"/>
          <w:sz w:val="16"/>
          <w:szCs w:val="16"/>
          <w:color w:val="auto"/>
        </w:rPr>
        <w:t>any amount payable to such Defaulting Lender hereunder (whether on account of principal, interest, fees or otherwise and including any amount that would otherwise be payable to such Defaulting Lender) shall, in lieu of being distributed to such Defaulting Lender, be retained by the Administrative Agent in a segregated account and, subject to any applicable requirements of law, be applied at such time or times as may be determined by the Administrative Agent</w:t>
      </w:r>
    </w:p>
    <w:p>
      <w:pPr>
        <w:spacing w:after="0" w:line="1" w:lineRule="exact"/>
        <w:rPr>
          <w:rFonts w:ascii="Arial" w:cs="Arial" w:eastAsia="Arial" w:hAnsi="Arial"/>
          <w:sz w:val="16"/>
          <w:szCs w:val="16"/>
          <w:color w:val="auto"/>
        </w:rPr>
      </w:pPr>
    </w:p>
    <w:p>
      <w:pPr>
        <w:ind w:right="540" w:firstLine="8"/>
        <w:spacing w:after="0" w:line="323" w:lineRule="auto"/>
        <w:tabs>
          <w:tab w:leader="none" w:pos="21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(ii) </w:t>
      </w:r>
      <w:r>
        <w:rPr>
          <w:rFonts w:ascii="Arial" w:cs="Arial" w:eastAsia="Arial" w:hAnsi="Arial"/>
          <w:sz w:val="16"/>
          <w:szCs w:val="16"/>
          <w:u w:val="single" w:color="auto"/>
          <w:color w:val="auto"/>
        </w:rPr>
        <w:t>second</w:t>
      </w:r>
      <w:r>
        <w:rPr>
          <w:rFonts w:ascii="Arial" w:cs="Arial" w:eastAsia="Arial" w:hAnsi="Arial"/>
          <w:sz w:val="16"/>
          <w:szCs w:val="16"/>
          <w:color w:val="auto"/>
        </w:rPr>
        <w:t>, to the funding of any Loan in respect of which such Defaulting Lender has failed to fund its portion thereof as required by this Agreement, as determined by the Administrative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12" w:name="page113"/>
    <w:bookmarkEnd w:id="112"/>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(iii)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Company, held in such account as cash collateral for future funding obligations of the Defaulting Lender in respect of any Loans under this Agreement, (iv)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Banks as a result of any judgment of a court of competent jurisdiction obtained by any Bank against such Defaulting Lender as a result of such Defaulting Lender’s breach of its obligations under this Agreement, and (v) </w:t>
      </w:r>
      <w:r>
        <w:rPr>
          <w:rFonts w:ascii="Arial" w:cs="Arial" w:eastAsia="Arial" w:hAnsi="Arial"/>
          <w:sz w:val="16"/>
          <w:szCs w:val="16"/>
          <w:u w:val="single" w:color="auto"/>
          <w:color w:val="auto"/>
        </w:rPr>
        <w:t>fifth</w:t>
      </w:r>
      <w:r>
        <w:rPr>
          <w:rFonts w:ascii="Arial" w:cs="Arial" w:eastAsia="Arial" w:hAnsi="Arial"/>
          <w:sz w:val="16"/>
          <w:szCs w:val="16"/>
          <w:color w:val="auto"/>
        </w:rPr>
        <w:t>, to the payment of any amounts owing to the Company as a result of any judgment of a court of competent jurisdiction obtained by the Company against such Defaulting Lender as a result of such Defaulting Lender’s breach of its obligations under this Agreement.</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Notwithstanding Section 2.20, the Company may, upon not less than three (3) Business Day’s notice to a Defaulting Lender and the Administrative Agent (which the Administrative Agent will promptly provide to the other Banks), terminate or reduce the unused Commitment of such Defaulting Lender (without being required to terminate or reduce the Commitments of other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terminate or reduce such Commitment if after giving effect to such termination or reduction, the aggregate principal amount of outstanding Loans would exceed the total Commitments. At any time after termination or reduction of a Defaulting Lender’s unused Commitment, (i) the Company may identify one or more banks or financial institutions willing to become a party to this Agreement as a Bank and (ii) the Company may enter into an agreement with each such bank or financial institution pursuant to which it shall become a Bank with a Commitment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Administrative Agent approves the bank or financial institution that is to become a Bank under this Agreement, (b) the agreement pursuant to which such bank or financial institution becomes a party to this Agreement shall be reasonably satisfactory to the Administrative Agent, (c) such Defaulting Lender shall have received payment of an amount equal to the outstanding principal of its Loans, accrued interest thereon, accrued fees and all other amounts payable to it hereunder from the banks or financial institutions that become Banks hereunder (to the extent of such outstanding principal and accrued interest and fees) or the Company (in the case of all other amounts) and (d) the aggregate amount of the new Commitments of banks or financial institutions that become Banks hereunder pursuant to this sentence does not exceed the amount of the terminated or reduced Commitment of the Defaulting Lender.</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the event that the Administrative Agent and the Company each agrees that a Defaulting Lender has adequately remedied all matters that caused such Bank to be a Defaulting Lender, then outstanding Loans of the Banks shall be readjusted to reflect the inclusion of such Bank’s Commitment and on such date such Bank shall purchase at par such of the Loans of the other Banks as the Administrative shall determine may be necessary in order for such Bank to hold such Loans in accordance with the percentage of the total Commitments (disregarding any Defaulting Lender’s Commitment) represented by such Bank’s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Company while such Bank was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a Bank’s ceasing to be a Defaulting Lender will not constitute a waiver or release of any claim of any party hereunder arising from such Bank’s having been a Defaulting Lender.</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 xml:space="preserve">2.20 </w:t>
      </w:r>
      <w:r>
        <w:rPr>
          <w:rFonts w:ascii="Arial" w:cs="Arial" w:eastAsia="Arial" w:hAnsi="Arial"/>
          <w:sz w:val="15"/>
          <w:szCs w:val="15"/>
          <w:u w:val="single" w:color="auto"/>
          <w:color w:val="auto"/>
        </w:rPr>
        <w:t>Mitigation Obligations; Replacement of Lenders</w:t>
      </w:r>
      <w:r>
        <w:rPr>
          <w:rFonts w:ascii="Arial" w:cs="Arial" w:eastAsia="Arial" w:hAnsi="Arial"/>
          <w:sz w:val="15"/>
          <w:szCs w:val="15"/>
          <w:color w:val="auto"/>
        </w:rPr>
        <w:t>. (a) If any Bank requests compensation under Section 2.16, or requires the Company to pay any additional amount to any Bank or any Governmental Authority for the account of any Bank pursuant to Section 2.17, then such Bank shall use reasonable efforts to designate a different lending office for funding or booking its Loans hereunder or to assign its rights and obligations hereunder to another of its offices, branches or affiliates, if, in the judgment of such Bank, such designation or assignment (i) would eliminate or reduce amounts payable pursuant to Section 2.16 or 2.17, as the case may be, in the future and (ii) would not subject such Bank to any unreimbursed cost or expense and would not otherwise be disadvantageous to such Bank. The Company hereby agrees to pay all reasonable costs and expenses incurred by any Bank in connection with any such designation or assignment.</w:t>
      </w:r>
    </w:p>
    <w:p>
      <w:pPr>
        <w:spacing w:after="0" w:line="24" w:lineRule="exact"/>
        <w:rPr>
          <w:sz w:val="20"/>
          <w:szCs w:val="20"/>
          <w:color w:val="auto"/>
        </w:rPr>
      </w:pPr>
    </w:p>
    <w:p>
      <w:pPr>
        <w:ind w:right="40" w:firstLine="464"/>
        <w:spacing w:after="0" w:line="306"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any Bank requests compensation under Section 2.16, or if the Company is required to pay any additional amount to any Bank or any Governmental Authority for the account of any Bank pursuant to Section 2.17, or if any Bank is a Defaulting Lender, then the Company may, at its sole expense and effort, upon notice to such Bank and the Administrative Agent, require such Bank to assign and delegate, without recourse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13" w:name="page114"/>
    <w:bookmarkEnd w:id="113"/>
    <w:p>
      <w:pPr>
        <w:ind w:right="1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accordance with and subject to the restrictions contained in, and consents required by, Section 12.7), all of its interests, rights and obligations under this Agreement to an assignee that shall assume such obligations (which assignee may be another Bank, if a Bank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have received the prior written consent of the Administrative Agent, which consent shall not unreasonably be withheld, (ii) such Bank shall have received payment of an amount equal to the outstanding principal of its Loans, accrued interest thereon, accrued fees and all other amounts payable to it hereunder from the assignee (to the extent of such outstanding principal and accrued interest and fees) or the Company (in the case of all other amounts) and</w:t>
      </w:r>
    </w:p>
    <w:p>
      <w:pPr>
        <w:spacing w:after="0" w:line="2" w:lineRule="exact"/>
        <w:rPr>
          <w:sz w:val="20"/>
          <w:szCs w:val="20"/>
          <w:color w:val="auto"/>
        </w:rPr>
      </w:pPr>
    </w:p>
    <w:p>
      <w:pPr>
        <w:ind w:right="80" w:firstLine="8"/>
        <w:spacing w:after="0" w:line="252" w:lineRule="auto"/>
        <w:tabs>
          <w:tab w:leader="none" w:pos="30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claim for compensation under Section 2.16 or payments required to be made pursuant to Section 2.17, such assignment will result in a reduction in such compensation or payments. A Bank shall not be required to make any such assignment or delegation if, prior thereto, as a result of a waiver by such Bank or otherwise, the circumstances entitling the Company to require such assignment and delegation cease to apply. In case such Bank is a Defaulting Lender, each party hereto agrees that an assignment required pursuant to this paragraph may be effected pursuant to an Assignment and Assumption executed by the Company, the Administrative Agent and the assignee and that the Bank required to make such assignment need not be a party thereto.</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 RESERVED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 REPRESENTATIONS AND WARRANTIES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induce the Banks to enter into this Agreement and to make the Loans herein provided for, the Company hereby represents and warrants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Banks and the Administrative Agent that: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Financial Condition</w:t>
      </w:r>
      <w:r>
        <w:rPr>
          <w:rFonts w:ascii="Arial" w:cs="Arial" w:eastAsia="Arial" w:hAnsi="Arial"/>
          <w:sz w:val="16"/>
          <w:szCs w:val="16"/>
          <w:color w:val="auto"/>
        </w:rPr>
        <w:t>. The audited consolidated balance sheets of the Company and its consolidated Subsidiaries as at December 31, 2009, December 31, 2010 and December 31, 2011, and the related consolidated statements of income and of cash flows for the fiscal years ended on such dates, reported on by and accompanied by an unqualified report from Deloitte &amp; Touche LLP, present fairly the consolidated financial condition of the Company and its Subsidiaries as at such date, and the consolidated results of its operations and its consolidated cash flows for the respective fiscal years then ended. All such financial statements, including the related schedules and notes thereto, have been prepared in accordance with GAAP applied consistently throughout the periods involved (except as approved by the aforementioned firm of accountants and disclosed therein).</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December 31, 2011, there has been no event or development that would reasonably be expected to have a Material Adverse Effect.</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Existence; Compliance with Law</w:t>
      </w:r>
      <w:r>
        <w:rPr>
          <w:rFonts w:ascii="Arial" w:cs="Arial" w:eastAsia="Arial" w:hAnsi="Arial"/>
          <w:sz w:val="16"/>
          <w:szCs w:val="16"/>
          <w:color w:val="auto"/>
        </w:rPr>
        <w:t>. The Company (a) is a limited liability company formed and validly existing under the Limited Liability Company Law of the State of Delaware, or, if at any time after the Effective Date the Company has changed its form of business organization to a corporate or partnership form, is, on any date on or after the effectiveness of such change upon which this representation is made or deemed made, duly organized, validly existing and in good standing under the laws of the jurisdiction of its organization, (b) has the requisite power and authority under such law to own and operate its property, to lease the property it operates as lessee and to conduct the business in which it is currently engaged and (c) is duly qualified and in good standing under the laws of each jurisdiction where its ownership, lease or operation of property or the conduct of its business requires such qualification except where the failure to so qualify would not reasonably be expected, in the aggregate, to have a Material Adverse Effect. Each of the Company’s Significant Subsidiaries (x) is duly organized, validly existing and in good standing under the laws of the jurisdiction of its organization, (y) has the requisite power and authority to own and operate its property, to lease the property it operates as lessee and to conduct the business in which it is currently engaged and (z) is duly qualified and in good standing under the laws of each jurisdiction where its ownership, lease or operation of property or the conduct of its business requires such qualification except where the failure to so qualify would not reasonably be expected, in the aggregate, to have a Material Adverse Effect. Each of the Company and its Significant Subsidiaries is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14" w:name="page115"/>
    <w:bookmarkEnd w:id="11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all Requirements of Law except to the extent that the failure to comply therewith would not, in the aggregate, have a material adverse effect on the business, property, financial condition or results of operations of the Company and its Subsidiaries, taken as a whole, and would not materially adversely affect the ability of the Company to perform its obligations under this Agreement and the Notes.</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The Company has the requisite power and authority and the legal right to make, deliver and perform this Agreement and the Notes and to borrow hereunder and has taken all necessary and proper action to authorize the borrowings on the terms and conditions of this Agreement and the Notes and to authorize the execution, delivery and performance of this Agreement and the Notes by the Company. No consent or authorization of, filing with or other act by or in respect of any Governmental Authority is required by the Company in connection with the borrowings hereunder or with the execution, delivery or performance of this Agreement or the Notes by the Company or with the validity or enforceability of this Agreement or the Notes against the Company. This Agreement has been duly executed and delivered on behalf of the Company and constitutes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 On the date of the initial Loans hereunder, each Note, if requested, will have been duly executed and delivered on behalf of the Company and will constitute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w:t>
      </w:r>
    </w:p>
    <w:p>
      <w:pPr>
        <w:spacing w:after="0" w:line="12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and the Notes, the borrowings hereunder and the use of the proceeds thereof, will not violate the organizational or governing documents of the Company or any of its Significant Subsidiaries, any other material Requirement of Law or any material Contractual Obligation of the Company or of any of its Significant Subsidiaries, and will not result in, or require, the creation or imposition of any Lien on any of its or their respective properties or revenues pursuant to any Requirement of Law or Contractual Obligation.</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 Material Litigation</w:t>
      </w:r>
      <w:r>
        <w:rPr>
          <w:rFonts w:ascii="Arial" w:cs="Arial" w:eastAsia="Arial" w:hAnsi="Arial"/>
          <w:sz w:val="16"/>
          <w:szCs w:val="16"/>
          <w:color w:val="auto"/>
        </w:rPr>
        <w:t>. Except as disclosed in the SEC Filings, no litigation, investigation or proceeding of or before any arbitrator or Governmental Authority is pending or, to the knowledge of the Company, threatened by or against the Company or any of its Significant Subsidiaries or against any of its or their respective properties or revenues (a) with respect to this Agreement or the Notes, or (b) which is reasonably likely to be adversely determined and, if adversely determined, would reasonably be expected to have, a Material Adverse Effect.</w:t>
      </w:r>
    </w:p>
    <w:p>
      <w:pPr>
        <w:spacing w:after="0" w:line="11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 Default</w:t>
      </w:r>
      <w:r>
        <w:rPr>
          <w:rFonts w:ascii="Arial" w:cs="Arial" w:eastAsia="Arial" w:hAnsi="Arial"/>
          <w:sz w:val="16"/>
          <w:szCs w:val="16"/>
          <w:color w:val="auto"/>
        </w:rPr>
        <w:t>. Neither the Company nor any of its Subsidiaries is in default under or with respect to any Contractual Obligation in any respect which would reasonably be expected to have a Material Adverse Effect. No Default or Event of Default has occurred and is continuing.</w:t>
      </w:r>
    </w:p>
    <w:p>
      <w:pPr>
        <w:spacing w:after="0" w:line="8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 Each of the Company and its Subsidiaries, if any, has good title to or valid leasehold interests in all its material real property, and good title to all its other material property, and none of such property is subject to any Lien prohibited by Section 7.3.</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Taxes</w:t>
      </w:r>
      <w:r>
        <w:rPr>
          <w:rFonts w:ascii="Arial" w:cs="Arial" w:eastAsia="Arial" w:hAnsi="Arial"/>
          <w:sz w:val="18"/>
          <w:szCs w:val="18"/>
          <w:color w:val="auto"/>
        </w:rPr>
        <w:t>. Each of the Company and its Subsidiaries has filed or caused to be filed all tax returns which to the knowledge of the Company are required to be filed by it and has paid all taxes shown to be due and payable on said returns or on any assessments made against it or any of its property and all other taxes, fees or other charges imposed on it or any of its property by any Governmental Authority except (a) those taxes the amount or validity of which is currently being contested in good faith by appropriate proceedings and with respect to which reserves in conformity with GAAP have been provided on the books of the Company or any of its Significant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as the case may be, or (b) to the extent that the failure to do so would not reasonably be expected to have a Material Adverse Effect.</w:t>
      </w:r>
    </w:p>
    <w:p>
      <w:pPr>
        <w:spacing w:after="0" w:line="194"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Federal Regulations</w:t>
      </w:r>
      <w:r>
        <w:rPr>
          <w:rFonts w:ascii="Arial" w:cs="Arial" w:eastAsia="Arial" w:hAnsi="Arial"/>
          <w:sz w:val="16"/>
          <w:szCs w:val="16"/>
          <w:color w:val="auto"/>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w:t>
      </w:r>
    </w:p>
    <w:p>
      <w:pPr>
        <w:spacing w:after="0" w:line="107"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ERISA</w:t>
      </w:r>
      <w:r>
        <w:rPr>
          <w:rFonts w:ascii="Arial" w:cs="Arial" w:eastAsia="Arial" w:hAnsi="Arial"/>
          <w:sz w:val="15"/>
          <w:szCs w:val="15"/>
          <w:color w:val="auto"/>
        </w:rPr>
        <w:t>. Except as, in the aggregate, would not reasonably be expected to have a Material Adverse Effect: (a) during the five-year period prior to the date on which this representation is made or deemed made, (i) no Reportable Event or non-exempt Prohibited Transaction has occurred with respect to any Plan;</w:t>
      </w:r>
    </w:p>
    <w:p>
      <w:pPr>
        <w:ind w:left="260" w:hanging="252"/>
        <w:spacing w:after="0"/>
        <w:tabs>
          <w:tab w:leader="none" w:pos="2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 termination of a Single Employer Plan has occurred with respect to which the liability remains unsatisfied and no Lien in favor of the PBGC has arisen;</w:t>
      </w:r>
    </w:p>
    <w:p>
      <w:pPr>
        <w:spacing w:after="0" w:line="32" w:lineRule="exact"/>
        <w:rPr>
          <w:rFonts w:ascii="Arial" w:cs="Arial" w:eastAsia="Arial" w:hAnsi="Arial"/>
          <w:sz w:val="16"/>
          <w:szCs w:val="16"/>
          <w:color w:val="auto"/>
        </w:rPr>
      </w:pPr>
    </w:p>
    <w:p>
      <w:pPr>
        <w:ind w:firstLine="8"/>
        <w:spacing w:after="0" w:line="281" w:lineRule="auto"/>
        <w:tabs>
          <w:tab w:leader="none" w:pos="30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there has been no failure to meet the minimum funding standards (within the meaning of Sections 412 or 430 of the Code or Section 302 of ERISA, including but not limited to the occurrence of an “accumulated funding deficiency” (within the meaning of Section 412 of the Code or Section 302 of ERISA as in effect prior to the effective date of the Pension Protection Act of 2006)) with respect to any Single Employer Plan; and (iv) there has been no filing pursuant to Section 412(c) of the Code or Section 302(c) of ERISA of an application for a waiver of the minimum funding standard with respect to any Single Employer Plan, no failure to make by its due date a required installment under Section 430(j) of the Code with respect to any Single Employer Plan, or failure by the Company or any Commonly Controlled Entity to make any required contribution to a Multiemployer Plan; (b) the Company, each of its Significant Subsidiaries and each Commonly Controlled Entity is in compliance in all respects with the applicable provisions of ERISA and the Code relating to Plans; (c) the present value of all accrued benefits under each Single Employer Plan (based on those assumptions used to fund such Single Employer Plans) did not, as of the last annual valuation date prior to the date on which this representation is made or deemed made, exceed the value of the assets of such Single Employer Plan allocable to such accrued benefits and there has been no determination that any Single Employer Plan is, or is expected to be, in “at risk” status (within the meaning of Section 430 of the Code or Section 303 of ERISA); (d) neither the Company nor any Commonly Controlled Entity has received from the PBGC or a plan administrator any notice relating to an intention to terminate any Single Employer Plan or to appoint a trustee to administer any Single Employer Plan under Section 4042 of ERISA; (e) neither the Company nor any Commonly Controlled Entity has had a complete or partial withdrawal from any Multiemployer Plan that has resulted or would reasonably be expected to result in any liability under Section 4201 of ERISA, and neither the Company nor any Commonly Controlled Entity would become subject to any liability under ERISA if the Company or any such Commonly Controlled Entity were to withdraw completely from all Multiemployer Plans as of the valuation date most closely preceding the date on which this representation is made or deemed made; (f) neither the Company nor any Commonly Controlled Entity has received any notice of a determination that a Multiemployer Plan is in Reorganization, Insolvent or in “endangered” or “critical” status (within the meaning of Section 432 of the Code or Section 305 of ERISA); and (g) with respect to each Foreign Plan, there has been no failure</w:t>
      </w:r>
    </w:p>
    <w:p>
      <w:pPr>
        <w:spacing w:after="0" w:line="12" w:lineRule="exact"/>
        <w:rPr>
          <w:rFonts w:ascii="Arial" w:cs="Arial" w:eastAsia="Arial" w:hAnsi="Arial"/>
          <w:sz w:val="16"/>
          <w:szCs w:val="16"/>
          <w:color w:val="auto"/>
        </w:rPr>
      </w:pPr>
    </w:p>
    <w:p>
      <w:pPr>
        <w:ind w:right="20" w:firstLine="8"/>
        <w:spacing w:after="0" w:line="281" w:lineRule="auto"/>
        <w:tabs>
          <w:tab w:leader="none" w:pos="21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to make or, if applicable, accrue in accordance with normal accounting practices, any employer or employee contributions required by applicable law or by the terms of such Foreign Plan; (ii) to register or loss of good standing with applicable regulatory authorities of any such Foreign Plan required to be registered;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of any Foreign Plan to comply with any material provisions of applicable law and regulations or with the material terms of such Foreign Plan.</w:t>
      </w:r>
    </w:p>
    <w:p>
      <w:pPr>
        <w:spacing w:after="0" w:line="18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 Other Regulations</w:t>
      </w:r>
      <w:r>
        <w:rPr>
          <w:rFonts w:ascii="Arial" w:cs="Arial" w:eastAsia="Arial" w:hAnsi="Arial"/>
          <w:sz w:val="18"/>
          <w:szCs w:val="18"/>
          <w:color w:val="auto"/>
        </w:rPr>
        <w:t>. Neither the Company nor any of its Subsidiaries is an “investment company”, or a company “controlled” by a registered “investment company”, within the meaning of the Investment Company Act of 1940, as amended. Neither the Company nor any of its Subsidiaries is subject to regulation under any Requirement of Law (other than Regulation X of the Board and Rule 15c3-1 as promulgated by the SEC under the Act) that limits its ability to incur Indebtedness.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116" w:name="page117"/>
    <w:bookmarkEnd w:id="116"/>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4.13 </w:t>
      </w:r>
      <w:r>
        <w:rPr>
          <w:rFonts w:ascii="Arial" w:cs="Arial" w:eastAsia="Arial" w:hAnsi="Arial"/>
          <w:sz w:val="18"/>
          <w:szCs w:val="18"/>
          <w:u w:val="single" w:color="auto"/>
          <w:color w:val="auto"/>
        </w:rPr>
        <w:t>Significant Subsidiaries</w:t>
      </w:r>
      <w:r>
        <w:rPr>
          <w:rFonts w:ascii="Arial" w:cs="Arial" w:eastAsia="Arial" w:hAnsi="Arial"/>
          <w:sz w:val="18"/>
          <w:szCs w:val="18"/>
          <w:color w:val="auto"/>
        </w:rPr>
        <w:t>. Except as disclosed to the Administrative Agent (who shall promptly notify the other Banks upon receipt of such disclosure) by the Company in writing from time to time after the Effective Date, (a) Schedule 4.13 sets forth the name and jurisdiction of incorporation of each Significant Subsidiary and (b) there are no outstanding subscriptions, options, warrants, calls, rights or other agreements or commitments (other than Exchangeable Interests, stock options granted to employees or directors and directors’ qualifying shares) of any nature relating to any Capital Stock of the Company or any of its Significant Subsidiaries, except as created by this Agreement.</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Accuracy of Information, etc</w:t>
      </w:r>
      <w:r>
        <w:rPr>
          <w:rFonts w:ascii="Arial" w:cs="Arial" w:eastAsia="Arial" w:hAnsi="Arial"/>
          <w:sz w:val="16"/>
          <w:szCs w:val="16"/>
          <w:color w:val="auto"/>
        </w:rPr>
        <w:t xml:space="preserve">. No statement or information contained in this Agreement or any other document, certificate or statement furnished by or on behalf of the Company to the Administrative Agent or the Banks, or any of them, for use in connection with the transactions contemplated by this Agreement,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not misleading in each case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such statement or information with respect to projected financial information or other projected results, the Company represents only that such information was based upon good faith estimates and assumptions believed by management of the Company to be reasonable at the time made, it being recognized by the Banks that such information as it relates to future events is not to be viewed as fact and that actual results during the period or periods covered by such information may differ from the projected results set forth therein by a material amount. There is no fact known to the Company that would reasonably be expected to have a Material Adverse Effect that has not been expressly disclosed herein or in any other documents, certificates and statements furnished to the Administrative Agent and the Banks for use in connection with the transactions contemplated hereby.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by the Company for general corporate purposes.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 CONDITIONS PRECEDENT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of Initial Loans</w:t>
      </w:r>
      <w:r>
        <w:rPr>
          <w:rFonts w:ascii="Arial" w:cs="Arial" w:eastAsia="Arial" w:hAnsi="Arial"/>
          <w:sz w:val="18"/>
          <w:szCs w:val="18"/>
          <w:color w:val="auto"/>
        </w:rPr>
        <w:t>. The obligation of each Bank to make its initial Loan hereunder and the effectiveness of this Agreement are subject to the satisfaction of the following conditions precedent:</w:t>
      </w:r>
    </w:p>
    <w:p>
      <w:pPr>
        <w:spacing w:after="0" w:line="51" w:lineRule="exact"/>
        <w:rPr>
          <w:sz w:val="20"/>
          <w:szCs w:val="20"/>
          <w:color w:val="auto"/>
        </w:rPr>
      </w:pPr>
    </w:p>
    <w:p>
      <w:pPr>
        <w:ind w:left="460" w:right="280" w:firstLine="443"/>
        <w:spacing w:after="0" w:line="268" w:lineRule="auto"/>
        <w:tabs>
          <w:tab w:leader="none" w:pos="113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Administrative Agent shall have received this Agreement, executed by an authorized officer of each Bank party hereto and by an authorized officer of the Company.</w:t>
      </w:r>
    </w:p>
    <w:p>
      <w:pPr>
        <w:spacing w:after="0" w:line="5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Administrative Agent shall have received a Note conforming to the requirements hereof and executed by an authorized officer of the Company for each Bank that has requested a Note prior to the Effective Date. The Administrative Agent shall promptly forward any such Notes to the appropriate Banks.</w:t>
      </w:r>
    </w:p>
    <w:p>
      <w:pPr>
        <w:spacing w:after="0" w:line="59" w:lineRule="exact"/>
        <w:rPr>
          <w:rFonts w:ascii="Arial" w:cs="Arial" w:eastAsia="Arial" w:hAnsi="Arial"/>
          <w:sz w:val="18"/>
          <w:szCs w:val="18"/>
          <w:color w:val="auto"/>
        </w:rPr>
      </w:pPr>
    </w:p>
    <w:p>
      <w:pPr>
        <w:ind w:left="460" w:right="140" w:firstLine="443"/>
        <w:spacing w:after="0" w:line="259" w:lineRule="auto"/>
        <w:tabs>
          <w:tab w:leader="none" w:pos="113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Prior to or substantially simultaneously with the Effective Date, the commitments under the Existing Credit Agreement 2 shall have been terminated and the Company shall have repaid all outstanding loans, unpaid interest thereon and all fees and expenses owed thereunder.</w:t>
      </w:r>
    </w:p>
    <w:p>
      <w:pPr>
        <w:spacing w:after="0" w:line="59" w:lineRule="exact"/>
        <w:rPr>
          <w:rFonts w:ascii="Arial" w:cs="Arial" w:eastAsia="Arial" w:hAnsi="Arial"/>
          <w:sz w:val="18"/>
          <w:szCs w:val="18"/>
          <w:color w:val="auto"/>
        </w:rPr>
      </w:pPr>
    </w:p>
    <w:p>
      <w:pPr>
        <w:ind w:left="460" w:right="140" w:firstLine="443"/>
        <w:spacing w:after="0" w:line="256"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The Administrative Agent shall have received (i) an opinion of Cravath, Swaine &amp; Moore LLP, special counsel to the Company, substantially in the form of Exhibit B-1, and (ii) an opinion of Scott D. Hoffman, Managing Director and the General Counsel to the Company, substantially in the form of Exhibit B-2, and (iii) and an opinion of Wilmer Cutler Pickering Hale and Dorr LLP, substantially in the form of Exhibit B-3, each dated the Effective Date and addressed to the Administrative Agent and the Banks.</w:t>
      </w:r>
    </w:p>
    <w:p>
      <w:pPr>
        <w:spacing w:after="0" w:line="62" w:lineRule="exact"/>
        <w:rPr>
          <w:rFonts w:ascii="Arial" w:cs="Arial" w:eastAsia="Arial" w:hAnsi="Arial"/>
          <w:sz w:val="18"/>
          <w:szCs w:val="18"/>
          <w:color w:val="auto"/>
        </w:rPr>
      </w:pPr>
    </w:p>
    <w:p>
      <w:pPr>
        <w:ind w:left="460" w:right="200" w:firstLine="443"/>
        <w:spacing w:after="0" w:line="259" w:lineRule="auto"/>
        <w:tabs>
          <w:tab w:leader="none" w:pos="113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The Administrative Agent shall have received a Closing Certificate of the Company dated the Effective Date, in a form reasonably satisfactory to the Administrative Agent, with appropriate insertions and attachments (including the certificate of formation and the operating agreement of the Company) executed by an officer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117" w:name="page118"/>
    <w:bookmarkEnd w:id="117"/>
    <w:p>
      <w:pPr>
        <w:ind w:left="460" w:right="60" w:firstLine="443"/>
        <w:spacing w:after="0" w:line="259" w:lineRule="auto"/>
        <w:tabs>
          <w:tab w:leader="none" w:pos="111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Incumbency and Signatures</w:t>
      </w:r>
      <w:r>
        <w:rPr>
          <w:rFonts w:ascii="Arial" w:cs="Arial" w:eastAsia="Arial" w:hAnsi="Arial"/>
          <w:sz w:val="18"/>
          <w:szCs w:val="18"/>
          <w:color w:val="auto"/>
        </w:rPr>
        <w:t>. The Administrative Agent shall have received a certificate of an officer of the Company, dated the Effective Date, as to the incumbency and signatures of the officers of the Company, duly authorized to sign this Agreement, the Notes and any certificate or other document required to be delivered pursuant thereto.</w:t>
      </w:r>
    </w:p>
    <w:p>
      <w:pPr>
        <w:spacing w:after="0" w:line="59"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Administrative Agent shall have received all fees required to be paid to it and each Bank under this Agreement on or prior to the Effective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Conditions to All Loans</w:t>
      </w:r>
      <w:r>
        <w:rPr>
          <w:rFonts w:ascii="Arial" w:cs="Arial" w:eastAsia="Arial" w:hAnsi="Arial"/>
          <w:sz w:val="16"/>
          <w:szCs w:val="16"/>
          <w:color w:val="auto"/>
        </w:rPr>
        <w:t>. The making by each Bank of any Loan hereunder (but not the conversion or continuation of any Loan pursuant to Section 2.7)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is subject to the satisfaction of the following conditions precedent on the relevant Borrowing Date:</w:t>
      </w:r>
    </w:p>
    <w:p>
      <w:pPr>
        <w:spacing w:after="0" w:line="84" w:lineRule="exact"/>
        <w:rPr>
          <w:sz w:val="20"/>
          <w:szCs w:val="20"/>
          <w:color w:val="auto"/>
        </w:rPr>
      </w:pPr>
    </w:p>
    <w:p>
      <w:pPr>
        <w:ind w:left="460" w:right="20" w:firstLine="443"/>
        <w:spacing w:after="0" w:line="294" w:lineRule="auto"/>
        <w:tabs>
          <w:tab w:leader="none" w:pos="113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made by the Company herein or which are contained in any certificate furnished at any time under or in connection herewith shall be true and correct in all material respects on and as of the Borrowing Date as if made on and as of such date (it being understood and agreed that any representation and warranty that (i) is qualified as to “materiality” or “Material Adverse Effect” shall be true and correct (after giving effect to any qualification therein) in all respects and (ii) by its terms is made as of a specified date shall be true and correct in all material respects only as of such specified date).</w:t>
      </w:r>
    </w:p>
    <w:p>
      <w:pPr>
        <w:spacing w:after="0" w:line="34"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 on such date or after giving effect to the Loan to be made on such Borrowing Date.</w:t>
      </w:r>
    </w:p>
    <w:p>
      <w:pPr>
        <w:spacing w:after="0" w:line="50" w:lineRule="exact"/>
        <w:rPr>
          <w:rFonts w:ascii="Arial" w:cs="Arial" w:eastAsia="Arial" w:hAnsi="Arial"/>
          <w:sz w:val="18"/>
          <w:szCs w:val="18"/>
          <w:color w:val="auto"/>
        </w:rPr>
      </w:pPr>
    </w:p>
    <w:p>
      <w:pPr>
        <w:ind w:left="460" w:right="120" w:firstLine="443"/>
        <w:spacing w:after="0" w:line="259" w:lineRule="auto"/>
        <w:tabs>
          <w:tab w:leader="none" w:pos="113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Notwithstanding the fact that no Event of Default has occurred and is continuing, if the Company has failed to comply with the financial covenants set forth in Section 7.1 for any period of time, the Company shall have delivered a Compliance Certificate substantially in the form of Exhibit 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borrowing by the Company hereunder shall constitute a representation and warranty by the Company as of the date of such borrowing or issuance that the conditions in clauses (a) and (b) of this Section have been satisfied.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 AFFIRMATIVE COVENANTS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hereby agrees that, so long as the Commitments remain in effect, any Loan remains outstanding and unpaid or any other amounts (other than indemnities and other contingent liabilities that survive the repayment of the Loans) is owing to the Banks or the Administrative Agent hereunder, the Company shall and (except in the case of delivery of financial information, reports and notices) shall cause each Significant Subsidiary to: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Furnish to the Administrative Agent for delivery to each Bank:</w:t>
      </w:r>
    </w:p>
    <w:p>
      <w:pPr>
        <w:spacing w:after="0" w:line="90" w:lineRule="exact"/>
        <w:rPr>
          <w:sz w:val="20"/>
          <w:szCs w:val="20"/>
          <w:color w:val="auto"/>
        </w:rPr>
      </w:pPr>
    </w:p>
    <w:p>
      <w:pPr>
        <w:ind w:left="460" w:right="180" w:firstLine="443"/>
        <w:spacing w:after="0" w:line="254" w:lineRule="auto"/>
        <w:tabs>
          <w:tab w:leader="none" w:pos="1137"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after each December 31</w:t>
      </w:r>
      <w:r>
        <w:rPr>
          <w:rFonts w:ascii="Arial" w:cs="Arial" w:eastAsia="Arial" w:hAnsi="Arial"/>
          <w:sz w:val="11"/>
          <w:szCs w:val="11"/>
          <w:color w:val="auto"/>
        </w:rPr>
        <w:t>st</w:t>
      </w:r>
      <w:r>
        <w:rPr>
          <w:rFonts w:ascii="Arial" w:cs="Arial" w:eastAsia="Arial" w:hAnsi="Arial"/>
          <w:sz w:val="18"/>
          <w:szCs w:val="18"/>
          <w:color w:val="auto"/>
        </w:rPr>
        <w:t xml:space="preserve"> or other date on which the annual audit of the Company is conducted, a copy of the balance sheet of the Company and its consolidated Subsidiaries as at such date and the related statement of income for the fiscal year then ended, reported on without a “going concern” or like qualification or exception, or qualification arising out of the scope of the audit, by independent certified public accountants of nationally or regionally recognized 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financial statements that are made available on the SEC’s EDGAR system or the Company’s website shall be deemed delivered to the Administrative Agent on the date such documents are made so available; and</w:t>
      </w:r>
    </w:p>
    <w:p>
      <w:pPr>
        <w:spacing w:after="0" w:line="63" w:lineRule="exact"/>
        <w:rPr>
          <w:rFonts w:ascii="Arial" w:cs="Arial" w:eastAsia="Arial" w:hAnsi="Arial"/>
          <w:sz w:val="18"/>
          <w:szCs w:val="18"/>
          <w:color w:val="auto"/>
        </w:rPr>
      </w:pPr>
    </w:p>
    <w:p>
      <w:pPr>
        <w:jc w:val="both"/>
        <w:ind w:left="460" w:right="40" w:firstLine="443"/>
        <w:spacing w:after="0" w:line="259"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soon as available, but in any event not later than 45 days after the end of each of the first, second and third quarterly periods of each fiscal year of the Company, the unaudited balance sheet of the Company and its consolidated Subsidiaries as at the end of each such quarter and the related unaudited statement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18" w:name="page119"/>
    <w:bookmarkEnd w:id="118"/>
    <w:p>
      <w:pPr>
        <w:ind w:left="460"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income of the Company and its consolidated Subsidiaries for the fiscal year to date, certified by a Responsible Officer of the Company with responsibility for financial reporting matters (subject to normal year-end audit adjustments);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financial statements that are made available on the SEC’s EDGAR system or the Company’s website shall be deemed delivered to the Administrative Agent on the date such documents are made so available;</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such financial statements to be complete and correct in all material respects and to be prepared in reasonable detail in accordance with GAAP applied consistently throughout the period reflected therein (except as disclosed therein), and in the case of clause (b) above, subject to normal year-end audit adjustments and the absence of footnotes. Notwithstanding anything to the contrary in this Section 6.1, if financial statements for the Company shall no longer be publicly available on the SEC’s EDGAR system or the Company’s website, this Section 6.1 shall be deemed to be satisfied upon the delivery of financial statements of Holdings.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Furnish to the Administrative Agent for delivery to each Bank:</w:t>
      </w:r>
    </w:p>
    <w:p>
      <w:pPr>
        <w:spacing w:after="0" w:line="90" w:lineRule="exact"/>
        <w:rPr>
          <w:sz w:val="20"/>
          <w:szCs w:val="20"/>
          <w:color w:val="auto"/>
        </w:rPr>
      </w:pPr>
    </w:p>
    <w:p>
      <w:pPr>
        <w:ind w:left="460" w:firstLine="443"/>
        <w:spacing w:after="0" w:line="290" w:lineRule="auto"/>
        <w:tabs>
          <w:tab w:leader="none" w:pos="1137"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concurrently with the delivery of the financial statements referred to in Sections 6.1(a) and (b), a certificate of an authorized financial officer of the Company (i) stating that, to the best of such authorized financial officer’s knowledge, the Company and its Significant Subsidiaries during such period have observed or performed all of their covenants and other agreements, and satisfied every condition, contained in this Agreement and in the Notes to be observed, performed or satisfied by them, and that such officer has obtained no knowledge of any Event of Default, in each case except as specified in such certificate, (ii) setting forth quarterly computations with respect to compliance with Section 7.1 of this Agreement and (iii) setting forth the aggregate amount of Indebtedness incurred pursuant to Section 7.2(d) of this Agreement that is outstanding as of the last day of the fiscal period covered by such financial statements;</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firstLine="443"/>
        <w:spacing w:after="0" w:line="294" w:lineRule="auto"/>
        <w:tabs>
          <w:tab w:leader="none" w:pos="1137" w:val="left"/>
        </w:tabs>
        <w:numPr>
          <w:ilvl w:val="0"/>
          <w:numId w:val="98"/>
        </w:numPr>
        <w:rPr>
          <w:rFonts w:ascii="Arial" w:cs="Arial" w:eastAsia="Arial" w:hAnsi="Arial"/>
          <w:sz w:val="16"/>
          <w:szCs w:val="16"/>
          <w:color w:val="auto"/>
        </w:rPr>
      </w:pPr>
      <w:r>
        <w:rPr>
          <w:rFonts w:ascii="Arial" w:cs="Arial" w:eastAsia="Arial" w:hAnsi="Arial"/>
          <w:sz w:val="16"/>
          <w:szCs w:val="16"/>
          <w:color w:val="auto"/>
        </w:rPr>
        <w:t>as soon as possible and in any event within 30 days after the Company knows or has reason to know of the following events: (i) the occurrence or expected occurrence of any Reportable Event with respect to any Plan or (ii) the institution of proceedings or the taking of any other action by the PBGC, the Company or any Commonly Controlled Entity with respect to the withdrawal from, or the terminating, reorganization or insolvency of, any Single Employer Plan or Multiemployer Plan, a certificate of an authorized officer of the Company setting forth the details thereof and the action, if any, that the Company or the Commonly Controlled Entity proposes to take with respect thereto; and</w:t>
      </w:r>
    </w:p>
    <w:p>
      <w:pPr>
        <w:spacing w:after="0" w:line="34"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as the Banks may from time to time reasonably request and which the Company is not expressly prohibited by law or written contract from disclosing.</w:t>
      </w:r>
    </w:p>
    <w:p>
      <w:pPr>
        <w:spacing w:after="0" w:line="132"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Conduct of Business and Maintenance of Existence; Compliance</w:t>
      </w:r>
      <w:r>
        <w:rPr>
          <w:rFonts w:ascii="Arial" w:cs="Arial" w:eastAsia="Arial" w:hAnsi="Arial"/>
          <w:sz w:val="16"/>
          <w:szCs w:val="16"/>
          <w:color w:val="auto"/>
        </w:rPr>
        <w:t xml:space="preserve">. (a) Continue to engage in business of the same general type as now conducted by it and preserve, renew and keep in full force and effect its existence (which, in the case of the Company shall be as a duly formed and existing limited liability company or, if the provisions set forth in the immediately succeeding sentence have been satisfied, a duly organized and existing corporation or partnership), except as otherwise expressly permitted under Section 7.4, (b) take all reasonable action to maintain all material rights, privileges and franchises necessary or desirable in the normal conduct of its business and (c) comply with all Contractual Obligations and Requirements of Law, except to the extent that failure to comply therewith would not reasonably be expected, in the aggregate, to have a Material Adverse Effect. The Company may change the form of its business organization from limited liability company to corporate form or to a limited partnership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immediately upon giving effect to any such change, all representations and warranties made by the Company under Section 4 hereof are true and correct as if made at such time by the Company in such successor form and (ii) upon or prior to the date of such change, the Company shall have delivered to the Administrative Agent a certificate of the Company to such effect and opinion satisfactory to the Administrative Agent with respect to the assumption of all agreements, obligations and liabilities hereunder by the Company in such successor form.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119" w:name="page120"/>
    <w:bookmarkEnd w:id="119"/>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6.4 </w:t>
      </w:r>
      <w:r>
        <w:rPr>
          <w:rFonts w:ascii="Arial" w:cs="Arial" w:eastAsia="Arial" w:hAnsi="Arial"/>
          <w:sz w:val="18"/>
          <w:szCs w:val="18"/>
          <w:u w:val="single" w:color="auto"/>
          <w:color w:val="auto"/>
        </w:rPr>
        <w:t>Maintenance of Property; Insurance</w:t>
      </w:r>
      <w:r>
        <w:rPr>
          <w:rFonts w:ascii="Arial" w:cs="Arial" w:eastAsia="Arial" w:hAnsi="Arial"/>
          <w:sz w:val="18"/>
          <w:szCs w:val="18"/>
          <w:color w:val="auto"/>
        </w:rPr>
        <w:t>. Keep all property useful and necessary in its business in good working order and condition, ordinary wear and tear excepted; maintain with financially sound and reputable insurance companies insurance on all its property in at least such amounts and against at least such risks as are usually insured against in the same general area by companies engaged in the same or a similar business and of a similar size; and furnish to each Bank, upon written request, full information as to the insurance carried.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Inspection of Property; Books and Records; Discussions</w:t>
      </w:r>
      <w:r>
        <w:rPr>
          <w:rFonts w:ascii="Arial" w:cs="Arial" w:eastAsia="Arial" w:hAnsi="Arial"/>
          <w:sz w:val="16"/>
          <w:szCs w:val="16"/>
          <w:color w:val="auto"/>
        </w:rPr>
        <w:t>. Keep proper books of records and account in which full, true and correct entries shall be made of all dealings and transactions in relation to its business and activities; and, with the prior consent of the Company, which shall not be unreasonably withheld (and not be required when any Event of Default has occurred and is continuing but with reasonable prior notice), permit representatives of any Bank to visit and inspect any of its properties and examine and make abstracts from any of its books and records at any reasonable time and as often as may reasonably be desired, and to discuss the business, operations, properties and financial and other condition of the Company and its Subsidiaries with officers and employees of the Company and its Significant Subsidiaries and with its independent certified public accountants.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Promptly give notice to the Administrative Agent and each Bank:</w:t>
      </w:r>
    </w:p>
    <w:p>
      <w:pPr>
        <w:spacing w:after="0" w:line="90" w:lineRule="exact"/>
        <w:rPr>
          <w:sz w:val="20"/>
          <w:szCs w:val="20"/>
          <w:color w:val="auto"/>
        </w:rPr>
      </w:pPr>
    </w:p>
    <w:p>
      <w:pPr>
        <w:ind w:left="1140" w:hanging="237"/>
        <w:spacing w:after="0"/>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upon obtaining knowledge thereof;</w:t>
      </w:r>
    </w:p>
    <w:p>
      <w:pPr>
        <w:spacing w:after="0" w:line="90"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of any litigation or proceeding which may exist at any time between the Company or any Subsidiary and any other person, which is reasonably likely to be adversely determined and if adversely determined would have a Material Adverse Effect;</w:t>
      </w:r>
    </w:p>
    <w:p>
      <w:pPr>
        <w:spacing w:after="0" w:line="50" w:lineRule="exact"/>
        <w:rPr>
          <w:rFonts w:ascii="Arial" w:cs="Arial" w:eastAsia="Arial" w:hAnsi="Arial"/>
          <w:sz w:val="18"/>
          <w:szCs w:val="18"/>
          <w:color w:val="auto"/>
        </w:rPr>
      </w:pPr>
    </w:p>
    <w:p>
      <w:pPr>
        <w:ind w:left="460" w:right="20" w:firstLine="443"/>
        <w:spacing w:after="0" w:line="286" w:lineRule="auto"/>
        <w:tabs>
          <w:tab w:leader="none" w:pos="1137" w:val="left"/>
        </w:tabs>
        <w:numPr>
          <w:ilvl w:val="0"/>
          <w:numId w:val="99"/>
        </w:numPr>
        <w:rPr>
          <w:rFonts w:ascii="Arial" w:cs="Arial" w:eastAsia="Arial" w:hAnsi="Arial"/>
          <w:sz w:val="16"/>
          <w:szCs w:val="16"/>
          <w:color w:val="auto"/>
        </w:rPr>
      </w:pPr>
      <w:r>
        <w:rPr>
          <w:rFonts w:ascii="Arial" w:cs="Arial" w:eastAsia="Arial" w:hAnsi="Arial"/>
          <w:sz w:val="16"/>
          <w:szCs w:val="16"/>
          <w:color w:val="auto"/>
        </w:rPr>
        <w:t>of the following events, as soon as possible and in any event within 30 days after the Company knows or has reason to know thereof: (i) the occurrence of any Reportable Event or non-exempt Prohibited Transaction resulting in liability in excess of $10,000,000 with respect to any Plan, a failure to make any required contribution to a Single Employer Plan or Multiemployer Plan, any determination that any Single Employer Plan is, or is expected to be, in “at risk” status (within the meaning of Section 430 of the Code or Section 303 of ERISA), the creation of any Lien in favor of the PBGC or a Plan, any withdrawal from, or the termination, Reorganization or Insolvency of, any Multiemployer Plan or determination that any Multiemployer Plan is, or is expected to be, in “endangered” or “critical” status (within the meaning of Section 432 of the Code or Section 305 of ERISA, or (ii) the institution of proceedings or the taking of any other action by the PBGC or the Company or any Commonly Controlled Entity or any Multiemployer Plan with respect to the withdrawal from, or the termination, Reorganization or Insolvency of, any Single Employer Plan or Multiemployer Plan or determination that any such Single Employer Plan is, or is expected to be, in “at risk” status (within the meaning of Section 430 of the Code or Section 303 of ERISA) or that any Multiemployer Plan is, or is expected to be, in “endangered” or “critical” status (within the meaning of Section 432 of the Code or Section 305 of ERISA; and</w:t>
      </w:r>
    </w:p>
    <w:p>
      <w:pPr>
        <w:spacing w:after="0" w:line="46" w:lineRule="exact"/>
        <w:rPr>
          <w:rFonts w:ascii="Arial" w:cs="Arial" w:eastAsia="Arial" w:hAnsi="Arial"/>
          <w:sz w:val="16"/>
          <w:szCs w:val="16"/>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of any other development that has had or would reasonably be expected to have a Material Adverse Effect.</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Each notice pursuant to this Section shall be accompanied by a statement of a Responsible Officer of the Company setting forth details of the occurrence referred to therein and stating what action, if any, the Company proposes to take with respect thereto.</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 NEGATIVE COVENANTS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hereby agrees that, so long as the Commitments remain in effect, any Loan remains outstanding and unpaid or any other amounts (other than indemnities and other contingent liabilities that survive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20" w:name="page121"/>
    <w:bookmarkEnd w:id="120"/>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repayment of the Loans) is owing to the Banks or the Administrative Agent hereunder, the Company shall not, and shall not permit any of its Significant Subsidiaries to, directly or indirectly: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Financial Condition Covenants.</w:t>
      </w:r>
    </w:p>
    <w:p>
      <w:pPr>
        <w:spacing w:after="0" w:line="90" w:lineRule="exact"/>
        <w:rPr>
          <w:sz w:val="20"/>
          <w:szCs w:val="20"/>
          <w:color w:val="auto"/>
        </w:rPr>
      </w:pPr>
    </w:p>
    <w:p>
      <w:pPr>
        <w:ind w:left="460" w:right="60" w:firstLine="443"/>
        <w:spacing w:after="0" w:line="268" w:lineRule="auto"/>
        <w:tabs>
          <w:tab w:leader="none" w:pos="113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Permit the Consolidated Leverage Ratio as of the last day of any fiscal quarter, commencing with the fiscal quarter ended September 30, 2012, to be greater than 4.00 to 1.00.</w:t>
      </w:r>
    </w:p>
    <w:p>
      <w:pPr>
        <w:spacing w:after="0" w:line="50" w:lineRule="exact"/>
        <w:rPr>
          <w:rFonts w:ascii="Arial" w:cs="Arial" w:eastAsia="Arial" w:hAnsi="Arial"/>
          <w:sz w:val="18"/>
          <w:szCs w:val="18"/>
          <w:color w:val="auto"/>
        </w:rPr>
      </w:pPr>
    </w:p>
    <w:p>
      <w:pPr>
        <w:ind w:left="460" w:right="160" w:firstLine="443"/>
        <w:spacing w:after="0" w:line="332"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Consolidated Interest Coverage Ratio</w:t>
      </w:r>
      <w:r>
        <w:rPr>
          <w:rFonts w:ascii="Arial" w:cs="Arial" w:eastAsia="Arial" w:hAnsi="Arial"/>
          <w:sz w:val="16"/>
          <w:szCs w:val="16"/>
          <w:color w:val="auto"/>
        </w:rPr>
        <w:t>. Permit the Consolidated Interest Coverage Ratio for the period of four consecutive fiscal quarters ending on the last day of any fiscal quarter, commencing with the fiscal quarter ended September 30, 2012, to be less than 3.00 to 1.00.</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Limitation on Indebtedness</w:t>
      </w:r>
      <w:r>
        <w:rPr>
          <w:rFonts w:ascii="Arial" w:cs="Arial" w:eastAsia="Arial" w:hAnsi="Arial"/>
          <w:sz w:val="18"/>
          <w:szCs w:val="18"/>
          <w:color w:val="auto"/>
        </w:rPr>
        <w:t>. Create, incur, assume or suffer to exist any Indebtedness, except:</w:t>
      </w:r>
    </w:p>
    <w:p>
      <w:pPr>
        <w:spacing w:after="0" w:line="90" w:lineRule="exact"/>
        <w:rPr>
          <w:sz w:val="20"/>
          <w:szCs w:val="20"/>
          <w:color w:val="auto"/>
        </w:rPr>
      </w:pPr>
    </w:p>
    <w:p>
      <w:pPr>
        <w:ind w:left="1140" w:hanging="237"/>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Indebtedness arising under this Agreement or the Notes;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Indebtedness of the Company to any Wholly Owned Subsidiary and of any Wholly Owned Subsidiary to the Company or any other Wholly Owned Subsidiary;</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Indebtedness outstanding on the date hereof and listed on Schedule 7.2 and any Permitted Refinancing Indebtedness incurred to Refinance such Indebtedness;</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Indebtedness of the Company to LLtd Corp II, LLtd 1 S.à r.l. and LLtd 2 S.à r.l. (collectively, the “</w:t>
      </w:r>
      <w:r>
        <w:rPr>
          <w:rFonts w:ascii="Arial" w:cs="Arial" w:eastAsia="Arial" w:hAnsi="Arial"/>
          <w:sz w:val="18"/>
          <w:szCs w:val="18"/>
          <w:u w:val="single" w:color="auto"/>
          <w:color w:val="auto"/>
        </w:rPr>
        <w:t>Interim Financing Companies</w:t>
      </w:r>
      <w:r>
        <w:rPr>
          <w:rFonts w:ascii="Arial" w:cs="Arial" w:eastAsia="Arial" w:hAnsi="Arial"/>
          <w:sz w:val="18"/>
          <w:szCs w:val="18"/>
          <w:color w:val="auto"/>
        </w:rPr>
        <w:t>”) in respect of loans made by any such Interim Financing Company to the Company from excess funds attributable to (i) Restricted Payments permitted under Section 7.8 or (ii) loans made by the Company to any such Interim Financing Company;</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secured Broker-Dealer Indebtedness and Indebtedness of Lazard Frères Banque;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incurrence of any unsecured Indebtedness by Lazard Frères Bank permitted under this Section 7.2(e), the aggregate of its unencumbered assets shall exceed the aggregate of its unsecured Indebtedness;</w:t>
      </w:r>
    </w:p>
    <w:p>
      <w:pPr>
        <w:spacing w:after="0" w:line="59" w:lineRule="exact"/>
        <w:rPr>
          <w:rFonts w:ascii="Arial" w:cs="Arial" w:eastAsia="Arial" w:hAnsi="Arial"/>
          <w:sz w:val="18"/>
          <w:szCs w:val="18"/>
          <w:color w:val="auto"/>
        </w:rPr>
      </w:pPr>
    </w:p>
    <w:p>
      <w:pPr>
        <w:ind w:left="460" w:right="40" w:firstLine="443"/>
        <w:spacing w:after="0" w:line="291" w:lineRule="auto"/>
        <w:tabs>
          <w:tab w:leader="none" w:pos="111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Indebtedness of a Subsidiary acquired after the Effective Date or a corporation or other entity merged into or consolidated with the Company or any Subsidiary after the Effective Date and Indebtedness assumed in connection with the acquisition of assets, which Indebtedness in each case, exists at the time of such acquisition, merger or consolidation and is not created in contemplation of such event and where such acquisition, merger or consolidation is permitted by this Agreement and any Permitted Refinancing Indebtedness incurred to Refinance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after giving effect to the acquisition or assumption of such Indebtedness (other than Permitted Refinancing Indebtedness incurred to Refinance such Indebtedness), the Company shall be in pro forma compliance with the financial covenant set forth in Section 7.1(a);</w:t>
      </w:r>
    </w:p>
    <w:p>
      <w:pPr>
        <w:spacing w:after="0" w:line="3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Capital Lease Obligations in connection with the Paris Lease and any Indebtedness the net proceeds of which are used to refinance or replace such Capital Lease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of such Indebtedness does not exceed the value of the real property covered by the Paris Lease;</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additional Capital Lease Obligations in an aggregate principal amount not to exceed $20,000,000 at any one time outstanding;</w:t>
      </w:r>
    </w:p>
    <w:p>
      <w:pPr>
        <w:spacing w:after="0" w:line="90" w:lineRule="exact"/>
        <w:rPr>
          <w:rFonts w:ascii="Arial" w:cs="Arial" w:eastAsia="Arial" w:hAnsi="Arial"/>
          <w:sz w:val="18"/>
          <w:szCs w:val="18"/>
          <w:color w:val="auto"/>
        </w:rPr>
      </w:pPr>
    </w:p>
    <w:p>
      <w:pPr>
        <w:ind w:left="460" w:right="80" w:firstLine="443"/>
        <w:spacing w:after="0" w:line="256" w:lineRule="auto"/>
        <w:tabs>
          <w:tab w:leader="none" w:pos="11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purchase money Indebtedness incurred by the Company or any Subsidiary prior to or within 270 days of the acquisition, lease or improvement of the respective asset permitted under this Agreement in order to finance such acquisition or improvement, and any Permitted Refinancing Indebtedness in respect thereof, in an aggregate principal amount that at the time of, and after giving effect to, the incurrence thereof in an aggregate principal amount not to exceed $25,000,000 at any one time outstanding;</w:t>
      </w:r>
    </w:p>
    <w:p>
      <w:pPr>
        <w:spacing w:after="0" w:line="62" w:lineRule="exact"/>
        <w:rPr>
          <w:rFonts w:ascii="Arial" w:cs="Arial" w:eastAsia="Arial" w:hAnsi="Arial"/>
          <w:sz w:val="18"/>
          <w:szCs w:val="18"/>
          <w:color w:val="auto"/>
        </w:rPr>
      </w:pPr>
    </w:p>
    <w:p>
      <w:pPr>
        <w:ind w:left="460" w:right="960" w:firstLine="443"/>
        <w:spacing w:after="0" w:line="268" w:lineRule="auto"/>
        <w:tabs>
          <w:tab w:leader="none" w:pos="11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Indebtedness of the Company in respect of the Senior Notes and any Permitted Refinancing Indebtedness incurred to Refinance such Indebtedness;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121" w:name="page122"/>
    <w:bookmarkEnd w:id="121"/>
    <w:p>
      <w:pPr>
        <w:ind w:left="460" w:right="12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in connection with Permitted Receivables Financings in an aggregate principal amount not to exceed $50,000,000 at any one time outstanding;</w:t>
      </w:r>
    </w:p>
    <w:p>
      <w:pPr>
        <w:spacing w:after="0" w:line="50" w:lineRule="exact"/>
        <w:rPr>
          <w:rFonts w:ascii="Arial" w:cs="Arial" w:eastAsia="Arial" w:hAnsi="Arial"/>
          <w:sz w:val="18"/>
          <w:szCs w:val="18"/>
          <w:color w:val="auto"/>
        </w:rPr>
      </w:pPr>
    </w:p>
    <w:p>
      <w:pPr>
        <w:ind w:left="460" w:right="660" w:firstLine="443"/>
        <w:spacing w:after="0" w:line="268" w:lineRule="auto"/>
        <w:tabs>
          <w:tab w:leader="none" w:pos="11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Indebtedness in respect of letters of credit issued for the account of the Company or its Subsidiaries (other than letters of credit issued as guaranties for Indebtedness of the Company and its Subsidiaries);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Subordinated Indebtedness of the Company or any of its Subsidiaries;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additional Indebtedness of the Company or any of its Subsidiaries in an aggregate principal amount (for the Company and all Subsidiaries) not to exceed $200,000,000 at any one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the incurrence of such additional Indebtedness, the Company shall be in pro forma compliance with the financial covenant set forth in Section 7.1(a);</w:t>
      </w:r>
    </w:p>
    <w:p>
      <w:pPr>
        <w:spacing w:after="0" w:line="59" w:lineRule="exact"/>
        <w:rPr>
          <w:rFonts w:ascii="Arial" w:cs="Arial" w:eastAsia="Arial" w:hAnsi="Arial"/>
          <w:sz w:val="18"/>
          <w:szCs w:val="18"/>
          <w:color w:val="auto"/>
        </w:rPr>
      </w:pPr>
    </w:p>
    <w:p>
      <w:pPr>
        <w:ind w:left="460" w:right="68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Guarantee Obligations of the Company and its Subsidiaries in respect of Indebtedness of the Company or its Subsidiaries so long as the incurrence of such Indebtedness is permitted under this Agreement;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Specified Non-Recourse Indebtedness.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Create, incur, assume or suffer to exist any Lien upon any of its property, assets or revenues, whether now owned or hereafter acquired, except:</w:t>
      </w:r>
    </w:p>
    <w:p>
      <w:pPr>
        <w:spacing w:after="0" w:line="51" w:lineRule="exact"/>
        <w:rPr>
          <w:sz w:val="20"/>
          <w:szCs w:val="20"/>
          <w:color w:val="auto"/>
        </w:rPr>
      </w:pPr>
    </w:p>
    <w:p>
      <w:pPr>
        <w:ind w:left="460" w:right="60" w:firstLine="443"/>
        <w:spacing w:after="0" w:line="268" w:lineRule="auto"/>
        <w:tabs>
          <w:tab w:leader="none" w:pos="11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created, incurred or assumed by any Subsidiary of the Company which is a registered broker-dealer upon assets owned by such Subsidiary or held for such Subsidiary’s account to secure Trade Debt;</w:t>
      </w:r>
    </w:p>
    <w:p>
      <w:pPr>
        <w:spacing w:after="0" w:line="50" w:lineRule="exact"/>
        <w:rPr>
          <w:rFonts w:ascii="Arial" w:cs="Arial" w:eastAsia="Arial" w:hAnsi="Arial"/>
          <w:sz w:val="18"/>
          <w:szCs w:val="18"/>
          <w:color w:val="auto"/>
        </w:rPr>
      </w:pPr>
    </w:p>
    <w:p>
      <w:pPr>
        <w:ind w:left="460" w:right="760" w:firstLine="443"/>
        <w:spacing w:after="0" w:line="332"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Liens for taxes, assessments, governmental charges or levies not yet due or which are being contested in good faith and by appropriate proceedings if adequate reserves with respect thereto are maintained on the books of the Company in accordance with GAAP;</w:t>
      </w:r>
    </w:p>
    <w:p>
      <w:pPr>
        <w:spacing w:after="0" w:line="4" w:lineRule="exact"/>
        <w:rPr>
          <w:rFonts w:ascii="Arial" w:cs="Arial" w:eastAsia="Arial" w:hAnsi="Arial"/>
          <w:sz w:val="16"/>
          <w:szCs w:val="16"/>
          <w:color w:val="auto"/>
        </w:rPr>
      </w:pPr>
    </w:p>
    <w:p>
      <w:pPr>
        <w:ind w:left="460" w:right="180" w:firstLine="443"/>
        <w:spacing w:after="0" w:line="332" w:lineRule="auto"/>
        <w:tabs>
          <w:tab w:leader="none" w:pos="113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4" w:lineRule="exact"/>
        <w:rPr>
          <w:rFonts w:ascii="Arial" w:cs="Arial" w:eastAsia="Arial" w:hAnsi="Arial"/>
          <w:sz w:val="16"/>
          <w:szCs w:val="16"/>
          <w:color w:val="auto"/>
        </w:rPr>
      </w:pPr>
    </w:p>
    <w:p>
      <w:pPr>
        <w:jc w:val="both"/>
        <w:ind w:left="460" w:right="100" w:firstLine="443"/>
        <w:spacing w:after="0" w:line="256"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pledges or deposits in connection with workmen’s compensation, unemployment insurance and other social security legislation, (ii) licenses, sublicenses, leases or subleases granted in the ordinary course of business not interfering in any material respect with the business of the Company or any of its Subsidiaries, (iii) Liens arising from UCC financing statements regarding operating leases and (iv) Liens on securities that are the subject of repurchase agreements constituting Cash Equivalents;</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1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incurred or pledges or deposits made to secure the performance of bids, tenders, sales contracts, trade contracts (other than for borrowed money), leases, statutory and other obligations required by law, surety and appeal bonds, performance bonds and other obligations of a like nature incurred in the ordinary course of business;</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11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which, in the aggregate; are not substantial, and which do not in any case materially detract from the value of the property subject thereto or interfere with the ordinary conduct of the business of the Company and its Subsidiaries taken as a whole;</w:t>
      </w:r>
    </w:p>
    <w:p>
      <w:pPr>
        <w:spacing w:after="0" w:line="59"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on real property, leasehold improvements and equipment of the Company securing Specified Non-Recourse Indebtedness and/or Specified Recourse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judgment Liens in respect of judgments that do not constitute an Event of Default under clause (h) of Section 9;</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0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purchase money Liens on property acquired or held by the Company or any Subsidiary in the ordinary course of business to secure the purchase price of such property or to secure Indebtedness incurred solely for the purpose of financing the acquisition, construction or improvement of such property or other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0" w:right="299" w:bottom="1440" w:gutter="0" w:footer="0" w:header="0"/>
        </w:sectPr>
      </w:pPr>
    </w:p>
    <w:bookmarkStart w:id="122" w:name="page123"/>
    <w:bookmarkEnd w:id="122"/>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 existing on any such property or assets at the time of acquisition (other than any such Liens created in contemplation of such acquisition that do not secure the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Lien shall extend to or cover any property other than property being acquired, constructed on or improved;</w:t>
      </w:r>
    </w:p>
    <w:p>
      <w:pPr>
        <w:spacing w:after="0" w:line="59" w:lineRule="exact"/>
        <w:rPr>
          <w:sz w:val="20"/>
          <w:szCs w:val="20"/>
          <w:color w:val="auto"/>
        </w:rPr>
      </w:pPr>
    </w:p>
    <w:p>
      <w:pPr>
        <w:ind w:left="460" w:right="40" w:firstLine="443"/>
        <w:spacing w:after="0" w:line="259" w:lineRule="auto"/>
        <w:tabs>
          <w:tab w:leader="none" w:pos="11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assignment of an account or chattel paper (i) as part of the sale of the business out of which such account or chattel paper arose, (ii) for the purpose of collection only, (iii) under a contract to an assignee who is also to do the performance under such contract or (iv) in whole or partial satisfaction of pre-existing Indebtedness;</w:t>
      </w:r>
    </w:p>
    <w:p>
      <w:pPr>
        <w:spacing w:after="0" w:line="59" w:lineRule="exact"/>
        <w:rPr>
          <w:rFonts w:ascii="Arial" w:cs="Arial" w:eastAsia="Arial" w:hAnsi="Arial"/>
          <w:sz w:val="18"/>
          <w:szCs w:val="18"/>
          <w:color w:val="auto"/>
        </w:rPr>
      </w:pPr>
    </w:p>
    <w:p>
      <w:pPr>
        <w:ind w:left="460" w:right="60" w:firstLine="443"/>
        <w:spacing w:after="0" w:line="332" w:lineRule="auto"/>
        <w:tabs>
          <w:tab w:leader="none" w:pos="11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in whole or in part, of any of the Liens permitted by clause (i) above upon the same real property or assets theretofore subject thereto without increase in the amount of Indebtedness secured thereby;</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0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(or proceeds therefrom) that is existing prior to the acquisition thereof by the Company or any Subsidiary or on any property or asset of any Person that becomes a Subsidiary after the Effective Date that is existing prior to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39" w:lineRule="exact"/>
        <w:rPr>
          <w:rFonts w:ascii="Arial" w:cs="Arial" w:eastAsia="Arial" w:hAnsi="Arial"/>
          <w:sz w:val="16"/>
          <w:szCs w:val="16"/>
          <w:color w:val="auto"/>
        </w:rPr>
      </w:pPr>
    </w:p>
    <w:p>
      <w:pPr>
        <w:ind w:left="460" w:right="120" w:firstLine="443"/>
        <w:spacing w:after="0" w:line="268" w:lineRule="auto"/>
        <w:tabs>
          <w:tab w:leader="none" w:pos="119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Lien securing Indebtedness permitted under Sections 7.2(b) (only to the extent required under Requirements of Law), 7.2(e), 7.2(g), 7.2(h), 7.2(i) and 7.2(k);</w:t>
      </w:r>
    </w:p>
    <w:p>
      <w:pPr>
        <w:spacing w:after="0" w:line="50"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on deposit accounts and securities accounts to secure certain pension obligations of Lazard &amp; Co., Services Limited, provided that the aggregate amount of assets in the accounts subject to such Liens shall not exceed £20,000,000 at any one time;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existing on the Effective Date set forth on Schedule 7.2; and</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 Liens securing Indebtedness or other obligations not prohibited under Section 7.2 in an aggregate principal amount outstanding not to exceed $20,000,000 at any time outstanding.</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Limitation on Fundamental Changes</w:t>
      </w:r>
      <w:r>
        <w:rPr>
          <w:rFonts w:ascii="Arial" w:cs="Arial" w:eastAsia="Arial" w:hAnsi="Arial"/>
          <w:sz w:val="16"/>
          <w:szCs w:val="16"/>
          <w:color w:val="auto"/>
        </w:rPr>
        <w:t>. Consummate any merger, amalgamation, statutory share exchange or consolidation or similar transaction (collectively, to “</w:t>
      </w:r>
      <w:r>
        <w:rPr>
          <w:rFonts w:ascii="Arial" w:cs="Arial" w:eastAsia="Arial" w:hAnsi="Arial"/>
          <w:sz w:val="16"/>
          <w:szCs w:val="16"/>
          <w:u w:val="single" w:color="auto"/>
          <w:color w:val="auto"/>
        </w:rPr>
        <w:t>Merge</w:t>
      </w:r>
      <w:r>
        <w:rPr>
          <w:rFonts w:ascii="Arial" w:cs="Arial" w:eastAsia="Arial" w:hAnsi="Arial"/>
          <w:sz w:val="16"/>
          <w:szCs w:val="16"/>
          <w:color w:val="auto"/>
        </w:rPr>
        <w:t>” or a “</w:t>
      </w:r>
      <w:r>
        <w:rPr>
          <w:rFonts w:ascii="Arial" w:cs="Arial" w:eastAsia="Arial" w:hAnsi="Arial"/>
          <w:sz w:val="16"/>
          <w:szCs w:val="16"/>
          <w:u w:val="single" w:color="auto"/>
          <w:color w:val="auto"/>
        </w:rPr>
        <w:t>Merger</w:t>
      </w:r>
      <w:r>
        <w:rPr>
          <w:rFonts w:ascii="Arial" w:cs="Arial" w:eastAsia="Arial" w:hAnsi="Arial"/>
          <w:sz w:val="16"/>
          <w:szCs w:val="16"/>
          <w:color w:val="auto"/>
        </w:rPr>
        <w:t>”, as applicable) involving the Company and its Significant Subsidiaries, or a sale or other disposition of all or substantially all of the assets of Company and its Subsidiaries taken as a whole (any of the foregoing,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except that:</w:t>
      </w:r>
    </w:p>
    <w:p>
      <w:pPr>
        <w:spacing w:after="0" w:line="26" w:lineRule="exact"/>
        <w:rPr>
          <w:sz w:val="20"/>
          <w:szCs w:val="20"/>
          <w:color w:val="auto"/>
        </w:rPr>
      </w:pPr>
    </w:p>
    <w:p>
      <w:pPr>
        <w:ind w:left="460" w:right="60" w:firstLine="443"/>
        <w:spacing w:after="0" w:line="332" w:lineRule="auto"/>
        <w:tabs>
          <w:tab w:leader="none" w:pos="113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Subsidiary of the Company may Merge with or into the Company or enter into a Business Combination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the continuing or surviving person) or Merge with or into, or enter into a Business Combination with, any other Subsidiary;</w:t>
      </w:r>
    </w:p>
    <w:p>
      <w:pPr>
        <w:spacing w:after="0" w:line="4" w:lineRule="exact"/>
        <w:rPr>
          <w:rFonts w:ascii="Arial" w:cs="Arial" w:eastAsia="Arial" w:hAnsi="Arial"/>
          <w:sz w:val="16"/>
          <w:szCs w:val="16"/>
          <w:color w:val="auto"/>
        </w:rPr>
      </w:pPr>
    </w:p>
    <w:p>
      <w:pPr>
        <w:jc w:val="both"/>
        <w:ind w:left="460" w:right="220" w:firstLine="443"/>
        <w:spacing w:after="0" w:line="259"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so long as no Default exists or would result therefrom, any Merger of a Significant Subsidiary, the purpose of which is to effect an asset sale or disposition permitted under this Agreement and not constituting a sale or other disposition of all or substantially all of the assets of the Company and its Subsidiaries taken as a whole; and</w:t>
      </w:r>
    </w:p>
    <w:p>
      <w:pPr>
        <w:spacing w:after="0" w:line="59" w:lineRule="exact"/>
        <w:rPr>
          <w:rFonts w:ascii="Arial" w:cs="Arial" w:eastAsia="Arial" w:hAnsi="Arial"/>
          <w:sz w:val="18"/>
          <w:szCs w:val="18"/>
          <w:color w:val="auto"/>
        </w:rPr>
      </w:pPr>
    </w:p>
    <w:p>
      <w:pPr>
        <w:ind w:left="460" w:firstLine="443"/>
        <w:spacing w:after="0" w:line="294" w:lineRule="auto"/>
        <w:tabs>
          <w:tab w:leader="none" w:pos="113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Business Combination shall be permitted if: (A) more than 50% of, respectively, the outstanding equity interests in, and more than 50% of the combined voting power of the then outstanding voting interests entitled to vote generally in the election of directors or similar governing body, as the case may be, of the person resulting from such Business Combination (including, without limitation, a person which as a result of such transaction owns Holdings or all or substantially all of Holdings’ assets either directly or through one or more subsidiaries) shall be owned by persons who are the beneficial owners of the Company immediately prior to such Business Combination, and (B) no Change in Control shall occur.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7.5 </w:t>
      </w:r>
      <w:r>
        <w:rPr>
          <w:rFonts w:ascii="Arial" w:cs="Arial" w:eastAsia="Arial" w:hAnsi="Arial"/>
          <w:sz w:val="18"/>
          <w:szCs w:val="18"/>
          <w:u w:val="single" w:color="auto"/>
          <w:color w:val="auto"/>
        </w:rPr>
        <w:t>RESERVED.</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Limitation on Optional Payments and Modifications of Subordinated Indebtedness</w:t>
      </w:r>
      <w:r>
        <w:rPr>
          <w:rFonts w:ascii="Arial" w:cs="Arial" w:eastAsia="Arial" w:hAnsi="Arial"/>
          <w:sz w:val="16"/>
          <w:szCs w:val="16"/>
          <w:color w:val="auto"/>
        </w:rPr>
        <w:t xml:space="preserve">. (a) Make any optional payment or prepayment on, or optional redemption or purchase of, any Subordinated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optional payments, prepayments, redemptions or purchases shall be permitted so long as (i) made with the proceeds of Permitted Refinancing Indebtedness with respect thereto, (ii) such payments do not exceed in the aggregate the amount then available for Restricted Payments pursuant to Section 7.8(e), or (iii) the Leverage Ratio is not greater than 4.0 to 1.0 after giving effect to such optional payment, prepayment, redemption or purchase, or (b) make any amendment, modification or change, or consent or agree to any amendment, modification or change to any of the terms relating to the payment or prepayment of principal of or interest on, any Subordinated Indebtedness (other than any such amendment, modification or change which would extend the maturity or reduce the amount of any payment of principal thereof or which would reduce the rate or extend the date for payment of interest thereon or any such amendment, modification or change which would not otherwise cause such Subordinated Indebtedness (assuming that such Indebtedness were incurred after the Effective Date) to fail to constitute Subordinated Indebtedness as defined herein).</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Clauses Restricting Subsidiary Distributions</w:t>
      </w:r>
      <w:r>
        <w:rPr>
          <w:rFonts w:ascii="Arial" w:cs="Arial" w:eastAsia="Arial" w:hAnsi="Arial"/>
          <w:sz w:val="16"/>
          <w:szCs w:val="16"/>
          <w:color w:val="auto"/>
        </w:rPr>
        <w:t xml:space="preserve">. Other than pursuant to the Senior Note Indentures, enter into or suffer to exist or become effective any consensual encumbrance or restriction on the ability of any Significant Subsidiary of the Company to (a) make Restricted Payments in respect of any Capital Stock of such Significant Subsidiary held by, or pay any Indebtedness owed to, the Company or any other Subsidiary of the Company, (b) make loans or advances to, or other Investments in, the Company or any other Subsidiary of the Company or (c) transfer any of its assets to the Company or any other Subsidiary of the Company, except for such encumbrances or restrictions existing under or by reason of (i) any restrictions imposed by law, by any self-regulatory organizations or existing under this Agreement, (ii) any restrictions with respect to a Significant Subsidiary imposed pursuant to an agreement that has been entered into in connection with the Disposition of all or substantially all of the Capital Stock or assets of such Significant Subsidiary, (iii) restrictions and conditions with respect to a Person that is not a Significant Subsidiary on the date hereof, which restrictions and conditions are in existence at the time such Person becomes a Significant Subsidiary and are not incurred in connection with, or in contemplation of, such Person becoming a Significant Subsidiary, (iv) restrictions and conditions no more restrictive than those in the Senior Note Indentures, (v) restrictions and conditions imposed by any agreement relating to secured Indebtedness permitted by this Agreement if such restrictions and conditions apply only to the property or assets securing such Indebtedness, (vi) customary provisions in leases and other contracts restricting the assignment thereof, and (vii) restrictions and conditions imposed by the Pension Reserve Letter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are limited to distributable reserves to be retained by Lazard &amp; Co., Holdings Limited, Lazard &amp; Co., Limited and Lazard &amp; Co., Services Limited with an aggregate value not in excess of £20,000,000 at any one time.</w:t>
      </w:r>
    </w:p>
    <w:p>
      <w:pPr>
        <w:spacing w:after="0" w:line="12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pay any dividend (other than dividends payable solely in common stock (or equivalent) of the Person making such dividend) on, or make any payment on account of, or set apart assets for a sinking or other analogous fund for, the purchase, redemption, defeasance, retirement or other acquisition of, any Capital Stock of the Company or any of its Subsidiaries, whether now or hereafter outstanding, or make any other distribution in respect thereof, either directly or indirectly, whether in cash or property or in obligations of any of the Company or any Subsidiary (collectively, “</w:t>
      </w:r>
      <w:r>
        <w:rPr>
          <w:rFonts w:ascii="Arial" w:cs="Arial" w:eastAsia="Arial" w:hAnsi="Arial"/>
          <w:sz w:val="16"/>
          <w:szCs w:val="16"/>
          <w:u w:val="single" w:color="auto"/>
          <w:color w:val="auto"/>
        </w:rPr>
        <w:t>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Payments</w:t>
      </w:r>
      <w:r>
        <w:rPr>
          <w:rFonts w:ascii="Arial" w:cs="Arial" w:eastAsia="Arial" w:hAnsi="Arial"/>
          <w:sz w:val="16"/>
          <w:szCs w:val="16"/>
          <w:color w:val="auto"/>
        </w:rPr>
        <w:t>”). Notwithstanding the foregoing, the Company and each Subsidiary may make the following Restricted Payments:</w:t>
      </w:r>
    </w:p>
    <w:p>
      <w:pPr>
        <w:spacing w:after="0" w:line="35" w:lineRule="exact"/>
        <w:rPr>
          <w:sz w:val="20"/>
          <w:szCs w:val="20"/>
          <w:color w:val="auto"/>
        </w:rPr>
      </w:pPr>
    </w:p>
    <w:p>
      <w:pPr>
        <w:ind w:left="1140" w:hanging="237"/>
        <w:spacing w:after="0"/>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amounts necessary for tax distributions in accordance with Article VI of the Company’s operating agreement as in effect as of the date 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distributions made in accordance with the Company’s operating agreement, as in effect as of the date hereof, in respect of profit participation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interests;</w:t>
      </w:r>
    </w:p>
    <w:p>
      <w:pPr>
        <w:spacing w:after="0" w:line="83" w:lineRule="exact"/>
        <w:rPr>
          <w:rFonts w:ascii="Arial" w:cs="Arial" w:eastAsia="Arial" w:hAnsi="Arial"/>
          <w:sz w:val="16"/>
          <w:szCs w:val="16"/>
          <w:color w:val="auto"/>
        </w:rPr>
      </w:pPr>
    </w:p>
    <w:p>
      <w:pPr>
        <w:ind w:left="460" w:right="80" w:firstLine="443"/>
        <w:spacing w:after="0" w:line="268" w:lineRule="auto"/>
        <w:tabs>
          <w:tab w:leader="none" w:pos="113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Restricted Payments made by any Subsidiary of the Company to the Company or any other Subsidiary of the Company or ratably with respect to its Capital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24" w:name="page125"/>
    <w:bookmarkEnd w:id="124"/>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 rata distributions to any holders of Capital Stock in a joint venture;</w:t>
      </w:r>
    </w:p>
    <w:p>
      <w:pPr>
        <w:spacing w:after="0" w:line="90" w:lineRule="exact"/>
        <w:rPr>
          <w:rFonts w:ascii="Arial" w:cs="Arial" w:eastAsia="Arial" w:hAnsi="Arial"/>
          <w:sz w:val="18"/>
          <w:szCs w:val="18"/>
          <w:color w:val="auto"/>
        </w:rPr>
      </w:pPr>
    </w:p>
    <w:p>
      <w:pPr>
        <w:ind w:left="460" w:firstLine="443"/>
        <w:spacing w:after="0" w:line="291" w:lineRule="auto"/>
        <w:tabs>
          <w:tab w:leader="none" w:pos="113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Restricted Payments in an amount equal to (i) $38,000,000 per annum,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 cumulative amount from and after May 10, 2005 equal to the sum of (A) 40% of Consolidated Net Income as determined in accordance with the financial statements for the relevant period or periods,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proceeds received by the Company after the May 10, 2005 from the issuance of its Capital Stock and capital contributions,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principal amount of any convertible or exchangeable securities actually converted or exchanged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the aggregate amount of restricted payments made during the period from May 10, 2005, to the Effective Date pursuant to Section 7.8(e) of the Existing Credit Agreement 2 and Section 7.8(e) of the Existing Credit Agreement 1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(iv) at any time, the aggregate amount of payments made pursuant to Section 7.6(a)(ii) hereto;</w:t>
      </w:r>
    </w:p>
    <w:p>
      <w:pPr>
        <w:spacing w:after="0" w:line="39" w:lineRule="exact"/>
        <w:rPr>
          <w:rFonts w:ascii="Arial" w:cs="Arial" w:eastAsia="Arial" w:hAnsi="Arial"/>
          <w:sz w:val="16"/>
          <w:szCs w:val="16"/>
          <w:color w:val="auto"/>
        </w:rPr>
      </w:pPr>
    </w:p>
    <w:p>
      <w:pPr>
        <w:ind w:left="460" w:right="100" w:firstLine="443"/>
        <w:spacing w:after="0" w:line="268" w:lineRule="auto"/>
        <w:tabs>
          <w:tab w:leader="none" w:pos="111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Restricted Payments necessary for any parent of the Company to pay operating expenses attributable to the Company and other similar corporate overhead costs and expenses incurred in the ordinary course of business which are attributable to the Company;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no Event of Default has occurred and is continuing, payments of dividends on any preferred stock;</w:t>
      </w:r>
    </w:p>
    <w:p>
      <w:pPr>
        <w:spacing w:after="0" w:line="90" w:lineRule="exact"/>
        <w:rPr>
          <w:rFonts w:ascii="Arial" w:cs="Arial" w:eastAsia="Arial" w:hAnsi="Arial"/>
          <w:sz w:val="18"/>
          <w:szCs w:val="18"/>
          <w:color w:val="auto"/>
        </w:rPr>
      </w:pPr>
    </w:p>
    <w:p>
      <w:pPr>
        <w:ind w:left="460" w:right="500" w:firstLine="443"/>
        <w:spacing w:after="0" w:line="259"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Restricted Payments made by the Company or by any Significant Subsidiary of the Company, in connection with the purchase of Holdings Capital Stock in an amount equal to 100% of the market value of Holdings Capital Stock that is scheduled to vest during such year under an equity compensation plan authorized and approved by the Board of Directors of the Company;</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dividend payments to employees holding Capital Stock received upon the exercise of compensation options under a benefit plan; and</w:t>
      </w:r>
    </w:p>
    <w:p>
      <w:pPr>
        <w:spacing w:after="0" w:line="113" w:lineRule="exact"/>
        <w:rPr>
          <w:rFonts w:ascii="Arial" w:cs="Arial" w:eastAsia="Arial" w:hAnsi="Arial"/>
          <w:sz w:val="16"/>
          <w:szCs w:val="16"/>
          <w:color w:val="auto"/>
        </w:rPr>
      </w:pPr>
    </w:p>
    <w:p>
      <w:pPr>
        <w:ind w:left="1120" w:hanging="217"/>
        <w:spacing w:after="0"/>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Restricted Payments made in connection with the Lazard Asset Management Equity Plan.</w:t>
      </w:r>
    </w:p>
    <w:p>
      <w:pPr>
        <w:spacing w:after="0" w:line="171" w:lineRule="exact"/>
        <w:rPr>
          <w:sz w:val="20"/>
          <w:szCs w:val="20"/>
          <w:color w:val="auto"/>
        </w:rPr>
      </w:pPr>
    </w:p>
    <w:p>
      <w:pPr>
        <w:jc w:val="both"/>
        <w:ind w:right="140" w:firstLine="456"/>
        <w:spacing w:after="0" w:line="305" w:lineRule="auto"/>
        <w:rPr>
          <w:sz w:val="20"/>
          <w:szCs w:val="20"/>
          <w:color w:val="auto"/>
        </w:rPr>
      </w:pPr>
      <w:r>
        <w:rPr>
          <w:rFonts w:ascii="Arial" w:cs="Arial" w:eastAsia="Arial" w:hAnsi="Arial"/>
          <w:sz w:val="15"/>
          <w:szCs w:val="15"/>
          <w:color w:val="auto"/>
        </w:rPr>
        <w:t xml:space="preserve">7.9 </w:t>
      </w:r>
      <w:r>
        <w:rPr>
          <w:rFonts w:ascii="Arial" w:cs="Arial" w:eastAsia="Arial" w:hAnsi="Arial"/>
          <w:sz w:val="15"/>
          <w:szCs w:val="15"/>
          <w:u w:val="single" w:color="auto"/>
          <w:color w:val="auto"/>
        </w:rPr>
        <w:t>Disposition of Designated Subsidiaries</w:t>
      </w:r>
      <w:r>
        <w:rPr>
          <w:rFonts w:ascii="Arial" w:cs="Arial" w:eastAsia="Arial" w:hAnsi="Arial"/>
          <w:sz w:val="15"/>
          <w:szCs w:val="15"/>
          <w:color w:val="auto"/>
        </w:rPr>
        <w:t>. Enter into any Designated Asset Sale, if, after giving effect to such Designated Asset Sale, the Company shall own, directly or indirectly, Capital Stock of any Designated Subsidiary representing less than a majority of (a) the Capital Stock of such Designated Subsidiary,</w:t>
      </w:r>
    </w:p>
    <w:p>
      <w:pPr>
        <w:ind w:right="40" w:firstLine="8"/>
        <w:spacing w:after="0" w:line="261" w:lineRule="auto"/>
        <w:tabs>
          <w:tab w:leader="none" w:pos="2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Capital Stock of such Designated Subsidiary entitled to vote generally in the election of directors or (c) the right to receive dividends or other distributions from such Designated Subsidiary.</w:t>
      </w:r>
    </w:p>
    <w:p>
      <w:pPr>
        <w:spacing w:after="0" w:line="30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SECTION 8. RESERVED</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SECTION 9. EVENTS OF DEFAULT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90" w:lineRule="exact"/>
        <w:rPr>
          <w:sz w:val="20"/>
          <w:szCs w:val="20"/>
          <w:color w:val="auto"/>
        </w:rPr>
      </w:pPr>
    </w:p>
    <w:p>
      <w:pPr>
        <w:ind w:left="460" w:right="80" w:firstLine="443"/>
        <w:spacing w:after="0" w:line="259" w:lineRule="auto"/>
        <w:tabs>
          <w:tab w:leader="none" w:pos="11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shall fail to pay any principal of any Loan when any such amount becomes due in accordance with the terms hereof; or to pay any interest on any Loan, or any other amount payable hereunder, within five (5) days after such interest or other amount becomes due in accordance with the terms hereof; or</w:t>
      </w:r>
    </w:p>
    <w:p>
      <w:pPr>
        <w:spacing w:after="0" w:line="59" w:lineRule="exact"/>
        <w:rPr>
          <w:rFonts w:ascii="Arial" w:cs="Arial" w:eastAsia="Arial" w:hAnsi="Arial"/>
          <w:sz w:val="18"/>
          <w:szCs w:val="18"/>
          <w:color w:val="auto"/>
        </w:rPr>
      </w:pPr>
    </w:p>
    <w:p>
      <w:pPr>
        <w:ind w:left="460" w:right="240" w:firstLine="443"/>
        <w:spacing w:after="0" w:line="357" w:lineRule="auto"/>
        <w:tabs>
          <w:tab w:leader="none" w:pos="114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Any representation or warranty made by the Company herein or pursuant hereto or which is contained in any certificate or other document furnished at any time under or in connection with this Agreement shall prove to have been incorrect in any material respect on or as of the date made; or</w:t>
      </w:r>
    </w:p>
    <w:p>
      <w:pPr>
        <w:ind w:left="460" w:right="220" w:firstLine="443"/>
        <w:spacing w:after="0" w:line="332" w:lineRule="auto"/>
        <w:tabs>
          <w:tab w:leader="none" w:pos="113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 shall default in the observance or performance of any agreement contained in Section 6.3(a) (with respect to the existence of the Company only), Section 6.6(a) or in Section 7 (other than, so long as there are no Loans outstanding under this Agreement, Section 7.1); or</w:t>
      </w:r>
    </w:p>
    <w:p>
      <w:pPr>
        <w:spacing w:after="0" w:line="4" w:lineRule="exact"/>
        <w:rPr>
          <w:rFonts w:ascii="Arial" w:cs="Arial" w:eastAsia="Arial" w:hAnsi="Arial"/>
          <w:sz w:val="16"/>
          <w:szCs w:val="16"/>
          <w:color w:val="auto"/>
        </w:rPr>
      </w:pPr>
    </w:p>
    <w:p>
      <w:pPr>
        <w:ind w:left="460" w:right="360" w:firstLine="443"/>
        <w:spacing w:after="0" w:line="370" w:lineRule="auto"/>
        <w:tabs>
          <w:tab w:leader="none" w:pos="114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Company shall default in the observance of the financial covenants set forth in Section 7.1 on the last day of any fiscal quarter on which there are no Loans outstanding under this Agreement and such default shall continue unremedied at the end of the next succeeding fiscal quarter; 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25" w:name="page126"/>
    <w:bookmarkEnd w:id="125"/>
    <w:p>
      <w:pPr>
        <w:ind w:right="420" w:firstLine="443"/>
        <w:spacing w:after="0" w:line="259" w:lineRule="auto"/>
        <w:tabs>
          <w:tab w:leader="none" w:pos="677" w:val="left"/>
        </w:tabs>
        <w:numPr>
          <w:ilvl w:val="1"/>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default in the observance or performance of any other agreement contained in this Agreement (other than as provided in paragraphs (a) through (d) of this Section), and such default shall continue unremedied for a period of 30 days following notice thereof by the Administrative Agent to the Company; or</w:t>
      </w:r>
    </w:p>
    <w:p>
      <w:pPr>
        <w:spacing w:after="0" w:line="59" w:lineRule="exact"/>
        <w:rPr>
          <w:rFonts w:ascii="Arial" w:cs="Arial" w:eastAsia="Arial" w:hAnsi="Arial"/>
          <w:sz w:val="18"/>
          <w:szCs w:val="18"/>
          <w:color w:val="auto"/>
        </w:rPr>
      </w:pPr>
    </w:p>
    <w:p>
      <w:pPr>
        <w:ind w:right="40" w:firstLine="443"/>
        <w:spacing w:after="0" w:line="290" w:lineRule="auto"/>
        <w:tabs>
          <w:tab w:leader="none" w:pos="65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Company or any of its Significant Subsidiaries shall (i) default in any payment of principal of or interest on any Indebtedness (other than the Loans) in excess of $10,000,000 (or in the case of the Company, $25,000,000) beyond the period of grace, if any, provided in the instrument or agreement (or any extension of such period granted to the Company)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if required, such Indebtedness in excess of $10,000,000 (or in the case of the Company, $25,000,000) to become due prior to its stated maturity; or</w:t>
      </w:r>
    </w:p>
    <w:p>
      <w:pPr>
        <w:spacing w:after="0" w:line="37" w:lineRule="exact"/>
        <w:rPr>
          <w:rFonts w:ascii="Arial" w:cs="Arial" w:eastAsia="Arial" w:hAnsi="Arial"/>
          <w:sz w:val="16"/>
          <w:szCs w:val="16"/>
          <w:color w:val="auto"/>
        </w:rPr>
      </w:pPr>
    </w:p>
    <w:p>
      <w:pPr>
        <w:ind w:firstLine="443"/>
        <w:spacing w:after="0" w:line="284" w:lineRule="auto"/>
        <w:tabs>
          <w:tab w:leader="none" w:pos="68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 Any Person shall engage in any non-exempt Prohibited Transaction involving any Plan; (ii) any failure to satisfy the minimum funding standards (within the meaning of Sections 412 or 430 of the Code or Section 302 of ERISA), whether or not waived, shall exist with respect to any Plan or any Lien in favor of the PBGC or a Plan shall arise on the assets of the Company or any of its Significant Subsidiaries or any Commonly Controlled Entity;</w:t>
      </w:r>
    </w:p>
    <w:p>
      <w:pPr>
        <w:spacing w:after="0" w:line="1" w:lineRule="exact"/>
        <w:rPr>
          <w:rFonts w:ascii="Arial" w:cs="Arial" w:eastAsia="Arial" w:hAnsi="Arial"/>
          <w:sz w:val="16"/>
          <w:szCs w:val="16"/>
          <w:color w:val="auto"/>
        </w:rPr>
      </w:pPr>
    </w:p>
    <w:p>
      <w:pPr>
        <w:ind w:firstLine="4"/>
        <w:spacing w:after="0" w:line="281" w:lineRule="auto"/>
        <w:tabs>
          <w:tab w:leader="none" w:pos="30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filing shall be made pursuant to Section 412(c) of the Code or Section 302(c) of ERISA of an application for a waiver of the minimum funding standard with respect to any Single Employer Plan, or there shall be a failure by the Company or any Commonly Controlled Entity to make by its due date a required contribution to any Single Employer Plan or Multiemployer Plan; (iv) a determination shall be made that any Single Employer Plan is, or is expected to be, in “at risk” status (within the meaning of Section 430 of the Code or Section 303 of ERISA); (v)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Banks’ reasonable opinion, reasonably likely to result in the termination of such Plan for purposes of Title IV of ERISA; (vi) any Single Employer Plan shall terminate for purposes of Title IV of ERISA;</w:t>
      </w:r>
    </w:p>
    <w:p>
      <w:pPr>
        <w:spacing w:after="0" w:line="4" w:lineRule="exact"/>
        <w:rPr>
          <w:rFonts w:ascii="Arial" w:cs="Arial" w:eastAsia="Arial" w:hAnsi="Arial"/>
          <w:sz w:val="16"/>
          <w:szCs w:val="16"/>
          <w:color w:val="auto"/>
        </w:rPr>
      </w:pPr>
    </w:p>
    <w:p>
      <w:pPr>
        <w:ind w:right="20" w:firstLine="4"/>
        <w:spacing w:after="0" w:line="287" w:lineRule="auto"/>
        <w:tabs>
          <w:tab w:leader="none" w:pos="34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Company, any of its Significant Subsidiaries or any Commonly Controlled Entity shall, or shall be reasonably likely to, incur any liability in connection with a withdrawal from, or the Insolvency or Reorganization of, a Multiemployer Plan or there shall be a determination that any Multiemployer Plan is, or is expected to be, in “endangered” or “critical” status (within the meaning of Section 432 of the Code or Section 305 of ERISA); (viii) with respect to any Foreign Plan, there shall occur (A) a failure to make or, if applicable, accrue in accordance with normal accounting practices, any employer or employee contributions required by applicable law or by the terms of such Foreign Plan, (B) a failure to register or loss of good standing with applicable regulatory authorities of any such Foreign Plan required to be registered; or (C) a failure of any Foreign Plan to comply with any material provisions of applicable law and regulations or with the material terms of such Foreign Plan; or (ix) any other similar event or condition shall occur or exist with respect to a Plan; and in each case in clauses (i) through (ix) above, such event or condition, together with all other such events or conditions, if any, could subject the Company or any Significant Subsidiary to any tax, penalty or other liabilities that, in the aggregate, would have a Material Adverse Effect; or</w:t>
      </w:r>
    </w:p>
    <w:p>
      <w:pPr>
        <w:spacing w:after="0" w:line="39" w:lineRule="exact"/>
        <w:rPr>
          <w:rFonts w:ascii="Arial" w:cs="Arial" w:eastAsia="Arial" w:hAnsi="Arial"/>
          <w:sz w:val="16"/>
          <w:szCs w:val="16"/>
          <w:color w:val="auto"/>
        </w:rPr>
      </w:pPr>
    </w:p>
    <w:p>
      <w:pPr>
        <w:ind w:right="160" w:firstLine="443"/>
        <w:spacing w:after="0" w:line="306" w:lineRule="auto"/>
        <w:tabs>
          <w:tab w:leader="none" w:pos="68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One or more judgments or decrees shall be entered against the Company or any of its Significant Subsidiaries involving in the aggregate a liability (not paid or to the extent not covered by insurance) of $10,000,000 (or in the case of the Company, $25,000,000) or more and all such judgments or decrees shall not have been vacated, discharged, stayed or bonded pending appeal within 60 days from the entry thereof; or</w:t>
      </w:r>
    </w:p>
    <w:p>
      <w:pPr>
        <w:spacing w:after="0" w:line="25" w:lineRule="exact"/>
        <w:rPr>
          <w:rFonts w:ascii="Arial" w:cs="Arial" w:eastAsia="Arial" w:hAnsi="Arial"/>
          <w:sz w:val="16"/>
          <w:szCs w:val="16"/>
          <w:color w:val="auto"/>
        </w:rPr>
      </w:pPr>
    </w:p>
    <w:p>
      <w:pPr>
        <w:ind w:firstLine="443"/>
        <w:spacing w:after="0" w:line="259" w:lineRule="auto"/>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 the Company or any of its Significant Subsidiaries shall commence any case, proceeding or other action (A) under any existing or future law of any jurisdiction, domestic or foreign, relating to bankruptcy, insolvency, reorganization or relief of debtors, seeking to have an order for relief entered with respect to it,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700" w:top="280" w:right="259" w:bottom="1440" w:gutter="0" w:footer="0" w:header="0"/>
        </w:sectPr>
      </w:pPr>
    </w:p>
    <w:bookmarkStart w:id="126" w:name="page127"/>
    <w:bookmarkEnd w:id="126"/>
    <w:p>
      <w:pPr>
        <w:ind w:left="460"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Company or any of its Significant Subsidiaries shall make a general assignment for the benefit of its creditors; or</w:t>
      </w:r>
    </w:p>
    <w:p>
      <w:pPr>
        <w:spacing w:after="0" w:line="1" w:lineRule="exact"/>
        <w:rPr>
          <w:sz w:val="20"/>
          <w:szCs w:val="20"/>
          <w:color w:val="auto"/>
        </w:rPr>
      </w:pPr>
    </w:p>
    <w:p>
      <w:pPr>
        <w:ind w:left="460" w:right="20" w:firstLine="4"/>
        <w:spacing w:after="0" w:line="287" w:lineRule="auto"/>
        <w:tabs>
          <w:tab w:leader="none" w:pos="71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there shall be commenced against the Company or any of its Significant Subsidiaries any case, proceeding or other action of a nature referred to in clause (i) above that (A) results in the entry of an order for relief or any such adjudication or appointment or (B) remains undismissed or undischarged for a period of 60 days; or (iii) there shall be commenced against the Company or any of its Significant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Company or any of its Significant Subsidiaries shall take any action in furtherance of, or indicating its consent to, approval of, or acquiescence in, any of the acts set forth in clause (i), (ii), or (iii) above; or (v) the Company or any of its Significant Subsidiaries shall generally not, or shall be unable to, or shall admit in writing its inability to, pay its debts as they become due; or</w:t>
      </w:r>
    </w:p>
    <w:p>
      <w:pPr>
        <w:spacing w:after="0" w:line="43" w:lineRule="exact"/>
        <w:rPr>
          <w:rFonts w:ascii="Arial" w:cs="Arial" w:eastAsia="Arial" w:hAnsi="Arial"/>
          <w:sz w:val="16"/>
          <w:szCs w:val="16"/>
          <w:color w:val="auto"/>
        </w:rPr>
      </w:pPr>
    </w:p>
    <w:p>
      <w:pPr>
        <w:ind w:left="1120" w:hanging="217"/>
        <w:spacing w:after="0"/>
        <w:tabs>
          <w:tab w:leader="none" w:pos="11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90" w:lineRule="exact"/>
        <w:rPr>
          <w:sz w:val="20"/>
          <w:szCs w:val="20"/>
          <w:color w:val="auto"/>
        </w:rPr>
      </w:pPr>
    </w:p>
    <w:p>
      <w:pPr>
        <w:ind w:left="460" w:right="120"/>
        <w:spacing w:after="0" w:line="283" w:lineRule="auto"/>
        <w:rPr>
          <w:sz w:val="20"/>
          <w:szCs w:val="20"/>
          <w:color w:val="auto"/>
        </w:rPr>
      </w:pPr>
      <w:r>
        <w:rPr>
          <w:rFonts w:ascii="Arial" w:cs="Arial" w:eastAsia="Arial" w:hAnsi="Arial"/>
          <w:sz w:val="16"/>
          <w:szCs w:val="16"/>
          <w:color w:val="auto"/>
        </w:rPr>
        <w:t>then, and in any such event, (A) if such event is an Event of Default specified in clause (i) or (ii) of paragraph (i) above with respect to the Company, automatically the Commitments shall immediately terminate and the Loans (with accrued interest thereon) and all other amounts owing under this Agreement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w:t>
      </w:r>
    </w:p>
    <w:p>
      <w:pPr>
        <w:spacing w:after="0" w:line="2" w:lineRule="exact"/>
        <w:rPr>
          <w:sz w:val="20"/>
          <w:szCs w:val="20"/>
          <w:color w:val="auto"/>
        </w:rPr>
      </w:pPr>
    </w:p>
    <w:p>
      <w:pPr>
        <w:ind w:left="460" w:right="120" w:firstLine="4"/>
        <w:spacing w:after="0" w:line="295" w:lineRule="auto"/>
        <w:tabs>
          <w:tab w:leader="none" w:pos="71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with the consent of the Required Lenders, the Administrative Agent may, or upon the request of the Required Lenders, the Administrative Agent shall, by notice to the Company, declare the Loans (with accrued interest thereon) and all other amounts owing under this Agreement to be due and payable forthwith, whereupon the same shall immediately become due and payable. Except as expressly provided above in this Section, presentment, demand, protest and all other notices of any kind are hereby expressly waived by the Company.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 RESERVED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11. THE ADMINISTRATIVE AGENT</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Appointment</w:t>
      </w:r>
      <w:r>
        <w:rPr>
          <w:rFonts w:ascii="Arial" w:cs="Arial" w:eastAsia="Arial" w:hAnsi="Arial"/>
          <w:sz w:val="16"/>
          <w:szCs w:val="16"/>
          <w:color w:val="auto"/>
        </w:rPr>
        <w:t>. Each Bank hereby irrevocably designates and appoints Citibank, N.A., as the Administrative Agent of such Bank under this Agreement, and irrevocably authorizes Citibank, N.A., as the Administrative Agent for such Bank, to take such action on its behalf under the provisions of this Agreement and to exercise such powers and perform such duties as are expressly delegated to the Administrative Agent by the terms of this Agreement,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the Banks, and no implied covenants, function, responsibilities, duties, obligations or liabilities shall be read into this Agreement or otherwise exist against the Administrative Agent.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execute any of its duties under this Agreement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127" w:name="page128"/>
    <w:bookmarkEnd w:id="12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the Administrative Agent nor any of its officers, directors, employees, agents, attorneys-in-fact or Affiliates shall be</w:t>
      </w:r>
    </w:p>
    <w:p>
      <w:pPr>
        <w:spacing w:after="0" w:line="38" w:lineRule="exact"/>
        <w:rPr>
          <w:sz w:val="20"/>
          <w:szCs w:val="20"/>
          <w:color w:val="auto"/>
        </w:rPr>
      </w:pPr>
    </w:p>
    <w:p>
      <w:pPr>
        <w:ind w:firstLine="8"/>
        <w:spacing w:after="0" w:line="286" w:lineRule="auto"/>
        <w:tabs>
          <w:tab w:leader="none" w:pos="21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liable for any action lawfully taken or omitted to be taken by it or such Person under or in connection with this Agreement (except for its or such Person’s own gross negligence, bad faith or willful misconduct), or (ii) responsible in any manner to the Banks for any recitals, statements, representations or warranties made by the Company or any officer thereof contained in this Agreement or in any certificate, report, statement or other document referred to or provided for in, or received by the Administrative Agent under or in connection with, this Agreement or for the value, validity, effectiveness, genuineness, enforceability or sufficiency of this Agreement or the Notes or for any failure of the Company to perform its obligations hereunder. The Administrative Agent shall not be under any obligation to the Banks to ascertain or to inquire as to the observance or performance of any of the agreements contained in, or conditions of, this Agreement, or to inspect the properties, books or records of the Company. The Administrative Agent will not be required to take any action that, in its opinion or the opinion of its counsel, may expose the Administrative Agent to liability or that is contrary to any Credit Document or applicable law, including for the avoidance of doubt, any action that may be in violation of the automatic stay under any bankruptcy or insolvency proceeding or that may effect a forfeiture, modification or termination of property of a Defaulting Lender in violation of any bankruptcy or insolvency proceeding.</w:t>
      </w:r>
    </w:p>
    <w:p>
      <w:pPr>
        <w:spacing w:after="0" w:line="12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Reliance by Agent</w:t>
      </w:r>
      <w:r>
        <w:rPr>
          <w:rFonts w:ascii="Arial" w:cs="Arial" w:eastAsia="Arial" w:hAnsi="Arial"/>
          <w:sz w:val="16"/>
          <w:szCs w:val="16"/>
          <w:color w:val="auto"/>
        </w:rPr>
        <w:t>. The Administrative Agent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Company),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unless it shall first receive such advice or concurrence of the Banks as it deems appropriate or it shall first be indemnified to its satisfaction by the Banks against any and all liability and expense which may be incurred by it by reason of taking or continuing to take any such action. The Administrative Agent shall in all cases be fully protected in acting, or in refraining from acting, under this Agreement and the Notes in accordance with a request of the Banks, and such request and any action taken or failure to act pursuant thereto shall be binding upon the Banks and all future holders of the Notes.</w:t>
      </w:r>
    </w:p>
    <w:p>
      <w:pPr>
        <w:spacing w:after="0" w:line="12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The Administrative Agent shall not be deemed to have knowledge or notice of the occurrence of any Default or Event of Default hereunder unless the Administrative Agent has received notice from a Bank or the Company referring to this Agreement, describing such Default or Event of Default and stating that such notice is a “notice of default” or “notice of event of default”, as the case may be. In the event that the Administrative Agent receives such a notice, the Administrative Agent shall give notice thereof to the Banks. The Administrative Agent shall take such action with respect to such Default or Event of Default as shall be reasonably directed by the Banks jointly;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Banks.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Non-Reliance on Administrative Agent</w:t>
      </w:r>
      <w:r>
        <w:rPr>
          <w:rFonts w:ascii="Arial" w:cs="Arial" w:eastAsia="Arial" w:hAnsi="Arial"/>
          <w:sz w:val="16"/>
          <w:szCs w:val="16"/>
          <w:color w:val="auto"/>
        </w:rPr>
        <w:t>. Each Bank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the Company, shall be deemed to constitute any representation or warranty by the Administrative Agent to such Bank. Each Bank represents to the Administrative Agent that it has, independently and without reliance upon the Administrative Agent, and based on such documents and information as it has deemed appropriate, made its own appraisal of and investigation into the business, operations, property, financial and other condition and creditworthiness of the Company and made its own decision to make its Loans hereunder and enter into this Agreement. Each Bank also represents that it will,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128" w:name="page129"/>
    <w:bookmarkEnd w:id="128"/>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independently and without reliance upon the Administrative Agent,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operations, property, financial and other condition and creditworthiness of the Company. Except for notices, reports and other documents expressly required to be furnished to the Banks by the Administrative Agent hereunder, the Administrative Agent shall not have any duty or responsibility to provide any Bank with any credit or other information concerning the business, operations, property, financial and other condition or creditworthiness of the Company which may come into the possession of the Administrative Agent or any of its officers, directors, employees, agents, attorneys-in-fact or Affiliates.</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Each Bank agrees to indemnify the Administrative Agent in its capacity as such (to the extent not reimbursed by the Company and without limiting the obligation of the Company to do so), ratably according to the amount of its original Commitment and the amount of the original Commitment of the Administrative Agent,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Banks shall not be liable for the payment of any portion of such liabilities, obligations, losses, damages, penalties, actions, judgments, suits, costs, expenses or disbursements resulting solely from the Administrative Agent’s gross negligence or willful misconduct. The agreements in this Section shall survive the payment of the Notes and all other amounts payable hereunder.</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Agent in Its Individual Capacity</w:t>
      </w:r>
      <w:r>
        <w:rPr>
          <w:rFonts w:ascii="Arial" w:cs="Arial" w:eastAsia="Arial" w:hAnsi="Arial"/>
          <w:sz w:val="16"/>
          <w:szCs w:val="16"/>
          <w:color w:val="auto"/>
        </w:rPr>
        <w:t>. The Administrative Agent and its Affiliates may make loans to, accept deposits from and generally engage in any kind of business with the Company as though the Administrative Agent were not the Administrative Agent hereunder. With respect to its Loans made or renewed by it and any Note issued to it, the Administrative Agent shall have the same rights and powers under this Agreement as any Bank and may exercise the same as though it were not the Administrative Agent, and the terms “Bank” and “Banks” shall include the Administrative Agent in its individual capacity.</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Successor Agent</w:t>
      </w:r>
      <w:r>
        <w:rPr>
          <w:rFonts w:ascii="Arial" w:cs="Arial" w:eastAsia="Arial" w:hAnsi="Arial"/>
          <w:sz w:val="16"/>
          <w:szCs w:val="16"/>
          <w:color w:val="auto"/>
        </w:rPr>
        <w:t>. The Administrative Agent may resign as Administrative Agent upon 10 days’ notice to the Company and the Banks. If the Administrative Agent shall resign as Administrative Agent under this Agreement, then the Banks shall appoint a successor agent, which successor agent shall be subject to approval by the Company and the Administrative Agent, whereupon such successor agent shall succeed to the rights, powers and duties of the Administrative Agent, and the term “Agent” shall mean such successor agent effective upon its appointment, and the former Agent’s rights, powers and duties as Administrative Agent shall be terminated, without any other or further act or deed on the part of such former Agent or any of the parties to this Agreement or any holders of the Notes. After any retiring Agent’s resignation hereunder as Administrative Agent, the provisions of this Section 11.9 shall inure to its benefit as to any actions taken or omitted to be taken by it while it was Administrative Agent under this Agreement.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12. MISCELLANEOUS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Neither this Agreement, any Note, nor any terms hereof or thereof may be amended, supplemented or modified except in accordance with the provisions of this Section. The Required Lenders and the Company or, with the written consent of the Required Lenders, the Administrative Agent and the Company may, from time to time, (a) enter into written amendments, supplements or modifications hereto for the purpose of adding any provisions to this Agreement or changing in any manner the rights of the Banks or of the Company hereunder or (b) waive, on such terms and conditions as the Required Lenders or the Administrative Agent, as the case may be, may specify in such instrument, any of the requirements of this Agreement or 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129" w:name="page130"/>
    <w:bookmarkEnd w:id="12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 such amendment, supplement or modification shall (i) forgive the principal amount or extend the final scheduled date of maturity of any Loan, reduce the stated rate of any interest or fee payable hereunder or extend the scheduled date of any payment thereof, or increase the amount or extend the expiration date of any Bank’s Commitment, eliminate or reduce the voting rights of any Bank under this Section 12.1, amend, modify or waive any provision of Section 2.10 (except for the reduction of Commitments pursuant to Section 2.19 or the reduction, in connection with an amendment approved by the Required Lenders, of the Commitment of any Bank that does not consent to such amendment if such reduction of the non-consenting Banks was approved by such amendment) or 12.7 (only if such amendment or modification makes the assignment and participation provisions more restrictive to the Bank), in each case without the written consent of each Bank directly affected thereby; (ii) reduce any percentage specified in the definition of Required Lenders without the written consent of all Banks; or (iii) amend, modify or waive any provision of Section 11 without the written consent of the Administrative Agent. Any such waiver and any such amendment, supplement or modification shall be binding upon the Company, the Banks, the Administrative Agent and all future holders of the Loans. In the case of any waiver, the Company, the Banks and the Administrative Agent shall be restored to their former position and rights hereunder, and any Default or Event of Default waived shall be deemed to be cured and not continuing; but no such waiver shall extend to any subsequent or other Default or Event of Default, or impair any right consequent thereon.</w:t>
      </w:r>
    </w:p>
    <w:p>
      <w:pPr>
        <w:spacing w:after="0" w:line="2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 All notices, requests and demands to or upon the respective parties hereto to be effective shall be in writing (including by facsimile), and, unless otherwise expressly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herein, shall be deemed to have been duly given or made when delivered by hand, or when deposited in the mail, postage prepaid, or, in the case of facsimile notice, when sent, confirmation received, addressed as follows in the case of the Company, the Banks or the Administrative Agent, or to such other address as may be hereafter notified by the respective parties hereto and any future holders of the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632-6670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Address: matthieu.bucaille@lazard.com</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Lazard Group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Assistant Treasurer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632-6670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Address: kurt.langer@lazard.com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Administrative Agent: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1615 Brett Road, OPS 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Castle, Delaware 19720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Robert Ross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994-0961 Telephone: (302) 323-5499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Address: Robert.Ross@citigroup.com</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Copy to: GLAgentOfficeOps@citi.com</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280" w:right="339" w:bottom="1440" w:gutter="0" w:footer="0" w:header="0"/>
        </w:sectPr>
      </w:pPr>
    </w:p>
    <w:bookmarkStart w:id="130" w:name="page131"/>
    <w:bookmarkEnd w:id="130"/>
    <w:tbl>
      <w:tblPr>
        <w:tblLayout w:type="fixed"/>
        <w:tblInd w:w="460" w:type="dxa"/>
        <w:tblCellMar>
          <w:top w:w="0" w:type="dxa"/>
          <w:left w:w="0" w:type="dxa"/>
          <w:bottom w:w="0" w:type="dxa"/>
          <w:right w:w="0" w:type="dxa"/>
        </w:tblCellMar>
      </w:tblPr>
      <w:tr>
        <w:trPr>
          <w:trHeight w:val="208"/>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The Banks:</w:t>
            </w:r>
          </w:p>
        </w:tc>
        <w:tc>
          <w:tcPr>
            <w:tcW w:w="9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address, facsimile number, electronic mail address or telephone number specified in the Bank’s Administrative Questionnaire, a</w:t>
            </w:r>
          </w:p>
        </w:tc>
      </w:tr>
      <w:tr>
        <w:trPr>
          <w:trHeight w:val="216"/>
        </w:trPr>
        <w:tc>
          <w:tcPr>
            <w:tcW w:w="1040" w:type="dxa"/>
            <w:vAlign w:val="bottom"/>
            <w:shd w:val="clear" w:color="auto" w:fill="CCEEFF"/>
          </w:tcPr>
          <w:p>
            <w:pPr>
              <w:spacing w:after="0"/>
              <w:rPr>
                <w:sz w:val="18"/>
                <w:szCs w:val="18"/>
                <w:color w:val="auto"/>
              </w:rPr>
            </w:pPr>
          </w:p>
        </w:tc>
        <w:tc>
          <w:tcPr>
            <w:tcW w:w="9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form supplied by the Administrative Agent, or to such other address, facsimile number, electronic mail address or telephone</w:t>
            </w:r>
          </w:p>
        </w:tc>
      </w:tr>
      <w:tr>
        <w:trPr>
          <w:trHeight w:val="224"/>
        </w:trPr>
        <w:tc>
          <w:tcPr>
            <w:tcW w:w="1040" w:type="dxa"/>
            <w:vAlign w:val="bottom"/>
            <w:shd w:val="clear" w:color="auto" w:fill="CCEEFF"/>
          </w:tcPr>
          <w:p>
            <w:pPr>
              <w:spacing w:after="0"/>
              <w:rPr>
                <w:sz w:val="19"/>
                <w:szCs w:val="19"/>
                <w:color w:val="auto"/>
              </w:rPr>
            </w:pPr>
          </w:p>
        </w:tc>
        <w:tc>
          <w:tcPr>
            <w:tcW w:w="9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number as shall be designated by the Bank in a notice to the Administrative Agent</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request or demand to or upon the Administrative Agent or any Bank pursuant to Sections 2.6, 2.7, 2.8 and 2.9 shall not be effective until received.</w:t>
      </w:r>
    </w:p>
    <w:p>
      <w:pPr>
        <w:spacing w:after="0" w:line="132" w:lineRule="exact"/>
        <w:rPr>
          <w:sz w:val="20"/>
          <w:szCs w:val="20"/>
          <w:color w:val="auto"/>
        </w:rPr>
      </w:pPr>
    </w:p>
    <w:p>
      <w:pPr>
        <w:ind w:firstLine="464"/>
        <w:spacing w:after="0" w:line="288"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hereby agrees that it will provide to the Administrative Agent all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the Agreement prior to the scheduled date therefor, (iii) provides notice of any Default or Event of Default under the Agreement or (iv) is required to be delivered to satisfy any condition precedent to the effectiveness of the Agreement and/or any borrowing or other extension of credit thereunder (all such non-excluded communications being referred to herein collectively as “</w:t>
      </w:r>
      <w:r>
        <w:rPr>
          <w:rFonts w:ascii="Arial" w:cs="Arial" w:eastAsia="Arial" w:hAnsi="Arial"/>
          <w:sz w:val="16"/>
          <w:szCs w:val="16"/>
          <w:u w:val="single" w:color="auto"/>
          <w:color w:val="auto"/>
        </w:rPr>
        <w:t>Communications</w:t>
      </w:r>
      <w:r>
        <w:rPr>
          <w:rFonts w:ascii="Arial" w:cs="Arial" w:eastAsia="Arial" w:hAnsi="Arial"/>
          <w:sz w:val="16"/>
          <w:szCs w:val="16"/>
          <w:color w:val="auto"/>
        </w:rPr>
        <w:t>”), by transmitting the Communications in an electronic/soft medium in a format acceptable to the Administrative Agent to oploanswebadmin@citigroup.com. In addition, the Company agrees to continue to provide the Communications to the Administrative Agent in the manner specified in the Credit Documents but only to the extent requested by the Administrative Agent.</w:t>
      </w:r>
    </w:p>
    <w:p>
      <w:pPr>
        <w:spacing w:after="0" w:line="38" w:lineRule="exact"/>
        <w:rPr>
          <w:rFonts w:ascii="Arial" w:cs="Arial" w:eastAsia="Arial" w:hAnsi="Arial"/>
          <w:sz w:val="16"/>
          <w:szCs w:val="16"/>
          <w:color w:val="auto"/>
        </w:rPr>
      </w:pPr>
    </w:p>
    <w:p>
      <w:pPr>
        <w:ind w:right="180" w:firstLine="464"/>
        <w:spacing w:after="0" w:line="268"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further agrees that the Administrative Agent may make the Communications available to the Banks by posting the Communications on Debt Domain or a substantially similar electronic transmission systems (the “</w:t>
      </w: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right="100" w:firstLine="464"/>
        <w:spacing w:after="0" w:line="254"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Administrative Agent agrees that the receipt of the Communications by the Administrative Agent at its e-mail address set forth in paragraph (b) of this Section shall constitute effective delivery of the Communications to the Administrative Agent for purposes of the Credit Documents. Each Bank agrees that notice to it (as provided in the next sentence) specifying that the Communications have been posted to the Platform shall constitute effective delivery of the Communications to such Bank for purposes of the Credit Documents.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63" w:lineRule="exact"/>
        <w:rPr>
          <w:rFonts w:ascii="Arial" w:cs="Arial" w:eastAsia="Arial" w:hAnsi="Arial"/>
          <w:sz w:val="18"/>
          <w:szCs w:val="18"/>
          <w:color w:val="auto"/>
        </w:rPr>
      </w:pPr>
    </w:p>
    <w:p>
      <w:pPr>
        <w:ind w:right="380" w:firstLine="464"/>
        <w:spacing w:after="0" w:line="268"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or any Bank to give any notice or other communication pursuant to any Credit Document in any other manner specified in such Credit Document.</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or any Bank, any right, remedy, power or privilege hereunder or under the Notes,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or provided in the Notes are cumulative and not exclusive of any rights, remedies, powers and privileges provided by law.</w:t>
      </w:r>
    </w:p>
    <w:p>
      <w:pPr>
        <w:spacing w:after="0" w:line="143"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 hereunder and in any document, certificate or statement delivered pursuant hereto or in connection herewith shall survive the execution and delivery of this Agreement and the Notes.</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Payment of Expenses and Taxes</w:t>
      </w:r>
      <w:r>
        <w:rPr>
          <w:rFonts w:ascii="Arial" w:cs="Arial" w:eastAsia="Arial" w:hAnsi="Arial"/>
          <w:sz w:val="16"/>
          <w:szCs w:val="16"/>
          <w:color w:val="auto"/>
        </w:rPr>
        <w:t>. The Company agrees (a) to pay or reimburse the Administrative Agent and the Lead Arranger for all its reasonable and documented out-of-pocket costs and expenses incurred in connection with the preparation and execution, and any amendments or modifications or waivers of the provisions of this Agreement and any other documents prepared in connection therewith, and the consummation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8" w:right="259" w:bottom="1440" w:gutter="0" w:footer="0" w:header="0"/>
        </w:sectPr>
      </w:pPr>
    </w:p>
    <w:bookmarkStart w:id="131" w:name="page132"/>
    <w:bookmarkEnd w:id="13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administration of the transactions contemplated hereby and thereby, including the reasonable fees and disbursements of one counsel (and, if necessary, one local counsel per jurisdiction) to the Administrative Agent and filing and recording fees and expenses, with statements with respect to the foregoing to be submitted to the Company prior to the Effective Date (in the case of amounts to be paid on the Effective Date) and from time to time thereafter on a quarterly basis or such other periodic basis as the Administrative Agent shall deem appropriate, (b) to pay or reimburse each Bank and the Administrative Agent for all its costs and expenses incurred in connection with the enforcement or preservation of any rights under this Agreement and any such other documents, including the reasonable fees and disbursements of one counsel (and, if necessary, one local counsel per jurisdiction) to each Bank and of one counsel (and, if necessary, one local counsel per jurisdiction) to the Administrative Agent, (c) to pay, indemnify, and hold each Bank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any such other documents, and (d) to pay, indemnify, and hold each Bank and the Administrative Agent and their respective officers, directors, employees, affiliates, agents and controlling persons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and any such other documents, including any of the foregoing relating to the use of proceeds of the Loans and the reasonable fees and expenses of legal counsel in connection with claims, actions or proceedings by any Indemnitee against the Company under this Agreement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are found by a court of competent jurisdiction to have resulted from the willful misconduct, bad faith or gross negligence of such Indemnitee. All amounts due under this Section 12.5 shall be payable promptly after written demand therefor. Statements payable by the Company pursuant to this Section 12.5 shall be submitted to the address of the Company set forth in Section 12.2, or to such other Person or address as may be hereafter designated by the Company in a written notice to the Administrative Agent. The agreements in this Section 12.5 shall survive repayment of the Loans and all other amounts payable hereunder. The Banks shall endeavor in good faith to limit the number of counsel retained by them to avoid duplication of expenses.</w:t>
      </w:r>
    </w:p>
    <w:p>
      <w:pPr>
        <w:spacing w:after="0" w:line="128"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 xml:space="preserve">12.6 </w:t>
      </w:r>
      <w:r>
        <w:rPr>
          <w:rFonts w:ascii="Arial" w:cs="Arial" w:eastAsia="Arial" w:hAnsi="Arial"/>
          <w:sz w:val="15"/>
          <w:szCs w:val="15"/>
          <w:u w:val="single" w:color="auto"/>
          <w:color w:val="auto"/>
        </w:rPr>
        <w:t>Confidentiality</w:t>
      </w:r>
      <w:r>
        <w:rPr>
          <w:rFonts w:ascii="Arial" w:cs="Arial" w:eastAsia="Arial" w:hAnsi="Arial"/>
          <w:sz w:val="15"/>
          <w:szCs w:val="15"/>
          <w:color w:val="auto"/>
        </w:rPr>
        <w:t xml:space="preserve">. The Banks shall not disclose any information that the Company or any of its Subsidiaries furnishes to the Banks, other than (a) as required by any law, rule or regulation or judicial process (in which case, such Bank shall inform the Company promptly thereof to the extent permitted by law, rule or regulation or judicial process), (b) as requested by any state, federal or foreign authority or examiner regulating banks or banking, (c) to actual or proposed (with the consent of the Company) assignees, transferees and participants;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disclosure and any such proposed assignee, transferee or participant agrees to treat confidentially all such information and to use such information solely for the purpose of evaluating whether to become an assignee, transferee or participant, as the case may be, (d) to its advisors and attorneys on a “need to know” basis and (e) to the extent such information becomes</w:t>
      </w:r>
    </w:p>
    <w:p>
      <w:pPr>
        <w:spacing w:after="0" w:line="1" w:lineRule="exact"/>
        <w:rPr>
          <w:sz w:val="20"/>
          <w:szCs w:val="20"/>
          <w:color w:val="auto"/>
        </w:rPr>
      </w:pPr>
    </w:p>
    <w:p>
      <w:pPr>
        <w:ind w:right="440" w:firstLine="8"/>
        <w:spacing w:after="0" w:line="261" w:lineRule="auto"/>
        <w:tabs>
          <w:tab w:leader="none" w:pos="28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publicly available other than as a result of a breach of this Section 12.6 or (B) available to the Administrative Agent, any Bank or any of their respective Affiliates on a nonconfidential basis from a source other than the Company.</w:t>
      </w:r>
    </w:p>
    <w:p>
      <w:pPr>
        <w:spacing w:after="0" w:line="13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except that (i) the Company may not assign or otherwise transfer any of its rights or obligations hereunder without the prior written consent of each Bank (and any attempted assignment or transfer by the Company without such consent shall be null and void) and (ii) no Bank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132" w:name="page133"/>
    <w:bookmarkEnd w:id="132"/>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expressly contemplated hereby, the Administrative Agent’s and each Bank’s Affiliates and their respective directors, officers, employees, agents and advisors) any legal or equitable right, remedy or claim under or by reason of this Agreement.</w:t>
      </w:r>
    </w:p>
    <w:p>
      <w:pPr>
        <w:spacing w:after="0" w:line="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(b)(i) Subject to the conditions set forth in paragraph (b)(ii) below, any Bank may assign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of:</w:t>
      </w:r>
    </w:p>
    <w:p>
      <w:pPr>
        <w:spacing w:after="0" w:line="59" w:lineRule="exact"/>
        <w:rPr>
          <w:sz w:val="20"/>
          <w:szCs w:val="20"/>
          <w:color w:val="auto"/>
        </w:rPr>
      </w:pPr>
    </w:p>
    <w:p>
      <w:pPr>
        <w:ind w:left="460" w:right="240" w:firstLine="443"/>
        <w:spacing w:after="0" w:line="332" w:lineRule="auto"/>
        <w:tabs>
          <w:tab w:leader="none" w:pos="118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the Company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Company shall be required (x) for an assignment to an affiliate of a Bank from such Bank or (y) if an Event of Default under Sections 9(a) or (i) has occurred; and</w:t>
      </w:r>
    </w:p>
    <w:p>
      <w:pPr>
        <w:spacing w:after="0" w:line="4" w:lineRule="exact"/>
        <w:rPr>
          <w:rFonts w:ascii="Arial" w:cs="Arial" w:eastAsia="Arial" w:hAnsi="Arial"/>
          <w:sz w:val="16"/>
          <w:szCs w:val="16"/>
          <w:color w:val="auto"/>
        </w:rPr>
      </w:pPr>
    </w:p>
    <w:p>
      <w:pPr>
        <w:ind w:left="460" w:right="360" w:firstLine="443"/>
        <w:spacing w:after="0" w:line="268" w:lineRule="auto"/>
        <w:tabs>
          <w:tab w:leader="none" w:pos="117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of all or any portion of a Loan to a Bank, an affiliate of a Bank or an Approved Fund (as defined below).</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90" w:lineRule="exact"/>
        <w:rPr>
          <w:rFonts w:ascii="Arial" w:cs="Arial" w:eastAsia="Arial" w:hAnsi="Arial"/>
          <w:sz w:val="18"/>
          <w:szCs w:val="18"/>
          <w:color w:val="auto"/>
        </w:rPr>
      </w:pPr>
    </w:p>
    <w:p>
      <w:pPr>
        <w:ind w:left="460" w:firstLine="443"/>
        <w:spacing w:after="0" w:line="255" w:lineRule="auto"/>
        <w:tabs>
          <w:tab w:leader="none" w:pos="118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Bank, an affiliate of a Bank or an Approved Fund or an assignment of the entire remaining amount of the assigning Bank Commitments or Loans hereunder, the amount of the Commitments or Loans of the assigning Bank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shall be aggregated in respect of each Bank and its affiliates or Approved Funds, if any;</w:t>
      </w:r>
    </w:p>
    <w:p>
      <w:pPr>
        <w:spacing w:after="0" w:line="61" w:lineRule="exact"/>
        <w:rPr>
          <w:rFonts w:ascii="Arial" w:cs="Arial" w:eastAsia="Arial" w:hAnsi="Arial"/>
          <w:sz w:val="18"/>
          <w:szCs w:val="18"/>
          <w:color w:val="auto"/>
        </w:rPr>
      </w:pPr>
    </w:p>
    <w:p>
      <w:pPr>
        <w:ind w:left="460" w:right="120" w:firstLine="443"/>
        <w:spacing w:after="0" w:line="306" w:lineRule="auto"/>
        <w:tabs>
          <w:tab w:leader="none" w:pos="117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the parties to each assignment shall execute and deliver to the Administrative Agent an Assignment and Assumption, together with a processing and recordation fee of $3,500 (which fee may be waived by the Administrative Agent in its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a single processing and recordation fee shall be payable in respect of multiple contemporaneous assignments to Approved Funds with respect to any Lender; and</w:t>
      </w:r>
    </w:p>
    <w:p>
      <w:pPr>
        <w:spacing w:after="0" w:line="25" w:lineRule="exact"/>
        <w:rPr>
          <w:rFonts w:ascii="Arial" w:cs="Arial" w:eastAsia="Arial" w:hAnsi="Arial"/>
          <w:sz w:val="16"/>
          <w:szCs w:val="16"/>
          <w:color w:val="auto"/>
        </w:rPr>
      </w:pPr>
    </w:p>
    <w:p>
      <w:pPr>
        <w:ind w:left="1180" w:hanging="277"/>
        <w:spacing w:after="0"/>
        <w:tabs>
          <w:tab w:leader="none" w:pos="11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Assignee, if it shall not be a Bank, shall deliver to the Administrative Agent an administrative questionnaire.</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purposes of this Section 12.7, “</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Bank, (b) an affiliate of a Bank or (c) an entity or an affiliate of an entity that administers or manages a Bank.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assignment will be made to any Defaulting Lender or any of its subsidiaries except for as set forth in Section 2.19(c).</w:t>
      </w:r>
    </w:p>
    <w:p>
      <w:pPr>
        <w:spacing w:after="0" w:line="171" w:lineRule="exact"/>
        <w:rPr>
          <w:sz w:val="20"/>
          <w:szCs w:val="20"/>
          <w:color w:val="auto"/>
        </w:rPr>
      </w:pPr>
    </w:p>
    <w:p>
      <w:pPr>
        <w:ind w:right="40" w:firstLine="464"/>
        <w:spacing w:after="0" w:line="290" w:lineRule="auto"/>
        <w:tabs>
          <w:tab w:leader="none" w:pos="76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Bank under this Agreement, and the assigning Bank thereunder shall, to the extent of the interest assigned by such Assignment and Assumption, be released from its obligations under this Agreement (and, in the case of an Assignment and Assumption covering all of the assigning Bank’s rights and obligations under this Agreement, such Bank shall cease to be a party hereto but shall continue to be entitled to the benefits of Sections 2.12, 2.16, 2.17 and 12.5). Any assignment or transfer by a Bank of rights or obligations under this Agreement that does not comply with this Section 12.7 shall be treated for purposes of this Agreement as a sale by such Bank of a participation in such rights and obligations in accordance with paragraph (c) of this Section.</w:t>
      </w:r>
    </w:p>
    <w:p>
      <w:pPr>
        <w:spacing w:after="0" w:line="37" w:lineRule="exact"/>
        <w:rPr>
          <w:rFonts w:ascii="Arial" w:cs="Arial" w:eastAsia="Arial" w:hAnsi="Arial"/>
          <w:sz w:val="16"/>
          <w:szCs w:val="16"/>
          <w:color w:val="auto"/>
        </w:rPr>
      </w:pPr>
    </w:p>
    <w:p>
      <w:pPr>
        <w:ind w:right="460" w:firstLine="464"/>
        <w:spacing w:after="0" w:line="268" w:lineRule="auto"/>
        <w:tabs>
          <w:tab w:leader="none" w:pos="75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an agent of the Company, shall maintain at one of its offices a copy of each Assignment and Assumption delivered to it and a register for the recordation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133" w:name="page134"/>
    <w:bookmarkEnd w:id="133"/>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names and addresses of the Banks, and the Commitments of, and principal amount of the Loans owing to, each Bank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Company, the Administrative Agent and the Banks may treat each Person whose name is recorded in the Register pursuant to the terms hereof as a Bank hereunder for all purposes of this Agreement, notwithstanding notice to the contrary. The Register shall be available for inspection by the Company and any Bank, at any reasonable time and from time to time upon reasonable prior notice.</w:t>
      </w:r>
    </w:p>
    <w:p>
      <w:pPr>
        <w:spacing w:after="0" w:line="32" w:lineRule="exact"/>
        <w:rPr>
          <w:sz w:val="20"/>
          <w:szCs w:val="20"/>
          <w:color w:val="auto"/>
        </w:rPr>
      </w:pPr>
    </w:p>
    <w:p>
      <w:pPr>
        <w:ind w:right="40" w:firstLine="464"/>
        <w:spacing w:after="0" w:line="254" w:lineRule="auto"/>
        <w:tabs>
          <w:tab w:leader="none" w:pos="7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Upon its receipt of a duly completed Assignment and Assumption executed by an assigning Bank and an Assignee, the Assignee’s completed administrative questionnaire (unless the Assignee shall already be a Bank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The Administrative Agent shall promptly notify the Company of the effectiveness of any assignment under this Section.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(c)(i) Any Bank may, without the consent of the Company or the Administrative Agent, sell participations to one or more banks or other entities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in all or a portion of such Bank’s rights and obligations under this Agreement (including all or a portion of its Commitments and the Loans 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Bank’s obligations under this Agreement shall remain unchanged, (B) such Bank shall remain solely responsible to the other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hereto for the performance of such obligations and (C) the Company, the Administrative Agent and the other Banks shall continue to deal solely and directly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Bank in connection with such Bank’s rights and obligations under this Agreement. Any agreement pursuant to which a Bank sells such a participation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that such Bank shall retain the sole right to enforce this Agreement and to approve any amendment, modification or waiver of any provision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Bank will not, without the consent of the Participant, agree to any amendment, modification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waiver that (1) requires the consent of each Bank directly affected thereby pursuant to the proviso to the second sentence of Section 12.1 and (2) directly affects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Participant. Subject to paragraph (c)(ii) of this Section, the Company agrees that each Participant shall be entitled to the benefits of Sections 2.12, 2.16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2.17 to the same extent as if it were a Bank and had acquired its interest by assignment pursuant to paragraph (b) of this Section. To the extent permitted by law,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Participant also shall be entitled to the benefits of Section 12.8(b) as though it were a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shall be subject to Section 12.8(a)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though it were a Bank. Each Bank that sells a participation, acting solely for this purpose as an agent of the Company, shall maintain a register on which it enters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name and address of each Participant and the principal amounts (and stated interest) of each Participant’s interest in the Loans or other obligations under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The entries in the Participant Register shall be conclusive, and such Bank and the Administrative Agent shall treat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whose name is recorded in the Participant Register pursuant to the terms hereof as the owner of such participation for all purposes of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notice to the contrary.</w:t>
      </w:r>
    </w:p>
    <w:p>
      <w:pPr>
        <w:spacing w:after="0" w:line="84" w:lineRule="exact"/>
        <w:rPr>
          <w:sz w:val="20"/>
          <w:szCs w:val="20"/>
          <w:color w:val="auto"/>
        </w:rPr>
      </w:pPr>
    </w:p>
    <w:p>
      <w:pPr>
        <w:ind w:right="140" w:firstLine="464"/>
        <w:spacing w:after="0" w:line="306" w:lineRule="auto"/>
        <w:tabs>
          <w:tab w:leader="none" w:pos="71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Participant shall not be entitled to receive any greater payment under Section 2.16 or 2.17 than the applicable Bank would have been entitled to receive with respect to the participation sold to such Participant, unless the sale of the participation to such Participant is made with the Company’s prior written consent. No Participant shall be entitled to the benefits of Section 2.17 unless such Participant complies with Section 2.17(d) as if it were a Bank.</w:t>
      </w:r>
    </w:p>
    <w:p>
      <w:pPr>
        <w:spacing w:after="0" w:line="26" w:lineRule="exact"/>
        <w:rPr>
          <w:sz w:val="20"/>
          <w:szCs w:val="20"/>
          <w:color w:val="auto"/>
        </w:rPr>
      </w:pPr>
    </w:p>
    <w:p>
      <w:pPr>
        <w:ind w:firstLine="464"/>
        <w:spacing w:after="0" w:line="256"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Any Bank may at any time pledge or assign a security interest in all or any portion of its rights under this Agreement to secure obligations of such Bank,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Bank from any of its obligations hereunder or substitute any such pledgee or Assignee for such Bank as a party hereto.</w:t>
      </w:r>
    </w:p>
    <w:p>
      <w:pPr>
        <w:spacing w:after="0" w:line="62" w:lineRule="exact"/>
        <w:rPr>
          <w:rFonts w:ascii="Arial" w:cs="Arial" w:eastAsia="Arial" w:hAnsi="Arial"/>
          <w:sz w:val="18"/>
          <w:szCs w:val="18"/>
          <w:color w:val="auto"/>
        </w:rPr>
      </w:pPr>
    </w:p>
    <w:p>
      <w:pPr>
        <w:ind w:right="120" w:firstLine="464"/>
        <w:spacing w:after="0" w:line="268"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upon receipt of written notice from the relevant Bank, agrees to issue Notes to any Bank requiring Notes to facilitate transactions of the type described in paragraph (d)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34" w:name="page135"/>
    <w:bookmarkEnd w:id="134"/>
    <w:p>
      <w:pPr>
        <w:ind w:firstLine="464"/>
        <w:spacing w:after="0" w:line="285" w:lineRule="auto"/>
        <w:tabs>
          <w:tab w:leader="none" w:pos="676" w:val="left"/>
        </w:tabs>
        <w:numPr>
          <w:ilvl w:val="0"/>
          <w:numId w:val="1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executing and delivering an Assignment and Assumption, the assigning Bank thereunder and the assignee thereunder shall be deemed to confirm to and agree with each other and the other parties hereto as follows: (i) such assigning Bank warrants that it is the legal and beneficial owner of the interest being assigned thereby free and clear of any adverse claim and that its Commitment and the outstanding balances of its Loans, in each case without giving effect to assignments thereof that have not become effective, are as set forth in such Assignment and Assumption; (ii) except as set forth in clause (i) above, such assigning Bank makes no representation or warranty and assumes no responsibility with respect to any statements, warranties or representations made in or in connection with this Agreement or any other instrument or document furnished pursuant hereto or thereto, or the execution, legality, validity, enforceability, genuineness, sufficiency or value of any of the foregoing, or the financial condition of the Company or the performance or observance by the Company of any of its obligations under this Agreement or any other instrument or document furnished pursuant hereto or thereto; (iii) each of the assignee and the assignor represents and warrants that it is legally authorized to enter into such Assignment and Assumption; (iv) such assignee confirms that it has received a copy of this Agreement, together with copies of any amendments or consents entered into prior to the date of such Assignment and Assumption and copies of the most recent financial statements delivered pursuant to Section 6.1 and such other documents and information as it has deemed appropriate to make its own credit analysis and decision to enter into such Assignment and Assumption; (v) such assignee will independently and without reliance upon the Administrative Agent, such assigning Bank or any other Bank and based on such documents and information as it shall deem appropriate at the time, continue to make its own credit decisions in taking or not taking action under this Agreement; (vi) such assignee appoints and authorizes the Administrative Agent to take such action as agents on its behalf and to exercise such powers under this Agreement as are delegated to them by the terms hereof, together with such powers as are reasonably incidental thereto; and (vii) such assignee agrees that it will perform in accordance with their terms all the obligations that by the terms of this Agreement are required to be performed by it as a Bank.</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Adjustments; Right of Setoff</w:t>
      </w:r>
      <w:r>
        <w:rPr>
          <w:rFonts w:ascii="Arial" w:cs="Arial" w:eastAsia="Arial" w:hAnsi="Arial"/>
          <w:sz w:val="16"/>
          <w:szCs w:val="16"/>
          <w:color w:val="auto"/>
        </w:rPr>
        <w:t>. (a) If any Bank (a “</w:t>
      </w:r>
      <w:r>
        <w:rPr>
          <w:rFonts w:ascii="Arial" w:cs="Arial" w:eastAsia="Arial" w:hAnsi="Arial"/>
          <w:sz w:val="16"/>
          <w:szCs w:val="16"/>
          <w:u w:val="single" w:color="auto"/>
          <w:color w:val="auto"/>
        </w:rPr>
        <w:t>Benefited Bank</w:t>
      </w:r>
      <w:r>
        <w:rPr>
          <w:rFonts w:ascii="Arial" w:cs="Arial" w:eastAsia="Arial" w:hAnsi="Arial"/>
          <w:sz w:val="16"/>
          <w:szCs w:val="16"/>
          <w:color w:val="auto"/>
        </w:rPr>
        <w:t xml:space="preserve">”) shall at any time receive any payment of all or part of its Loans or interest thereon (whether voluntarily or involuntarily, pursuant to events or proceedings of the nature referred to in Section 9(i), or otherwise) in a greater proportion than any such payment to any other Bank (other than a Bank that is a Defaulting Lender at such time), if any, in respect of such other Bank’s Loans, or interest thereon, such Benefited Bank shall purchase for cash from the other Bank such portion of such other Bank’s Loans as shall be necessary to cause such Benefited Bank to share the excess payment ratably with the other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is thereafter recovered from such Benefited Bank, such purchase shall be rescinded, and the purchase price returned, to the extent of such recovery, but without interest. The Company agrees that any Bank so purchasing a portion of the other Bank’s Loans may exercise all rights of payment with respect to such portion as fully as if such Bank were the direct holder of such portion.</w:t>
      </w:r>
    </w:p>
    <w:p>
      <w:pPr>
        <w:spacing w:after="0" w:line="37" w:lineRule="exact"/>
        <w:rPr>
          <w:sz w:val="20"/>
          <w:szCs w:val="20"/>
          <w:color w:val="auto"/>
        </w:rPr>
      </w:pPr>
    </w:p>
    <w:p>
      <w:pPr>
        <w:ind w:right="40" w:firstLine="464"/>
        <w:spacing w:after="0" w:line="289" w:lineRule="auto"/>
        <w:tabs>
          <w:tab w:leader="none" w:pos="70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If an Event of Default shall have occurred and be continuing, in addition to any rights and remedies of the Banks provided by law, each Bank shall have the right, without notice to the Company, any such notice being expressly waived by the Company to the extent permitted by applicable law, upon any Obligations becoming due and payable by the Company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Bank, any affiliate thereof or any of their respective branches or agencies to or for the credit or the account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Defaulting Lender shall have any rights under this Section. Each Bank agrees promptly to notify the Company and the Administrative Agent after any such application made by such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application.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12.9 </w:t>
      </w:r>
      <w:r>
        <w:rPr>
          <w:rFonts w:ascii="Arial" w:cs="Arial" w:eastAsia="Arial" w:hAnsi="Arial"/>
          <w:sz w:val="18"/>
          <w:szCs w:val="18"/>
          <w:b w:val="1"/>
          <w:bCs w:val="1"/>
          <w:color w:val="auto"/>
        </w:rPr>
        <w:t>WAIVERS OF JURY TRIAL</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THE COMPANY AND THE ADMINISTRATIVE AGENT AND THE BANKS HEREBY IRREVOCABLY AND UNCONDITIONALLY WAIVE TRIAL BY JURY IN ANY LEGAL ACTION OR PROCEEDING RELATING TO THIS AGREEMENT AND FOR ANY COUNTERCLAIM THEREIN.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12.10 Submission to Jurisdiction; Waivers</w:t>
      </w:r>
      <w:r>
        <w:rPr>
          <w:rFonts w:ascii="Arial" w:cs="Arial" w:eastAsia="Arial" w:hAnsi="Arial"/>
          <w:sz w:val="18"/>
          <w:szCs w:val="18"/>
          <w:color w:val="auto"/>
        </w:rPr>
        <w:t>. The Company hereby irrevocably and unconditionally:</w:t>
      </w:r>
    </w:p>
    <w:p>
      <w:pPr>
        <w:spacing w:after="0" w:line="90" w:lineRule="exact"/>
        <w:rPr>
          <w:sz w:val="20"/>
          <w:szCs w:val="20"/>
          <w:color w:val="auto"/>
        </w:rPr>
      </w:pPr>
    </w:p>
    <w:p>
      <w:pPr>
        <w:ind w:left="460" w:right="280" w:firstLine="443"/>
        <w:spacing w:after="0" w:line="259" w:lineRule="auto"/>
        <w:tabs>
          <w:tab w:leader="none" w:pos="113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or for recognition and enforcement of any judgment in respect thereof, to the exclusive general jurisdiction of the courts of the State of New York, the courts of the United States for the Southern District of New York, and appellate courts from any thereof;</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59" w:lineRule="exact"/>
        <w:rPr>
          <w:rFonts w:ascii="Arial" w:cs="Arial" w:eastAsia="Arial" w:hAnsi="Arial"/>
          <w:sz w:val="18"/>
          <w:szCs w:val="18"/>
          <w:color w:val="auto"/>
        </w:rPr>
      </w:pPr>
    </w:p>
    <w:p>
      <w:pPr>
        <w:jc w:val="both"/>
        <w:ind w:left="460" w:right="160" w:firstLine="443"/>
        <w:spacing w:after="0" w:line="259" w:lineRule="auto"/>
        <w:tabs>
          <w:tab w:leader="none" w:pos="113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the Company, as the case may be at its address set forth in Section 12.2 or at such other address of which the Administrative Agent shall have been notified pursuant thereto;</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3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Company and the Administrative Agent.</w:t>
      </w:r>
    </w:p>
    <w:p>
      <w:pPr>
        <w:spacing w:after="0" w:line="134"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and the Notes and the rights and obligations of the parties under this Agreement and the Notes shall be</w:t>
      </w:r>
      <w:r>
        <w:rPr>
          <w:rFonts w:ascii="Arial" w:cs="Arial" w:eastAsia="Arial" w:hAnsi="Arial"/>
          <w:sz w:val="18"/>
          <w:szCs w:val="18"/>
          <w:color w:val="auto"/>
        </w:rPr>
        <w:t xml:space="preserve"> </w:t>
      </w:r>
      <w:r>
        <w:rPr>
          <w:rFonts w:ascii="Arial" w:cs="Arial" w:eastAsia="Arial" w:hAnsi="Arial"/>
          <w:sz w:val="18"/>
          <w:szCs w:val="18"/>
          <w:b w:val="1"/>
          <w:bCs w:val="1"/>
          <w:color w:val="auto"/>
        </w:rPr>
        <w:t>governed by, and construed and interpreted in accordance with, the law of the State of New York.</w:t>
      </w:r>
    </w:p>
    <w:p>
      <w:pPr>
        <w:spacing w:after="0" w:line="1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Bank hereby notifies the Company that pursuant to the requirements of the USA PATRIOT Act, it is required to obtain, verify and record information that identifies the Company, which information includes the name and address of the Company and other information that will allow such Bank to identify the Company in accordance with the USA PATRIOT Act.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136" w:name="page137"/>
    <w:bookmarkEnd w:id="13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in New York, New York by their proper and duly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[Signature Page to Credit Agreement]</w:t>
      </w:r>
    </w:p>
    <w:p>
      <w:pPr>
        <w:sectPr>
          <w:pgSz w:w="11900" w:h="16838" w:orient="portrait"/>
          <w:cols w:equalWidth="0" w:num="1">
            <w:col w:w="11080"/>
          </w:cols>
          <w:pgMar w:left="240" w:top="280" w:right="579" w:bottom="1440" w:gutter="0" w:footer="0" w:header="0"/>
        </w:sectPr>
      </w:pPr>
    </w:p>
    <w:bookmarkStart w:id="137" w:name="page138"/>
    <w:bookmarkEnd w:id="13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Administrative Agent and as a Bank</w:t>
      </w: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Michael Vondriska</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Credit Agreement]</w:t>
      </w:r>
    </w:p>
    <w:p>
      <w:pPr>
        <w:sectPr>
          <w:pgSz w:w="11900" w:h="16838" w:orient="portrait"/>
          <w:cols w:equalWidth="0" w:num="1">
            <w:col w:w="9019"/>
          </w:cols>
          <w:pgMar w:left="1440" w:top="280" w:right="1440" w:bottom="1440" w:gutter="0" w:footer="0" w:header="0"/>
        </w:sectPr>
      </w:pPr>
    </w:p>
    <w:bookmarkStart w:id="138" w:name="page139"/>
    <w:bookmarkEnd w:id="138"/>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T.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T. Daley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Credit Agreement]</w:t>
      </w:r>
    </w:p>
    <w:p>
      <w:pPr>
        <w:sectPr>
          <w:pgSz w:w="11900" w:h="16838" w:orient="portrait"/>
          <w:cols w:equalWidth="0" w:num="1">
            <w:col w:w="9019"/>
          </w:cols>
          <w:pgMar w:left="1440" w:top="280" w:right="1440" w:bottom="1440" w:gutter="0" w:footer="0" w:header="0"/>
        </w:sectPr>
      </w:pPr>
    </w:p>
    <w:bookmarkStart w:id="139" w:name="page140"/>
    <w:bookmarkEnd w:id="13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New York Mellon,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Name: Thomas Caruso</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Managing Director</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Credit Agreement]</w:t>
      </w:r>
    </w:p>
    <w:p>
      <w:pPr>
        <w:sectPr>
          <w:pgSz w:w="11900" w:h="16838" w:orient="portrait"/>
          <w:cols w:equalWidth="0" w:num="1">
            <w:col w:w="9019"/>
          </w:cols>
          <w:pgMar w:left="1440" w:top="280" w:right="1440" w:bottom="1440" w:gutter="0" w:footer="0" w:header="0"/>
        </w:sectPr>
      </w:pPr>
    </w:p>
    <w:bookmarkStart w:id="140" w:name="page141"/>
    <w:bookmarkEnd w:id="14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USA,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Jonathan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Name: Jonathan David</w:t>
      </w:r>
    </w:p>
    <w:p>
      <w:pPr>
        <w:spacing w:after="0" w:line="38" w:lineRule="exact"/>
        <w:rPr>
          <w:sz w:val="20"/>
          <w:szCs w:val="20"/>
          <w:color w:val="auto"/>
        </w:rPr>
      </w:pPr>
    </w:p>
    <w:p>
      <w:pPr>
        <w:jc w:val="right"/>
        <w:ind w:right="1219"/>
        <w:spacing w:after="0"/>
        <w:rPr>
          <w:sz w:val="20"/>
          <w:szCs w:val="20"/>
          <w:color w:val="auto"/>
        </w:rPr>
      </w:pPr>
      <w:r>
        <w:rPr>
          <w:rFonts w:ascii="Arial" w:cs="Arial" w:eastAsia="Arial" w:hAnsi="Arial"/>
          <w:sz w:val="18"/>
          <w:szCs w:val="18"/>
          <w:color w:val="auto"/>
        </w:rPr>
        <w:t>Title: Managing Director</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Credit Agreement]</w:t>
      </w:r>
    </w:p>
    <w:p>
      <w:pPr>
        <w:sectPr>
          <w:pgSz w:w="11900" w:h="16838" w:orient="portrait"/>
          <w:cols w:equalWidth="0" w:num="1">
            <w:col w:w="9019"/>
          </w:cols>
          <w:pgMar w:left="1440" w:top="280"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10.52</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Second Amendment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October 24, 2012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Agreement Relating to Retention and Noncompetition and Other Covenants by and among Lazard Ltd, a company incorporated under the Laws of Bermuda (“</w:t>
      </w:r>
      <w:r>
        <w:rPr>
          <w:rFonts w:ascii="Arial" w:cs="Arial" w:eastAsia="Arial" w:hAnsi="Arial"/>
          <w:sz w:val="18"/>
          <w:szCs w:val="18"/>
          <w:u w:val="single" w:color="auto"/>
          <w:color w:val="auto"/>
        </w:rPr>
        <w:t>PubliCo</w:t>
      </w:r>
      <w:r>
        <w:rPr>
          <w:rFonts w:ascii="Arial" w:cs="Arial" w:eastAsia="Arial" w:hAnsi="Arial"/>
          <w:sz w:val="18"/>
          <w:szCs w:val="18"/>
          <w:color w:val="auto"/>
        </w:rPr>
        <w:t>”), Lazard Group LLC, a Delaware limited liability company and successor to Lazard LLC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their subsidiaries and affiliates (collectively with PubliCo,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Kenneth M. Jacobs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March 18, 2005, and amended on March 23, 2010 (as amended, this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WHEREAS, the Firm and the Executive wish to amend this Agreement to modify Schedule I to such Agreement to extend the term of certain provisions of Schedule I of this Agreement beyond March 23, 2013, eliminate the golden parachute excise tax gross-up provision and revise certain other terms.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PubliCo and Lazard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the Effective Date, Schedule I of this Agreement shall hereby be amended and restated in its entirety in the form attached hereto.</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WITNESS WHEREOF, the Executive and the Board of Directors of each of Lazard and PubliCo have caused this Second Amendment to be executed and delivered on the date first above written.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October 24, 2012</w:t>
            </w:r>
          </w:p>
        </w:tc>
        <w:tc>
          <w:tcPr>
            <w:tcW w:w="2520" w:type="dxa"/>
            <w:vAlign w:val="bottom"/>
          </w:tcPr>
          <w:p>
            <w:pPr>
              <w:spacing w:after="0"/>
              <w:rPr>
                <w:sz w:val="19"/>
                <w:szCs w:val="19"/>
                <w:color w:val="auto"/>
              </w:rPr>
            </w:pPr>
          </w:p>
        </w:tc>
        <w:tc>
          <w:tcPr>
            <w:tcW w:w="5340" w:type="dxa"/>
            <w:vAlign w:val="bottom"/>
          </w:tcPr>
          <w:p>
            <w:pPr>
              <w:spacing w:after="0"/>
              <w:rPr>
                <w:sz w:val="19"/>
                <w:szCs w:val="19"/>
                <w:color w:val="auto"/>
              </w:rPr>
            </w:pPr>
          </w:p>
        </w:tc>
      </w:tr>
      <w:tr>
        <w:trPr>
          <w:trHeight w:val="420"/>
        </w:trPr>
        <w:tc>
          <w:tcPr>
            <w:tcW w:w="3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34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/s/ Kenneth M. Jacobs</w:t>
            </w:r>
          </w:p>
        </w:tc>
      </w:tr>
      <w:tr>
        <w:trPr>
          <w:trHeight w:val="217"/>
        </w:trPr>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40" w:type="dxa"/>
            <w:vAlign w:val="bottom"/>
          </w:tcPr>
          <w:p>
            <w:pPr>
              <w:ind w:left="2040"/>
              <w:spacing w:after="0"/>
              <w:rPr>
                <w:sz w:val="20"/>
                <w:szCs w:val="20"/>
                <w:color w:val="auto"/>
              </w:rPr>
            </w:pPr>
            <w:r>
              <w:rPr>
                <w:rFonts w:ascii="Arial" w:cs="Arial" w:eastAsia="Arial" w:hAnsi="Arial"/>
                <w:sz w:val="18"/>
                <w:szCs w:val="18"/>
                <w:color w:val="auto"/>
              </w:rPr>
              <w:t>Kenneth M. Jacobs</w:t>
            </w:r>
          </w:p>
        </w:tc>
      </w:tr>
      <w:tr>
        <w:trPr>
          <w:trHeight w:val="410"/>
        </w:trPr>
        <w:tc>
          <w:tcPr>
            <w:tcW w:w="3560" w:type="dxa"/>
            <w:vAlign w:val="bottom"/>
          </w:tcPr>
          <w:p>
            <w:pPr>
              <w:spacing w:after="0"/>
              <w:rPr>
                <w:sz w:val="20"/>
                <w:szCs w:val="20"/>
                <w:color w:val="auto"/>
              </w:rPr>
            </w:pPr>
            <w:r>
              <w:rPr>
                <w:rFonts w:ascii="Arial" w:cs="Arial" w:eastAsia="Arial" w:hAnsi="Arial"/>
                <w:sz w:val="18"/>
                <w:szCs w:val="18"/>
                <w:color w:val="auto"/>
              </w:rPr>
              <w:t>October 24, 2012</w:t>
            </w:r>
          </w:p>
        </w:tc>
        <w:tc>
          <w:tcPr>
            <w:tcW w:w="7860" w:type="dxa"/>
            <w:vAlign w:val="bottom"/>
            <w:gridSpan w:val="2"/>
          </w:tcPr>
          <w:p>
            <w:pPr>
              <w:ind w:left="2340"/>
              <w:spacing w:after="0"/>
              <w:rPr>
                <w:sz w:val="20"/>
                <w:szCs w:val="20"/>
                <w:color w:val="auto"/>
              </w:rPr>
            </w:pPr>
            <w:r>
              <w:rPr>
                <w:rFonts w:ascii="Arial" w:cs="Arial" w:eastAsia="Arial" w:hAnsi="Arial"/>
                <w:sz w:val="18"/>
                <w:szCs w:val="18"/>
                <w:color w:val="auto"/>
              </w:rPr>
              <w:t>LAZARD LTD,</w:t>
            </w:r>
          </w:p>
        </w:tc>
      </w:tr>
      <w:tr>
        <w:trPr>
          <w:trHeight w:val="433"/>
        </w:trPr>
        <w:tc>
          <w:tcPr>
            <w:tcW w:w="3560" w:type="dxa"/>
            <w:vAlign w:val="bottom"/>
          </w:tcPr>
          <w:p>
            <w:pPr>
              <w:spacing w:after="0"/>
              <w:rPr>
                <w:sz w:val="24"/>
                <w:szCs w:val="24"/>
                <w:color w:val="auto"/>
              </w:rPr>
            </w:pPr>
          </w:p>
        </w:tc>
        <w:tc>
          <w:tcPr>
            <w:tcW w:w="2520" w:type="dxa"/>
            <w:vAlign w:val="bottom"/>
          </w:tcPr>
          <w:p>
            <w:pPr>
              <w:ind w:left="2340"/>
              <w:spacing w:after="0"/>
              <w:rPr>
                <w:sz w:val="20"/>
                <w:szCs w:val="20"/>
                <w:color w:val="auto"/>
              </w:rPr>
            </w:pPr>
            <w:r>
              <w:rPr>
                <w:rFonts w:ascii="Arial" w:cs="Arial" w:eastAsia="Arial" w:hAnsi="Arial"/>
                <w:sz w:val="18"/>
                <w:szCs w:val="18"/>
                <w:color w:val="auto"/>
                <w:w w:val="83"/>
              </w:rPr>
              <w:t>by</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Scott D. Hoffman</w:t>
            </w:r>
          </w:p>
        </w:tc>
      </w:tr>
      <w:tr>
        <w:trPr>
          <w:trHeight w:val="202"/>
        </w:trPr>
        <w:tc>
          <w:tcPr>
            <w:tcW w:w="3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Scott D. Hoffman</w:t>
            </w:r>
          </w:p>
        </w:tc>
      </w:tr>
      <w:tr>
        <w:trPr>
          <w:trHeight w:val="222"/>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Managing Director and General Counsel</w:t>
            </w:r>
          </w:p>
        </w:tc>
      </w:tr>
      <w:tr>
        <w:trPr>
          <w:trHeight w:val="426"/>
        </w:trPr>
        <w:tc>
          <w:tcPr>
            <w:tcW w:w="3560" w:type="dxa"/>
            <w:vAlign w:val="bottom"/>
          </w:tcPr>
          <w:p>
            <w:pPr>
              <w:spacing w:after="0"/>
              <w:rPr>
                <w:sz w:val="20"/>
                <w:szCs w:val="20"/>
                <w:color w:val="auto"/>
              </w:rPr>
            </w:pPr>
            <w:r>
              <w:rPr>
                <w:rFonts w:ascii="Arial" w:cs="Arial" w:eastAsia="Arial" w:hAnsi="Arial"/>
                <w:sz w:val="18"/>
                <w:szCs w:val="18"/>
                <w:color w:val="auto"/>
              </w:rPr>
              <w:t>October 24, 2012</w:t>
            </w:r>
          </w:p>
        </w:tc>
        <w:tc>
          <w:tcPr>
            <w:tcW w:w="7860" w:type="dxa"/>
            <w:vAlign w:val="bottom"/>
            <w:gridSpan w:val="2"/>
          </w:tcPr>
          <w:p>
            <w:pPr>
              <w:ind w:left="2340"/>
              <w:spacing w:after="0"/>
              <w:rPr>
                <w:sz w:val="20"/>
                <w:szCs w:val="20"/>
                <w:color w:val="auto"/>
              </w:rPr>
            </w:pPr>
            <w:r>
              <w:rPr>
                <w:rFonts w:ascii="Arial" w:cs="Arial" w:eastAsia="Arial" w:hAnsi="Arial"/>
                <w:sz w:val="18"/>
                <w:szCs w:val="18"/>
                <w:color w:val="auto"/>
              </w:rPr>
              <w:t>LAZARD GROUP LLC (on its behalf, and on</w:t>
            </w:r>
          </w:p>
        </w:tc>
      </w:tr>
      <w:tr>
        <w:trPr>
          <w:trHeight w:val="222"/>
        </w:trPr>
        <w:tc>
          <w:tcPr>
            <w:tcW w:w="3560" w:type="dxa"/>
            <w:vAlign w:val="bottom"/>
          </w:tcPr>
          <w:p>
            <w:pPr>
              <w:spacing w:after="0"/>
              <w:rPr>
                <w:sz w:val="19"/>
                <w:szCs w:val="19"/>
                <w:color w:val="auto"/>
              </w:rPr>
            </w:pPr>
          </w:p>
        </w:tc>
        <w:tc>
          <w:tcPr>
            <w:tcW w:w="7860" w:type="dxa"/>
            <w:vAlign w:val="bottom"/>
            <w:gridSpan w:val="2"/>
          </w:tcPr>
          <w:p>
            <w:pPr>
              <w:ind w:left="2340"/>
              <w:spacing w:after="0"/>
              <w:rPr>
                <w:sz w:val="20"/>
                <w:szCs w:val="20"/>
                <w:color w:val="auto"/>
              </w:rPr>
            </w:pPr>
            <w:r>
              <w:rPr>
                <w:rFonts w:ascii="Arial" w:cs="Arial" w:eastAsia="Arial" w:hAnsi="Arial"/>
                <w:sz w:val="18"/>
                <w:szCs w:val="18"/>
                <w:color w:val="auto"/>
              </w:rPr>
              <w:t>behalf of its subsidiaries and affiliates),</w:t>
            </w:r>
          </w:p>
        </w:tc>
      </w:tr>
      <w:tr>
        <w:trPr>
          <w:trHeight w:val="447"/>
        </w:trPr>
        <w:tc>
          <w:tcPr>
            <w:tcW w:w="3560" w:type="dxa"/>
            <w:vAlign w:val="bottom"/>
          </w:tcPr>
          <w:p>
            <w:pPr>
              <w:spacing w:after="0"/>
              <w:rPr>
                <w:sz w:val="24"/>
                <w:szCs w:val="24"/>
                <w:color w:val="auto"/>
              </w:rPr>
            </w:pPr>
          </w:p>
        </w:tc>
        <w:tc>
          <w:tcPr>
            <w:tcW w:w="2520" w:type="dxa"/>
            <w:vAlign w:val="bottom"/>
          </w:tcPr>
          <w:p>
            <w:pPr>
              <w:ind w:left="2340"/>
              <w:spacing w:after="0"/>
              <w:rPr>
                <w:sz w:val="20"/>
                <w:szCs w:val="20"/>
                <w:color w:val="auto"/>
              </w:rPr>
            </w:pPr>
            <w:r>
              <w:rPr>
                <w:rFonts w:ascii="Arial" w:cs="Arial" w:eastAsia="Arial" w:hAnsi="Arial"/>
                <w:sz w:val="18"/>
                <w:szCs w:val="18"/>
                <w:color w:val="auto"/>
                <w:w w:val="83"/>
              </w:rPr>
              <w:t>by</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Scott D. Hoffman</w:t>
            </w:r>
          </w:p>
        </w:tc>
      </w:tr>
      <w:tr>
        <w:trPr>
          <w:trHeight w:val="202"/>
        </w:trPr>
        <w:tc>
          <w:tcPr>
            <w:tcW w:w="3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Scott D. Hoffman</w:t>
            </w:r>
          </w:p>
        </w:tc>
      </w:tr>
      <w:tr>
        <w:trPr>
          <w:trHeight w:val="222"/>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Managing Director and General Counsel</w:t>
            </w:r>
          </w:p>
        </w:tc>
      </w:tr>
    </w:tbl>
    <w:p>
      <w:pPr>
        <w:sectPr>
          <w:pgSz w:w="11900" w:h="16838" w:orient="portrait"/>
          <w:cols w:equalWidth="0" w:num="1">
            <w:col w:w="11420"/>
          </w:cols>
          <w:pgMar w:left="240" w:top="125" w:right="2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8"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Name (as per Preamble):</w:t>
      </w:r>
      <w:r>
        <w:rPr>
          <w:sz w:val="20"/>
          <w:szCs w:val="20"/>
          <w:color w:val="auto"/>
        </w:rPr>
        <w:tab/>
      </w:r>
      <w:r>
        <w:rPr>
          <w:rFonts w:ascii="Arial" w:cs="Arial" w:eastAsia="Arial" w:hAnsi="Arial"/>
          <w:sz w:val="15"/>
          <w:szCs w:val="15"/>
          <w:color w:val="auto"/>
        </w:rPr>
        <w:t>Mr. Kenneth M. Jacobs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Effective upon the effective date of the Second Amendment to this Agreement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ind w:right="140" w:firstLine="464"/>
        <w:spacing w:after="0" w:line="306" w:lineRule="auto"/>
        <w:tabs>
          <w:tab w:leader="none" w:pos="632"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Schedule Term</w:t>
      </w:r>
      <w:r>
        <w:rPr>
          <w:rFonts w:ascii="Arial" w:cs="Arial" w:eastAsia="Arial" w:hAnsi="Arial"/>
          <w:sz w:val="16"/>
          <w:szCs w:val="16"/>
          <w:color w:val="auto"/>
        </w:rPr>
        <w:t>. For purposes of this Schedule I, the “</w:t>
      </w:r>
      <w:r>
        <w:rPr>
          <w:rFonts w:ascii="Arial" w:cs="Arial" w:eastAsia="Arial" w:hAnsi="Arial"/>
          <w:sz w:val="16"/>
          <w:szCs w:val="16"/>
          <w:u w:val="single" w:color="auto"/>
          <w:color w:val="auto"/>
        </w:rPr>
        <w:t>Schedule Term</w:t>
      </w:r>
      <w:r>
        <w:rPr>
          <w:rFonts w:ascii="Arial" w:cs="Arial" w:eastAsia="Arial" w:hAnsi="Arial"/>
          <w:sz w:val="16"/>
          <w:szCs w:val="16"/>
          <w:color w:val="auto"/>
        </w:rPr>
        <w:t>” shall mean the period from the Second Amendment Effective Date through March 31, 2016, subject to earlier termination in accordance with this Agreement. Notwithstanding the foregoing, upon a Change in Control (as defined below), the Schedule Term shall automatically be renewed so that the Schedule Term is not less than two years from the effective date of such Change in Control.</w:t>
      </w:r>
    </w:p>
    <w:p>
      <w:pPr>
        <w:spacing w:after="0" w:line="106" w:lineRule="exact"/>
        <w:rPr>
          <w:rFonts w:ascii="Arial" w:cs="Arial" w:eastAsia="Arial" w:hAnsi="Arial"/>
          <w:sz w:val="16"/>
          <w:szCs w:val="16"/>
          <w:color w:val="auto"/>
        </w:rPr>
      </w:pPr>
    </w:p>
    <w:p>
      <w:pPr>
        <w:ind w:firstLine="464"/>
        <w:spacing w:after="0" w:line="284" w:lineRule="auto"/>
        <w:tabs>
          <w:tab w:leader="none" w:pos="632"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Notwithstanding anything to the contrary contained in Sections 3(c)(i) and (ii) of this Agreement, subject to the Executive’s continued employment with the Firm, during the Schedule Term, the Executive shall be entitled to receive (i) an annual base salary of not less than $900,000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Salary</w:t>
      </w:r>
      <w:r>
        <w:rPr>
          <w:rFonts w:ascii="Arial" w:cs="Arial" w:eastAsia="Arial" w:hAnsi="Arial"/>
          <w:sz w:val="16"/>
          <w:szCs w:val="16"/>
          <w:color w:val="auto"/>
        </w:rPr>
        <w:t>”) and (ii) so long as the Executive remains employed by the Firm through the end of the applicable fiscal year of Lazard (except as otherwise provided below in this Schedule I), an annual bonus to be determined under the terms of the applicable annual bonus plan of Lazard on the same basis as annual bonuses are determined for other executive officers of PubliCo. Any such annual bonus awarded to the Executive shall be paid as follows: (A) subject to significant changes in applicable legal requirements or prevailing market compensation practices following the Second Amendment Effective Date, the first $2.1 million of any annual bonus award (or, in the event the Base Salary is increased, the amount equal to $3 million less the amount of the Base Salary paid to the Executive for the applicable fiscal year of Lazard for which the annual bonus was awarded) shall be paid in cash at the time cash bonuses are normally paid by Lazard for such fiscal year (and in all events no earlier than January 1st, and no later than March 15th, of the year following the applicable fiscal year for which the bonus is awarded), and (B) any remaining portion of any such annual bonus that is not paid in cash shall be paid in the form and on the terms and conditions as determined by the Compensation Committee of the Board of Directors of PubliCo (the “Compensation Committee”) in consultation with the Executive. For purposes hereof, the term Base Salary shall refer to Base Salary as in effect from time to time, including any increases thereto. Notwithstanding anything to the contrary contained in Section 3(c)(iv) of this Agreement, subject to the Executive’s continued employment, the Executive shall continue to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 In addition, during the Schedule Term, subject to the Executive’s continued employment, the Executive, shall continue to be entitled to receive fringe benefits and perquisites on the same basis as applied to the Executive immediately prior to the Second Amendment Effective Date subject to the terms of the policies adopted by the Compensation Committee as in effect from time to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90" w:right="259" w:bottom="1440" w:gutter="0" w:footer="0" w:header="0"/>
        </w:sectPr>
      </w:pPr>
    </w:p>
    <w:bookmarkStart w:id="143" w:name="page144"/>
    <w:bookmarkEnd w:id="143"/>
    <w:p>
      <w:pPr>
        <w:ind w:firstLine="464"/>
        <w:spacing w:after="0" w:line="284" w:lineRule="auto"/>
        <w:tabs>
          <w:tab w:leader="none" w:pos="632"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Severance Pay and Benefits under Certain Circumstances</w:t>
      </w:r>
      <w:r>
        <w:rPr>
          <w:rFonts w:ascii="Arial" w:cs="Arial" w:eastAsia="Arial" w:hAnsi="Arial"/>
          <w:sz w:val="16"/>
          <w:szCs w:val="16"/>
          <w:color w:val="auto"/>
        </w:rPr>
        <w:t>. Notwithstanding anything to the contrary contained in Section 3(d) of this Agreement, in the event that during the Schedule Term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shall pay the Executive (subject to the Executive delivering a waiver and release in accordance with this paragraph 3 of this Schedule I in the event such Qualifying Termination occurs prior to a Change in Control), in a lump sum in cash on the 61st day after the Date of Termination (as defined below), the aggregate of the following amounts: (i) any unpaid Base Salary through the Date of Termination; (ii) any earned and unpaid bonus amounts for fiscal years of Lazard completed prior to the Date of Termination (determined in accordance with paragraph 2 of this Schedule I and with any such bonus to be paid in full in cash); and (iii) the product of (1) the “</w:t>
      </w:r>
      <w:r>
        <w:rPr>
          <w:rFonts w:ascii="Arial" w:cs="Arial" w:eastAsia="Arial" w:hAnsi="Arial"/>
          <w:sz w:val="16"/>
          <w:szCs w:val="16"/>
          <w:u w:val="single" w:color="auto"/>
          <w:color w:val="auto"/>
        </w:rPr>
        <w:t>Severance Multiple</w:t>
      </w:r>
      <w:r>
        <w:rPr>
          <w:rFonts w:ascii="Arial" w:cs="Arial" w:eastAsia="Arial" w:hAnsi="Arial"/>
          <w:sz w:val="16"/>
          <w:szCs w:val="16"/>
          <w:color w:val="auto"/>
        </w:rPr>
        <w:t>” (as defined below) and (2) the sum of (x) the Base Salary and (y) the average annual bonus (or, to the extent applicable, cash distributions, and 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6"/>
          <w:szCs w:val="16"/>
          <w:u w:val="single" w:color="auto"/>
          <w:color w:val="auto"/>
        </w:rPr>
        <w:t>Average Bonus</w:t>
      </w:r>
      <w:r>
        <w:rPr>
          <w:rFonts w:ascii="Arial" w:cs="Arial" w:eastAsia="Arial" w:hAnsi="Arial"/>
          <w:sz w:val="16"/>
          <w:szCs w:val="16"/>
          <w:color w:val="auto"/>
        </w:rPr>
        <w:t>”). In addition, upon a Qualifying Termination, for a period of months equal to the product of (A) 12 and (B) the Severance Multiple (the “</w:t>
      </w:r>
      <w:r>
        <w:rPr>
          <w:rFonts w:ascii="Arial" w:cs="Arial" w:eastAsia="Arial" w:hAnsi="Arial"/>
          <w:sz w:val="16"/>
          <w:szCs w:val="16"/>
          <w:u w:val="single" w:color="auto"/>
          <w:color w:val="auto"/>
        </w:rPr>
        <w:t>Benefit Continuation Period</w:t>
      </w:r>
      <w:r>
        <w:rPr>
          <w:rFonts w:ascii="Arial" w:cs="Arial" w:eastAsia="Arial" w:hAnsi="Arial"/>
          <w:sz w:val="16"/>
          <w:szCs w:val="16"/>
          <w:color w:val="auto"/>
        </w:rPr>
        <w:t xml:space="preserve">”), the Executive and his eligible dependents shall continue to be eligible to participate in the medical and dental benefit plans of Lazard on the same basis as the Executive participated in such plans immediately prior to the Date of Termination. Following the Benefit Continuation Period in the case of a Qualifying Termination, or the Date of Termination in the case of any other termination during the Term other than a termination for Cause, for the remainder of the Executive’s life and that of his current spouse, the Executive, his spouse and his eligible dependents shall continue to be eligible to participate in the medical and dental benefit plans of Lazard on the same basis as the Executive participated in such plans immediately prior to the Date of Termination to the extent that the applicable plan permits such continued participation for all or any portion of such period (it being agreed that Lazard will use its reasonable best efforts to cause such continued coverage to be permitted under the applicable plan for the entire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Executive (or the Executive’s current spouse or estate, as applicable) shall be solely responsible for the full cost of all premiums related to the coverage provided in this sentence.</w:t>
      </w:r>
    </w:p>
    <w:p>
      <w:pPr>
        <w:spacing w:after="0" w:line="12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addition, in the case of (a) a Qualifying Termination during the Schedule Term or (b) the Executive’s death or termination due to Disability during the Schedule Term, with respect to the fiscal year of Lazard during which the Date of Termination occurs, the Executive or his estate, as applicable, shall receive a pro-rata annual bonus payable in cash determined as follows:</w:t>
      </w:r>
    </w:p>
    <w:p>
      <w:pPr>
        <w:spacing w:after="0" w:line="59" w:lineRule="exact"/>
        <w:rPr>
          <w:sz w:val="20"/>
          <w:szCs w:val="20"/>
          <w:color w:val="auto"/>
        </w:rPr>
      </w:pPr>
    </w:p>
    <w:p>
      <w:pPr>
        <w:ind w:left="1120" w:hanging="217"/>
        <w:spacing w:after="0"/>
        <w:tabs>
          <w:tab w:leader="none" w:pos="112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if, with respect to the fiscal year during which the Date of Termination occurs (other than (x) as a result of the Executive’s death or Disability or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following a Change in Control), (A) the Executive was reasonably expected by Lazard to be a “covered employee” (within the meaning of</w:t>
      </w:r>
    </w:p>
    <w:p>
      <w:pPr>
        <w:spacing w:after="0" w:line="32" w:lineRule="exact"/>
        <w:rPr>
          <w:sz w:val="20"/>
          <w:szCs w:val="20"/>
          <w:color w:val="auto"/>
        </w:rPr>
      </w:pPr>
    </w:p>
    <w:p>
      <w:pPr>
        <w:ind w:left="460" w:right="440"/>
        <w:spacing w:after="0" w:line="254" w:lineRule="auto"/>
        <w:rPr>
          <w:sz w:val="20"/>
          <w:szCs w:val="20"/>
          <w:color w:val="auto"/>
        </w:rPr>
      </w:pPr>
      <w:r>
        <w:rPr>
          <w:rFonts w:ascii="Arial" w:cs="Arial" w:eastAsia="Arial" w:hAnsi="Arial"/>
          <w:sz w:val="18"/>
          <w:szCs w:val="18"/>
          <w:color w:val="auto"/>
        </w:rPr>
        <w:t>Section 162(m) of the Internal Revenue Code of 1986, as amended and the regulations promulgated thereunder (the “</w:t>
      </w:r>
      <w:r>
        <w:rPr>
          <w:rFonts w:ascii="Arial" w:cs="Arial" w:eastAsia="Arial" w:hAnsi="Arial"/>
          <w:sz w:val="18"/>
          <w:szCs w:val="18"/>
          <w:u w:val="single" w:color="auto"/>
          <w:color w:val="auto"/>
        </w:rPr>
        <w:t>Code</w:t>
      </w:r>
      <w:r>
        <w:rPr>
          <w:rFonts w:ascii="Arial" w:cs="Arial" w:eastAsia="Arial" w:hAnsi="Arial"/>
          <w:sz w:val="18"/>
          <w:szCs w:val="18"/>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 Executive’s pro-rata annual bonus shall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34" w:right="259" w:bottom="1440" w:gutter="0" w:footer="0" w:header="0"/>
        </w:sectPr>
      </w:pPr>
    </w:p>
    <w:bookmarkStart w:id="144" w:name="page145"/>
    <w:bookmarkEnd w:id="144"/>
    <w:p>
      <w:pPr>
        <w:ind w:left="460"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equal the product of (1)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who received bonuses for such prior fiscal year in amounts within 5% of the Executive’s bonus for such prior fiscal year), and (2)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6"/>
          <w:szCs w:val="16"/>
          <w:u w:val="single" w:color="auto"/>
          <w:color w:val="auto"/>
        </w:rPr>
        <w:t>Pro-Ration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Fraction</w:t>
      </w:r>
      <w:r>
        <w:rPr>
          <w:rFonts w:ascii="Arial" w:cs="Arial" w:eastAsia="Arial" w:hAnsi="Arial"/>
          <w:sz w:val="16"/>
          <w:szCs w:val="16"/>
          <w:color w:val="auto"/>
        </w:rPr>
        <w:t>”); or</w:t>
      </w:r>
    </w:p>
    <w:p>
      <w:pPr>
        <w:spacing w:after="0" w:line="37" w:lineRule="exact"/>
        <w:rPr>
          <w:sz w:val="20"/>
          <w:szCs w:val="20"/>
          <w:color w:val="auto"/>
        </w:rPr>
      </w:pPr>
    </w:p>
    <w:p>
      <w:pPr>
        <w:ind w:left="460" w:right="60" w:firstLine="443"/>
        <w:spacing w:after="0" w:line="294" w:lineRule="auto"/>
        <w:tabs>
          <w:tab w:leader="none" w:pos="115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either (A) with respect to the fiscal year during which the Date of Termination occurs, (1) the Executive is not reasonably expected by Lazard to be a “covered employee” (within the meaning of Section 162(m) of the Code) prior to his Date of Termination or (2) such termination is a result of the Executive’s death or Disability or occurs following a Change in Control or (B) the annual bonus that the Executive was eligible to receive for the year in which the Date of Termination occurs was not originally intended by Lazard to satisfy the performance-based exception under Section 162(m) of the Code, the pro-rata annual bonus shall equal the product of (x) the Average Bonus and (y) the Pro-Ration Fraction.</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pro-rata annual bonus determined pursuant to clause (i) or (ii) above, as applicable, shall be paid at such time or times as Lazard otherwise makes incentive payments for such fiscal year (and in all events no earlier than January 1st, and no later than March 15th, of the year following the year in which the Date of Termination occurs).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Notwithstanding the foregoing, the payments and benefits (other than any earned and unpaid compensation described in clauses (i) and (ii) of the first paragraph of this paragraph 3 of this Schedule I) payable to the Executive pursuant to this paragraph 3 of this Schedule 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has become effective and irrevocable in accordance with its terms (such requirement to execute a release, the “</w:t>
      </w:r>
      <w:r>
        <w:rPr>
          <w:rFonts w:ascii="Arial" w:cs="Arial" w:eastAsia="Arial" w:hAnsi="Arial"/>
          <w:sz w:val="18"/>
          <w:szCs w:val="18"/>
          <w:u w:val="single" w:color="auto"/>
          <w:color w:val="auto"/>
        </w:rPr>
        <w:t>Release Requirement</w:t>
      </w:r>
      <w:r>
        <w:rPr>
          <w:rFonts w:ascii="Arial" w:cs="Arial" w:eastAsia="Arial" w:hAnsi="Arial"/>
          <w:sz w:val="18"/>
          <w:szCs w:val="18"/>
          <w:color w:val="auto"/>
        </w:rPr>
        <w:t>”). Notwithstanding the foregoing, the Release Requirement shall lapse upon a Change in Control.</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all purposes of this Agreement, including without limitation, Sections 2(g)(ii) and 5(a), and for all purposes of the outstanding equity-based awards, fund interest awards and any similar awards held by the Executive as of the Date of Termination (as defined in this Schedule I) (collectively, the “</w:t>
      </w:r>
      <w:r>
        <w:rPr>
          <w:rFonts w:ascii="Arial" w:cs="Arial" w:eastAsia="Arial" w:hAnsi="Arial"/>
          <w:sz w:val="18"/>
          <w:szCs w:val="18"/>
          <w:u w:val="single" w:color="auto"/>
          <w:color w:val="auto"/>
        </w:rPr>
        <w:t>Awards</w:t>
      </w:r>
      <w:r>
        <w:rPr>
          <w:rFonts w:ascii="Arial" w:cs="Arial" w:eastAsia="Arial" w:hAnsi="Arial"/>
          <w:sz w:val="18"/>
          <w:szCs w:val="18"/>
          <w:color w:val="auto"/>
        </w:rPr>
        <w:t>”), a resignation by the Executive for Good Reason during the Term shall be treated as a termination of the Executive by the Firm without Cause or as a Termination of Employment by the Firm other than for Cause (as such phrase or similar phrases are defined in the Plan (as defined in paragraph 4 of this Schedule I) or the award agreements governing the Awards), as applicable.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5" w:name="page146"/>
    <w:bookmarkEnd w:id="145"/>
    <w:p>
      <w:pPr>
        <w:ind w:right="3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event shall the Executive be obligated to seek other employment or take any other action by way of mitigation of the amounts payable to the Executive under any of the provisions of this paragraph 3 of this Schedule I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and this Schedule I, as applicable, the following terms shall have the following meanings:</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assigned to it in the Lazard 2008 Incentive Compensation Plan, as it may be amended from time to time, or any successor plan thereto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Notwithstanding the definition of “Date of Termination” set forth in Section 5 of this Agreement, for all purposes of this Agreement, including Section 5, and this Schedule I,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formally notifies the Executive in writing that it does not intend to cure, unless Lazard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including this Schedule I, constitutes a “separation from service” within the meaning of Section 409A of the Code, and notwithstanding anything contained herein (or in this Agreement) to the contrary, (x) to the extent that any amounts owed to the Executive under this Agreement (including this Schedule I)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without limitation, the default presumptions thereof and</w:t>
      </w:r>
    </w:p>
    <w:p>
      <w:pPr>
        <w:spacing w:after="0" w:line="5" w:lineRule="exact"/>
        <w:rPr>
          <w:sz w:val="20"/>
          <w:szCs w:val="20"/>
          <w:color w:val="auto"/>
        </w:rPr>
      </w:pPr>
    </w:p>
    <w:p>
      <w:pPr>
        <w:ind w:left="5680" w:right="4540" w:hanging="5672"/>
        <w:spacing w:after="0" w:line="517" w:lineRule="auto"/>
        <w:tabs>
          <w:tab w:leader="none" w:pos="26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date on which such separation from service takes place shall be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5</w:t>
      </w:r>
    </w:p>
    <w:p>
      <w:pPr>
        <w:sectPr>
          <w:pgSz w:w="11900" w:h="16838" w:orient="portrait"/>
          <w:cols w:equalWidth="0" w:num="1">
            <w:col w:w="11420"/>
          </w:cols>
          <w:pgMar w:left="240" w:top="334" w:right="239" w:bottom="1440" w:gutter="0" w:footer="0" w:header="0"/>
        </w:sectPr>
      </w:pPr>
    </w:p>
    <w:bookmarkStart w:id="146" w:name="page147"/>
    <w:bookmarkEnd w:id="146"/>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definition of “Cause” set forth in Section 2(g)(iv) of this Agreement, for all purposes of this Agreement, including Section 2(g)(iv) and this Schedule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(other than any such failure resulting from incapacity due to physical or mental illness or following the Firm’s termination of the Executive other than for Cause or the Executive’s termination for Good Reason in accordance with this Schedule I) (i) to perform his employment duties in any material respect or (ii) to follow specific reasonable directions received from the Board of Directors of PubliCo, in each case following written notice to the Executive of such failure and, if such failure is curable, the Executive’s failing to cure such failure within a reasonable time (but in no event less than thirty (30) days after actual receipt by Executive of such written notice); or (D) a breach of the Covenants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(B), (C)(i) and (D) hereof, the Executive’s acts or failure to act shall not constitute Cause to the extent taken (or not taken) based upon the direct instructions of the Board of Directors of PubliCo or upon the direct advice of counsel to the Firm. Except in the case of a termination of the Executive’s employment under clause (A)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6"/>
          <w:szCs w:val="16"/>
          <w:u w:val="single" w:color="auto"/>
          <w:color w:val="auto"/>
        </w:rPr>
        <w:t>Applicable Board</w:t>
      </w:r>
      <w:r>
        <w:rPr>
          <w:rFonts w:ascii="Arial" w:cs="Arial" w:eastAsia="Arial" w:hAnsi="Arial"/>
          <w:sz w:val="16"/>
          <w:szCs w:val="16"/>
          <w:color w:val="auto"/>
        </w:rPr>
        <w:t>”) finding that, in the good faith opinion of the Applicable Board, circumstances constituting Cause exist.</w:t>
      </w:r>
    </w:p>
    <w:p>
      <w:pPr>
        <w:spacing w:after="0" w:line="133"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or any other action by the Firm which results in a material diminution in such positions (including status, offices, titles and reporting requirements), authority, duties or responsibilities from those contemplated by Section 3(b) of this Agreement, (ii) a material breach by the Firm of the terms of this Agreement, including, without limitation, any material failure by the Firm to comply with paragraph 2 of this Schedule I or the nondisparagement covenant in Section 8 of this Agreement,</w:t>
      </w:r>
    </w:p>
    <w:p>
      <w:pPr>
        <w:spacing w:after="0" w:line="2" w:lineRule="exact"/>
        <w:rPr>
          <w:sz w:val="20"/>
          <w:szCs w:val="20"/>
          <w:color w:val="auto"/>
        </w:rPr>
      </w:pPr>
    </w:p>
    <w:p>
      <w:pPr>
        <w:ind w:right="180" w:firstLine="8"/>
        <w:spacing w:after="0" w:line="252" w:lineRule="auto"/>
        <w:tabs>
          <w:tab w:leader="none" w:pos="3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without the Executive’s written consent, any requirement that the Executive’s principal place of employment be relocated to a location that increases the Executive’s commute from his primary residence by more than thirty (30) miles or (iv) failure of the Firm to continue, following the expiration of the Schedule Term, the Executive’s employment as Chief Executive Officer of PubliCo and Lazard and Chairman of the Board of Directors of PubliCo pursuant to an agreement (which, for the avoidance of doubt, may be in a form similar to this Schedule I) having terms and conditions that are reasonable and customary at the time of such expiration, except that, in the event the Executive rejects an offer of continued employment consistent with the foregoing, Good Reason shall not exist pursuant to this clause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4" w:right="239" w:bottom="1440" w:gutter="0" w:footer="0" w:header="0"/>
        </w:sectPr>
      </w:pPr>
    </w:p>
    <w:bookmarkStart w:id="147" w:name="page148"/>
    <w:bookmarkEnd w:id="14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 In the event of a termination for Good Reason (other than pursuant to clause (iv) of the definition of Good Reason), the notice requirements of Section 1 of this Agreement shall not apply. For the avoidance of doubt, in the event of a termination for Good Reason pursuant to clause (iv) of the definition of Good Reason, the notice requirements of Section 1 of this Agreement shall apply. Notwithstanding the foregoing, a termination for Good Reason shall not have occurred unless (i) the Executive gives written notice to Lazard of termination of employment within ninety (90) days after the Executive first becomes aware of the occurrence of the circumstances constituting Good Reason, specifying in reasonable detail the circumstances constituting Good Reason, and Lazard has failed within thirty (30) days after receipt of such notice to cure (if capable of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Multiple</w:t>
      </w:r>
      <w:r>
        <w:rPr>
          <w:rFonts w:ascii="Arial" w:cs="Arial" w:eastAsia="Arial" w:hAnsi="Arial"/>
          <w:sz w:val="18"/>
          <w:szCs w:val="18"/>
          <w:color w:val="auto"/>
        </w:rPr>
        <w:t>” shall equal two (2).</w:t>
      </w:r>
    </w:p>
    <w:p>
      <w:pPr>
        <w:spacing w:after="0" w:line="171" w:lineRule="exact"/>
        <w:rPr>
          <w:sz w:val="20"/>
          <w:szCs w:val="20"/>
          <w:color w:val="auto"/>
        </w:rPr>
      </w:pPr>
    </w:p>
    <w:p>
      <w:pPr>
        <w:ind w:right="20" w:firstLine="464"/>
        <w:spacing w:after="0" w:line="304" w:lineRule="auto"/>
        <w:tabs>
          <w:tab w:leader="none" w:pos="632" w:val="left"/>
        </w:tabs>
        <w:numPr>
          <w:ilvl w:val="0"/>
          <w:numId w:val="134"/>
        </w:numPr>
        <w:rPr>
          <w:rFonts w:ascii="Arial" w:cs="Arial" w:eastAsia="Arial" w:hAnsi="Arial"/>
          <w:sz w:val="15"/>
          <w:szCs w:val="15"/>
          <w:color w:val="auto"/>
        </w:rPr>
      </w:pPr>
      <w:r>
        <w:rPr>
          <w:rFonts w:ascii="Arial" w:cs="Arial" w:eastAsia="Arial" w:hAnsi="Arial"/>
          <w:sz w:val="15"/>
          <w:szCs w:val="15"/>
          <w:u w:val="single" w:color="auto"/>
          <w:color w:val="auto"/>
        </w:rPr>
        <w:t>Certain Limitations on Payments</w:t>
      </w:r>
      <w:r>
        <w:rPr>
          <w:rFonts w:ascii="Arial" w:cs="Arial" w:eastAsia="Arial" w:hAnsi="Arial"/>
          <w:sz w:val="15"/>
          <w:szCs w:val="15"/>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5"/>
          <w:szCs w:val="15"/>
          <w:u w:val="single" w:color="auto"/>
          <w:color w:val="auto"/>
        </w:rPr>
        <w:t>Accountant</w:t>
      </w:r>
      <w:r>
        <w:rPr>
          <w:rFonts w:ascii="Arial" w:cs="Arial" w:eastAsia="Arial" w:hAnsi="Arial"/>
          <w:sz w:val="15"/>
          <w:szCs w:val="15"/>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 (within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Arial" w:cs="Arial" w:eastAsia="Arial" w:hAnsi="Arial"/>
          <w:sz w:val="15"/>
          <w:szCs w:val="15"/>
          <w:u w:val="single" w:color="auto"/>
          <w:color w:val="auto"/>
        </w:rPr>
        <w:t>Parachute</w:t>
      </w:r>
      <w:r>
        <w:rPr>
          <w:rFonts w:ascii="Arial" w:cs="Arial" w:eastAsia="Arial" w:hAnsi="Arial"/>
          <w:sz w:val="15"/>
          <w:szCs w:val="15"/>
          <w:color w:val="auto"/>
        </w:rPr>
        <w:t xml:space="preserve"> </w:t>
      </w:r>
      <w:r>
        <w:rPr>
          <w:rFonts w:ascii="Arial" w:cs="Arial" w:eastAsia="Arial" w:hAnsi="Arial"/>
          <w:sz w:val="15"/>
          <w:szCs w:val="15"/>
          <w:u w:val="single" w:color="auto"/>
          <w:color w:val="auto"/>
        </w:rPr>
        <w:t>Payments</w:t>
      </w:r>
      <w:r>
        <w:rPr>
          <w:rFonts w:ascii="Arial" w:cs="Arial" w:eastAsia="Arial" w:hAnsi="Arial"/>
          <w:sz w:val="15"/>
          <w:szCs w:val="15"/>
          <w:color w:val="auto"/>
        </w:rPr>
        <w:t>”) that, but for this paragraph 5 of this Schedule I,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Arial" w:cs="Arial" w:eastAsia="Arial" w:hAnsi="Arial"/>
          <w:sz w:val="15"/>
          <w:szCs w:val="15"/>
          <w:u w:val="single" w:color="auto"/>
          <w:color w:val="auto"/>
        </w:rPr>
        <w:t>Excise Tax</w:t>
      </w:r>
      <w:r>
        <w:rPr>
          <w:rFonts w:ascii="Arial" w:cs="Arial" w:eastAsia="Arial" w:hAnsi="Arial"/>
          <w:sz w:val="15"/>
          <w:szCs w:val="15"/>
          <w:color w:val="auto"/>
        </w:rPr>
        <w:t>”), then the aggregate amount of Parachute Payments payable to the Executive shall equal the amount that produces the greatest after-tax benefit to the Executive after taking into account first any positions to mitigate such Excise Tax (including, without limitation, mitigation under a “reasonable compensation” analysis) and second any Excise Tax payable by the 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Arial" w:cs="Arial" w:eastAsia="Arial" w:hAnsi="Arial"/>
          <w:sz w:val="15"/>
          <w:szCs w:val="15"/>
          <w:u w:val="single" w:color="auto"/>
          <w:color w:val="auto"/>
        </w:rPr>
        <w:t>Agreement Payments</w:t>
      </w:r>
      <w:r>
        <w:rPr>
          <w:rFonts w:ascii="Arial" w:cs="Arial" w:eastAsia="Arial" w:hAnsi="Arial"/>
          <w:sz w:val="15"/>
          <w:szCs w:val="15"/>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48" w:name="page149"/>
    <w:bookmarkEnd w:id="148"/>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making determinations under this paragraph 5 of this Schedule I and determining the Excise Tax (if any), the Accountant shall take into account the value of any reasonable compensation for services to be rendered by the Executive before or after the change of control, including, without limitation,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paragraph 3 of this Schedule I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paragraph 5 of this Schedule I shall be borne by the Firm, and the Firm shall reimburse the Executive for all reasonable legal fees incurred with respect to the calculations under this paragraph 5 of this Schedule I and any reasonable legal and accounting fees incurred with respect to disputes related thereto.</w:t>
      </w:r>
    </w:p>
    <w:p>
      <w:pPr>
        <w:spacing w:after="0" w:line="123" w:lineRule="exact"/>
        <w:rPr>
          <w:sz w:val="20"/>
          <w:szCs w:val="20"/>
          <w:color w:val="auto"/>
        </w:rPr>
      </w:pPr>
    </w:p>
    <w:p>
      <w:pPr>
        <w:ind w:right="20" w:firstLine="464"/>
        <w:spacing w:after="0" w:line="283" w:lineRule="auto"/>
        <w:tabs>
          <w:tab w:leader="none" w:pos="632"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It is the intention of the parties that the payments and benefits to which the Executive could become entitled pursuant to this Agreement (including this Schedule I),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paragraph 3 of this Schedule I on account of the Executive’s termination of employment which is an “involuntary separation from service” (within the meaning of Treasury Regulation</w:t>
      </w:r>
    </w:p>
    <w:p>
      <w:pPr>
        <w:ind w:right="120"/>
        <w:spacing w:after="0" w:line="285" w:lineRule="auto"/>
        <w:rPr>
          <w:rFonts w:ascii="Arial" w:cs="Arial" w:eastAsia="Arial" w:hAnsi="Arial"/>
          <w:sz w:val="16"/>
          <w:szCs w:val="16"/>
          <w:color w:val="auto"/>
        </w:rPr>
      </w:pPr>
      <w:r>
        <w:rPr>
          <w:rFonts w:ascii="Arial" w:cs="Arial" w:eastAsia="Arial" w:hAnsi="Arial"/>
          <w:sz w:val="16"/>
          <w:szCs w:val="16"/>
          <w:color w:val="auto"/>
        </w:rPr>
        <w:t>Section 1.409A-1(n)) shall be paid as provided under paragraph 3 of this Schedule I and in no event later than March 15 of the year following the year in which the Date of Termination occurs. In the event the parties determine that the terms of this Agreement, including this Schedule I, do not comply with Section 409A of the Code, they will negotiate reasonably and in good faith to amend the terms of this Agreement and/or Schedule I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(including this Schedule I)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Schedule I or this Agreement, if (i) the Executive is to receive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34" w:right="259" w:bottom="1440" w:gutter="0" w:footer="0" w:header="0"/>
        </w:sectPr>
      </w:pPr>
    </w:p>
    <w:bookmarkStart w:id="149" w:name="page150"/>
    <w:bookmarkEnd w:id="14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Arial" w:cs="Arial" w:eastAsia="Arial" w:hAnsi="Arial"/>
          <w:sz w:val="16"/>
          <w:szCs w:val="16"/>
          <w:u w:val="single" w:color="auto"/>
          <w:color w:val="auto"/>
        </w:rPr>
        <w:t>Interest</w:t>
      </w:r>
      <w:r>
        <w:rPr>
          <w:rFonts w:ascii="Arial" w:cs="Arial" w:eastAsia="Arial" w:hAnsi="Arial"/>
          <w:sz w:val="16"/>
          <w:szCs w:val="16"/>
          <w:color w:val="auto"/>
        </w:rPr>
        <w:t>”) determined as of the Date of Termination, as provided below in this paragraph 6 of this Schedule I.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or this Schedule I, as the case may be.</w:t>
      </w:r>
    </w:p>
    <w:p>
      <w:pPr>
        <w:spacing w:after="0" w:line="127" w:lineRule="exact"/>
        <w:rPr>
          <w:sz w:val="20"/>
          <w:szCs w:val="20"/>
          <w:color w:val="auto"/>
        </w:rPr>
      </w:pPr>
    </w:p>
    <w:p>
      <w:pPr>
        <w:ind w:left="640" w:hanging="17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Section 3(b) of this Agreement is hereby amended to replace the first sentence thereof with the following: During the Schedule Term (as defined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the Executive shall continue to (i) serve as the Chief Executive Officer of PubliCo and Lazard, with such authority, duties and responsibilities as are consistent with the authority, duties and responsibilities exercised by the Executive in his capacity as Chief Executive Officer on the Second Amendment Effective Date (as defined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including, without limitation, the authority, duties and responsibilities that he exercises as the chief executive officer of a public company, (ii) serve as a member and as the Chairman of the Board of Directors of PubliCo, with such authority, duties and responsibilities as are consistent with the authority, duties and responsibilities exercised by the Executive as Chairman of the Board of Directors of PubliCo on the Second Amendment Effective Date, (iii) report directly to the Board of Directors of PubliCo and (iv) other than in respect of charitable, educational and similar activities that do not materially affect the Executive’s duties to the Firm (or in respect of directorships, trusteeships, or similar posts, in each case, that are approved by the Board of Directors of PubliCo) shall devote his entire working time, labor, skill and energies to the business and affairs of the Firm.</w:t>
      </w:r>
    </w:p>
    <w:p>
      <w:pPr>
        <w:spacing w:after="0" w:line="12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u w:val="single" w:color="auto"/>
          <w:color w:val="auto"/>
        </w:rPr>
        <w:t>Section 3(c)(ii)</w:t>
      </w:r>
      <w:r>
        <w:rPr>
          <w:rFonts w:ascii="Arial" w:cs="Arial" w:eastAsia="Arial" w:hAnsi="Arial"/>
          <w:sz w:val="18"/>
          <w:szCs w:val="18"/>
          <w:color w:val="auto"/>
        </w:rPr>
        <w:t>. Section 3(c)(ii) of this Agreement is hereby amended to replace the reference to the “CEO” with a reference to the “Compensation Committee of the Board of Directors of PubliCo” and to delete the parenthetical that follows.</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Noncompetition</w:t>
      </w:r>
      <w:r>
        <w:rPr>
          <w:rFonts w:ascii="Arial" w:cs="Arial" w:eastAsia="Arial" w:hAnsi="Arial"/>
          <w:sz w:val="16"/>
          <w:szCs w:val="16"/>
          <w:color w:val="auto"/>
        </w:rPr>
        <w:t>. Section 5(a) of this Agreement is hereby amended and restated in its entirety to read as follows: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50" w:name="page151"/>
    <w:bookmarkEnd w:id="15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three months after the Date of Termination for any reason other than a termination by the Firm without Cause or by the Executive for Good Reason or (ii) one month after the Date of Termination by the Firm without Cause or by the Executive for Good Reason (such period, the “</w:t>
      </w:r>
      <w:r>
        <w:rPr>
          <w:rFonts w:ascii="Arial" w:cs="Arial" w:eastAsia="Arial" w:hAnsi="Arial"/>
          <w:sz w:val="16"/>
          <w:szCs w:val="16"/>
          <w:u w:val="single" w:color="auto"/>
          <w:color w:val="auto"/>
        </w:rPr>
        <w:t>Noncompete Restriction Period</w:t>
      </w:r>
      <w:r>
        <w:rPr>
          <w:rFonts w:ascii="Arial" w:cs="Arial" w:eastAsia="Arial" w:hAnsi="Arial"/>
          <w:sz w:val="16"/>
          <w:szCs w:val="16"/>
          <w:color w:val="auto"/>
        </w:rPr>
        <w:t xml:space="preserve">”),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in the event of a termination by the Executive for Good Reason pursuant to clause (iv) of the definition of Good Reason, the provisions of clause (i) of this sentence shall apply rather than the provisions of clause (ii) of this sentence.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3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Nonsolicitation of Clients</w:t>
      </w:r>
      <w:r>
        <w:rPr>
          <w:rFonts w:ascii="Arial" w:cs="Arial" w:eastAsia="Arial" w:hAnsi="Arial"/>
          <w:sz w:val="18"/>
          <w:szCs w:val="18"/>
          <w:color w:val="auto"/>
        </w:rPr>
        <w:t>. Section 6 of this Agreement is hereby amended to replace the definition of “Client” with the following definition: “</w:t>
      </w:r>
      <w:r>
        <w:rPr>
          <w:rFonts w:ascii="Arial" w:cs="Arial" w:eastAsia="Arial" w:hAnsi="Arial"/>
          <w:sz w:val="18"/>
          <w:szCs w:val="18"/>
          <w:u w:val="single" w:color="auto"/>
          <w:color w:val="auto"/>
        </w:rPr>
        <w:t>Client</w:t>
      </w:r>
      <w:r>
        <w:rPr>
          <w:rFonts w:ascii="Arial" w:cs="Arial" w:eastAsia="Arial" w:hAnsi="Arial"/>
          <w:sz w:val="18"/>
          <w:szCs w:val="18"/>
          <w:color w:val="auto"/>
        </w:rPr>
        <w:t xml:space="preserve">” means any client or prospective client of the Firm, whether or not the Firm has been engaged by such Client pursuant to a written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Nondisparagement</w:t>
      </w:r>
      <w:r>
        <w:rPr>
          <w:rFonts w:ascii="Arial" w:cs="Arial" w:eastAsia="Arial" w:hAnsi="Arial"/>
          <w:sz w:val="16"/>
          <w:szCs w:val="16"/>
          <w:color w:val="auto"/>
        </w:rPr>
        <w:t>. Section 8 of this Agreement is hereby amended to add the following sentences immediately following the first sentence of such section: The Firm (including, without limitation,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51" w:name="page152"/>
    <w:bookmarkEnd w:id="151"/>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w:t>
      </w:r>
    </w:p>
    <w:p>
      <w:pPr>
        <w:spacing w:after="0" w:line="107" w:lineRule="exact"/>
        <w:rPr>
          <w:sz w:val="20"/>
          <w:szCs w:val="20"/>
          <w:color w:val="auto"/>
        </w:rPr>
      </w:pPr>
    </w:p>
    <w:p>
      <w:pPr>
        <w:ind w:right="20" w:firstLine="464"/>
        <w:spacing w:after="0" w:line="287" w:lineRule="auto"/>
        <w:tabs>
          <w:tab w:leader="none" w:pos="632"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Section 12 of this Agreement is hereby amended (i) to replace all references to the New York Stock Exchange, Inc.” and the “NYSE” with references to the “Financial Industry Regulatory Authority” and “FINRA,” as applicable, and (ii) to add the following sentences at the end of such section: Prior to a Change in Control (as defined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each party shall bear its own costs and expenses of any such arbitration. Following a Change in Control, Lazard shall pay to the Executive, as incurred, all legal fees and expenses reasonably incurred by the Executive or with respect to the Executive during his lifetime or within ten years after his death in connection with any contest by Lazard,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Section 12 or 13 of this Agreement or otherwise), plus Interest (as defined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determined as of the date such legal fees and expenses were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Executive shall promptly repay to Lazard all such amounts if the Executive fails to prevail on at least one material issue in dispute in any such contest.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16(b)</w:t>
      </w:r>
      <w:r>
        <w:rPr>
          <w:rFonts w:ascii="Arial" w:cs="Arial" w:eastAsia="Arial" w:hAnsi="Arial"/>
          <w:sz w:val="18"/>
          <w:szCs w:val="18"/>
          <w:color w:val="auto"/>
        </w:rPr>
        <w:t>. Paragraphs 2, 3, 4, 5 and 6 of this Schedule I are hereby added to the list of sections in Section 16(b) of this Agreement.</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u w:val="single" w:color="auto"/>
          <w:color w:val="auto"/>
        </w:rPr>
        <w:t>Section 16(d).</w:t>
      </w:r>
      <w:r>
        <w:rPr>
          <w:rFonts w:ascii="Arial" w:cs="Arial" w:eastAsia="Arial" w:hAnsi="Arial"/>
          <w:sz w:val="18"/>
          <w:szCs w:val="18"/>
          <w:color w:val="auto"/>
        </w:rPr>
        <w:t xml:space="preserve"> Section 16(d) of this Agreement is hereby amended to replace all references to the “CEO” with references to the “Board of Directors of PubliCo”.</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16(i)</w:t>
      </w:r>
      <w:r>
        <w:rPr>
          <w:rFonts w:ascii="Arial" w:cs="Arial" w:eastAsia="Arial" w:hAnsi="Arial"/>
          <w:sz w:val="18"/>
          <w:szCs w:val="18"/>
          <w:color w:val="auto"/>
        </w:rPr>
        <w:t>. Section 16 of this Agreement is hereby amended to add the following new subsection:</w:t>
      </w:r>
    </w:p>
    <w:p>
      <w:pPr>
        <w:spacing w:after="0" w:line="90" w:lineRule="exact"/>
        <w:rPr>
          <w:sz w:val="20"/>
          <w:szCs w:val="20"/>
          <w:color w:val="auto"/>
        </w:rPr>
      </w:pPr>
    </w:p>
    <w:p>
      <w:pPr>
        <w:ind w:left="460" w:firstLine="443"/>
        <w:spacing w:after="0" w:line="294" w:lineRule="auto"/>
        <w:tabs>
          <w:tab w:leader="none" w:pos="110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after-tax cost to the Executive of such benefits be greater than the cost applicable to similarly situated executives of the Firm who have not terminated employment or, following a Change in Control (as defined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the cost applicable to the Executive immediately prior to the Change in Control, if more favorable to the Executive.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9" w:right="279" w:bottom="1440" w:gutter="0" w:footer="0" w:header="0"/>
        </w:sectPr>
      </w:pPr>
    </w:p>
    <w:bookmarkStart w:id="152" w:name="page153"/>
    <w:bookmarkEnd w:id="152"/>
    <w:p>
      <w:pPr>
        <w:ind w:left="-100" w:firstLine="464"/>
        <w:spacing w:after="0" w:line="306" w:lineRule="auto"/>
        <w:tabs>
          <w:tab w:leader="none" w:pos="532"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6"/>
          <w:szCs w:val="16"/>
          <w:color w:val="auto"/>
        </w:rPr>
        <w:t>. This Second Amendment may be executed in any number of counterparts, each of which shall be an original and all of which, when taken together, will constitute one and the same instrument. Delivery of an executed counterpart of a signature page of this Second Amendment by facsimile transmission or electronic means (including by “pdf”) shall be effective as delivery of a manually executed counterpart of this Second Amendment.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40" w:top="334" w:right="31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 KMJ</w:t>
      </w:r>
      <w:r>
        <w:rPr>
          <w:rFonts w:ascii="Arial" w:cs="Arial" w:eastAsia="Arial" w:hAnsi="Arial"/>
          <w:sz w:val="18"/>
          <w:szCs w:val="18"/>
          <w:color w:val="auto"/>
        </w:rPr>
        <w:t xml:space="preserve"> Initialed by the Executive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SDH</w:t>
      </w:r>
      <w:r>
        <w:rPr>
          <w:rFonts w:ascii="Arial" w:cs="Arial" w:eastAsia="Arial" w:hAnsi="Arial"/>
          <w:sz w:val="18"/>
          <w:szCs w:val="18"/>
          <w:color w:val="auto"/>
        </w:rPr>
        <w:t xml:space="preserve"> Initialed by Lazard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SDH</w:t>
      </w:r>
      <w:r>
        <w:rPr>
          <w:rFonts w:ascii="Arial" w:cs="Arial" w:eastAsia="Arial" w:hAnsi="Arial"/>
          <w:sz w:val="18"/>
          <w:szCs w:val="18"/>
          <w:color w:val="auto"/>
        </w:rPr>
        <w:t xml:space="preserve"> Initialed by PubliCo</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334" w:right="1440" w:bottom="1440" w:gutter="0" w:footer="0" w:header="0"/>
        </w:sectPr>
      </w:pPr>
    </w:p>
    <w:bookmarkStart w:id="154" w:name="page155"/>
    <w:bookmarkEnd w:id="154"/>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41"/>
              <w:spacing w:after="0"/>
              <w:rPr>
                <w:sz w:val="20"/>
                <w:szCs w:val="20"/>
                <w:color w:val="auto"/>
              </w:rPr>
            </w:pPr>
            <w:r>
              <w:rPr>
                <w:rFonts w:ascii="Arial" w:cs="Arial" w:eastAsia="Arial" w:hAnsi="Arial"/>
                <w:sz w:val="14"/>
                <w:szCs w:val="14"/>
                <w:b w:val="1"/>
                <w:bCs w:val="1"/>
                <w:color w:val="auto"/>
                <w:w w:val="85"/>
              </w:rPr>
              <w:t>Nine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Months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
              <w:spacing w:after="0" w:line="114" w:lineRule="exact"/>
              <w:rPr>
                <w:sz w:val="20"/>
                <w:szCs w:val="20"/>
                <w:color w:val="auto"/>
              </w:rPr>
            </w:pPr>
            <w:r>
              <w:rPr>
                <w:rFonts w:ascii="Arial" w:cs="Arial" w:eastAsia="Arial" w:hAnsi="Arial"/>
                <w:sz w:val="12"/>
                <w:szCs w:val="12"/>
                <w:b w:val="1"/>
                <w:bCs w:val="1"/>
                <w:color w:val="auto"/>
              </w:rPr>
              <w:t>Ended</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5"/>
              </w:rPr>
              <w:t>September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61"/>
              <w:spacing w:after="0" w:line="149" w:lineRule="exact"/>
              <w:rPr>
                <w:sz w:val="20"/>
                <w:szCs w:val="20"/>
                <w:color w:val="auto"/>
              </w:rPr>
            </w:pPr>
            <w:r>
              <w:rPr>
                <w:rFonts w:ascii="Arial" w:cs="Arial" w:eastAsia="Arial" w:hAnsi="Arial"/>
                <w:sz w:val="14"/>
                <w:szCs w:val="14"/>
                <w:b w:val="1"/>
                <w:bCs w:val="1"/>
                <w:color w:val="auto"/>
              </w:rPr>
              <w:t>30,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4"/>
          </w:tcPr>
          <w:p>
            <w:pPr>
              <w:jc w:val="right"/>
              <w:ind w:right="180"/>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129,082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235,499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243,650</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(182,234)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25,140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$418,295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Add – Fixed charges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78,660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110,919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117,119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127,398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160,154</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155,374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207,742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346,418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360,769</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(54,836)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185,294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573,669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107,890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139,899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$ 137,110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19,410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19,508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20,255</w:t>
            </w:r>
          </w:p>
        </w:tc>
        <w:tc>
          <w:tcPr>
            <w:tcW w:w="660" w:type="dxa"/>
            <w:vAlign w:val="bottom"/>
          </w:tcPr>
          <w:p>
            <w:pPr>
              <w:jc w:val="right"/>
              <w:spacing w:after="0"/>
              <w:rPr>
                <w:sz w:val="20"/>
                <w:szCs w:val="20"/>
                <w:color w:val="auto"/>
              </w:rPr>
            </w:pPr>
            <w:r>
              <w:rPr>
                <w:rFonts w:ascii="Arial" w:cs="Arial" w:eastAsia="Arial" w:hAnsi="Arial"/>
                <w:sz w:val="18"/>
                <w:szCs w:val="18"/>
                <w:color w:val="auto"/>
              </w:rPr>
              <w:t>18,264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110,919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117,119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127,398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160,154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155,374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74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3.08(d)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1.16(f)</w:t>
            </w:r>
          </w:p>
        </w:tc>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8"/>
              </w:rPr>
              <w:t>Deficiency in the coverage of operating income (loss) before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182,234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jc w:val="both"/>
        <w:ind w:left="460" w:right="220" w:hanging="452"/>
        <w:spacing w:after="0" w:line="306" w:lineRule="auto"/>
        <w:tabs>
          <w:tab w:leader="none" w:pos="4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items, the ratio of earnings to fixed charges would have been 3.96.</w:t>
      </w:r>
    </w:p>
    <w:p>
      <w:pPr>
        <w:spacing w:after="0" w:line="25" w:lineRule="exact"/>
        <w:rPr>
          <w:rFonts w:ascii="Arial" w:cs="Arial" w:eastAsia="Arial" w:hAnsi="Arial"/>
          <w:sz w:val="16"/>
          <w:szCs w:val="16"/>
          <w:color w:val="auto"/>
        </w:rPr>
      </w:pPr>
    </w:p>
    <w:p>
      <w:pPr>
        <w:ind w:left="460" w:right="20" w:hanging="452"/>
        <w:spacing w:after="0" w:line="298" w:lineRule="auto"/>
        <w:tabs>
          <w:tab w:leader="none" w:pos="4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 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420"/>
          </w:cols>
          <w:pgMar w:left="240" w:top="12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2012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2012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November 1,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November 1,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1."/>
      <w:numFmt w:val="decimal"/>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1."/>
      <w:numFmt w:val="decimal"/>
      <w:start w:val="2"/>
    </w:lvl>
  </w:abstractNum>
  <w:abstractNum w:abstractNumId="7">
    <w:nsid w:val="7BD3EE7B"/>
    <w:multiLevelType w:val="hybridMultilevel"/>
    <w:lvl w:ilvl="0">
      <w:lvlJc w:val="left"/>
      <w:lvlText w:val="%1."/>
      <w:numFmt w:val="decimal"/>
      <w:start w:val="3"/>
    </w:lvl>
  </w:abstractNum>
  <w:abstractNum w:abstractNumId="8">
    <w:nsid w:val="51D9C564"/>
    <w:multiLevelType w:val="hybridMultilevel"/>
    <w:lvl w:ilvl="0">
      <w:lvlJc w:val="left"/>
      <w:lvlText w:val="%1."/>
      <w:numFmt w:val="decimal"/>
      <w:start w:val="4"/>
    </w:lvl>
  </w:abstractNum>
  <w:abstractNum w:abstractNumId="9">
    <w:nsid w:val="613EFDC5"/>
    <w:multiLevelType w:val="hybridMultilevel"/>
    <w:lvl w:ilvl="0">
      <w:lvlJc w:val="left"/>
      <w:lvlText w:val="(%1)"/>
      <w:numFmt w:val="lowerLetter"/>
      <w:start w:val="1"/>
    </w:lvl>
  </w:abstractNum>
  <w:abstractNum w:abstractNumId="10">
    <w:nsid w:val="BF72B14"/>
    <w:multiLevelType w:val="hybridMultilevel"/>
    <w:lvl w:ilvl="0">
      <w:lvlJc w:val="left"/>
      <w:lvlText w:val="(%1)"/>
      <w:numFmt w:val="lowerRoman"/>
      <w:start w:val="3"/>
    </w:lvl>
  </w:abstractNum>
  <w:abstractNum w:abstractNumId="11">
    <w:nsid w:val="11447B73"/>
    <w:multiLevelType w:val="hybridMultilevel"/>
    <w:lvl w:ilvl="0">
      <w:lvlJc w:val="left"/>
      <w:lvlText w:val="%1."/>
      <w:numFmt w:val="decimal"/>
      <w:start w:val="5"/>
    </w:lvl>
  </w:abstractNum>
  <w:abstractNum w:abstractNumId="12">
    <w:nsid w:val="42963E5A"/>
    <w:multiLevelType w:val="hybridMultilevel"/>
    <w:lvl w:ilvl="0">
      <w:lvlJc w:val="left"/>
      <w:lvlText w:val="(%1)"/>
      <w:numFmt w:val="lowerLetter"/>
      <w:start w:val="1"/>
    </w:lvl>
  </w:abstractNum>
  <w:abstractNum w:abstractNumId="13">
    <w:nsid w:val="A0382C5"/>
    <w:multiLevelType w:val="hybridMultilevel"/>
    <w:lvl w:ilvl="0">
      <w:lvlJc w:val="left"/>
      <w:lvlText w:val="%1."/>
      <w:numFmt w:val="decimal"/>
      <w:start w:val="6"/>
    </w:lvl>
  </w:abstractNum>
  <w:abstractNum w:abstractNumId="14">
    <w:nsid w:val="8F2B15E"/>
    <w:multiLevelType w:val="hybridMultilevel"/>
    <w:lvl w:ilvl="0">
      <w:lvlJc w:val="left"/>
      <w:lvlText w:val="%1."/>
      <w:numFmt w:val="decimal"/>
      <w:start w:val="7"/>
    </w:lvl>
  </w:abstractNum>
  <w:abstractNum w:abstractNumId="15">
    <w:nsid w:val="1A32234B"/>
    <w:multiLevelType w:val="hybridMultilevel"/>
    <w:lvl w:ilvl="0">
      <w:lvlJc w:val="left"/>
      <w:lvlText w:val="%1."/>
      <w:numFmt w:val="decimal"/>
      <w:start w:val="8"/>
    </w:lvl>
  </w:abstractNum>
  <w:abstractNum w:abstractNumId="16">
    <w:nsid w:val="3B0FD379"/>
    <w:multiLevelType w:val="hybridMultilevel"/>
    <w:lvl w:ilvl="0">
      <w:lvlJc w:val="left"/>
      <w:lvlText w:val="%1."/>
      <w:numFmt w:val="decimal"/>
      <w:start w:val="9"/>
    </w:lvl>
  </w:abstractNum>
  <w:abstractNum w:abstractNumId="17">
    <w:nsid w:val="68EB2F63"/>
    <w:multiLevelType w:val="hybridMultilevel"/>
    <w:lvl w:ilvl="0">
      <w:lvlJc w:val="left"/>
      <w:lvlText w:val="(%1)"/>
      <w:numFmt w:val="lowerLetter"/>
      <w:start w:val="1"/>
    </w:lvl>
  </w:abstractNum>
  <w:abstractNum w:abstractNumId="18">
    <w:nsid w:val="4962813B"/>
    <w:multiLevelType w:val="hybridMultilevel"/>
    <w:lvl w:ilvl="0">
      <w:lvlJc w:val="left"/>
      <w:lvlText w:val="%1."/>
      <w:numFmt w:val="decimal"/>
      <w:start w:val="10"/>
    </w:lvl>
  </w:abstractNum>
  <w:abstractNum w:abstractNumId="19">
    <w:nsid w:val="60B6DF70"/>
    <w:multiLevelType w:val="hybridMultilevel"/>
    <w:lvl w:ilvl="0">
      <w:lvlJc w:val="left"/>
      <w:lvlText w:val="%1."/>
      <w:numFmt w:val="decimal"/>
      <w:start w:val="11"/>
    </w:lvl>
  </w:abstractNum>
  <w:abstractNum w:abstractNumId="20">
    <w:nsid w:val="6A5EE64"/>
    <w:multiLevelType w:val="hybridMultilevel"/>
    <w:lvl w:ilvl="0">
      <w:lvlJc w:val="left"/>
      <w:lvlText w:val="%1."/>
      <w:numFmt w:val="decimal"/>
      <w:start w:val="12"/>
    </w:lvl>
  </w:abstractNum>
  <w:abstractNum w:abstractNumId="21">
    <w:nsid w:val="14330624"/>
    <w:multiLevelType w:val="hybridMultilevel"/>
    <w:lvl w:ilvl="0">
      <w:lvlJc w:val="left"/>
      <w:lvlText w:val="%1."/>
      <w:numFmt w:val="decimal"/>
      <w:start w:val="13"/>
    </w:lvl>
  </w:abstractNum>
  <w:abstractNum w:abstractNumId="22">
    <w:nsid w:val="7FFFCA11"/>
    <w:multiLevelType w:val="hybridMultilevel"/>
    <w:lvl w:ilvl="0">
      <w:lvlJc w:val="left"/>
      <w:lvlText w:val="%1."/>
      <w:numFmt w:val="decimal"/>
      <w:start w:val="14"/>
    </w:lvl>
  </w:abstractNum>
  <w:abstractNum w:abstractNumId="23">
    <w:nsid w:val="1A27709E"/>
    <w:multiLevelType w:val="hybridMultilevel"/>
    <w:lvl w:ilvl="0">
      <w:lvlJc w:val="left"/>
      <w:lvlText w:val="%1"/>
      <w:numFmt w:val="decimal"/>
      <w:start w:val="1"/>
    </w:lvl>
    <w:lvl w:ilvl="1">
      <w:lvlJc w:val="left"/>
      <w:lvlText w:val="(%2)"/>
      <w:numFmt w:val="lowerLetter"/>
      <w:start w:val="1"/>
    </w:lvl>
  </w:abstractNum>
  <w:abstractNum w:abstractNumId="24">
    <w:nsid w:val="71EA1109"/>
    <w:multiLevelType w:val="hybridMultilevel"/>
    <w:lvl w:ilvl="0">
      <w:lvlJc w:val="left"/>
      <w:lvlText w:val="%1."/>
      <w:numFmt w:val="decimal"/>
      <w:start w:val="15"/>
    </w:lvl>
    <w:lvl w:ilvl="1">
      <w:lvlJc w:val="left"/>
      <w:lvlText w:val="%2"/>
      <w:numFmt w:val="lowerLetter"/>
      <w:start w:val="1"/>
    </w:lvl>
  </w:abstractNum>
  <w:abstractNum w:abstractNumId="25">
    <w:nsid w:val="100F59DC"/>
    <w:multiLevelType w:val="hybridMultilevel"/>
    <w:lvl w:ilvl="0">
      <w:lvlJc w:val="left"/>
      <w:lvlText w:val="%1."/>
      <w:numFmt w:val="decimal"/>
      <w:start w:val="16"/>
    </w:lvl>
  </w:abstractNum>
  <w:abstractNum w:abstractNumId="26">
    <w:nsid w:val="7FB7E0AA"/>
    <w:multiLevelType w:val="hybridMultilevel"/>
    <w:lvl w:ilvl="0">
      <w:lvlJc w:val="left"/>
      <w:lvlText w:val="%1."/>
      <w:numFmt w:val="decimal"/>
      <w:start w:val="17"/>
    </w:lvl>
  </w:abstractNum>
  <w:abstractNum w:abstractNumId="27">
    <w:nsid w:val="6EB5BD4"/>
    <w:multiLevelType w:val="hybridMultilevel"/>
    <w:lvl w:ilvl="0">
      <w:lvlJc w:val="left"/>
      <w:lvlText w:val="%1."/>
      <w:numFmt w:val="decimal"/>
      <w:start w:val="18"/>
    </w:lvl>
  </w:abstractNum>
  <w:abstractNum w:abstractNumId="28">
    <w:nsid w:val="6F6DD9AC"/>
    <w:multiLevelType w:val="hybridMultilevel"/>
    <w:lvl w:ilvl="0">
      <w:lvlJc w:val="left"/>
      <w:lvlText w:val="%1."/>
      <w:numFmt w:val="decimal"/>
      <w:start w:val="19"/>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1."/>
      <w:numFmt w:val="decimal"/>
      <w:start w:val="20"/>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1)"/>
      <w:numFmt w:val="lowerRoman"/>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1)"/>
      <w:numFmt w:val="lowerLetter"/>
      <w:start w:val="1"/>
    </w:lvl>
  </w:abstractNum>
  <w:abstractNum w:abstractNumId="39">
    <w:nsid w:val="46B7D447"/>
    <w:multiLevelType w:val="hybridMultilevel"/>
    <w:lvl w:ilvl="0">
      <w:lvlJc w:val="left"/>
      <w:lvlText w:val="(%1)"/>
      <w:numFmt w:val="lowerLetter"/>
      <w:start w:val="3"/>
    </w:lvl>
  </w:abstractNum>
  <w:abstractNum w:abstractNumId="40">
    <w:nsid w:val="4A2AC315"/>
    <w:multiLevelType w:val="hybridMultilevel"/>
    <w:lvl w:ilvl="0">
      <w:lvlJc w:val="left"/>
      <w:lvlText w:val="(%1)"/>
      <w:numFmt w:val="lowerLetter"/>
      <w:start w:val="1"/>
    </w:lvl>
  </w:abstractNum>
  <w:abstractNum w:abstractNumId="41">
    <w:nsid w:val="39EE015C"/>
    <w:multiLevelType w:val="hybridMultilevel"/>
    <w:lvl w:ilvl="0">
      <w:lvlJc w:val="left"/>
      <w:lvlText w:val="(%1)"/>
      <w:numFmt w:val="lowerLetter"/>
      <w:start w:val="1"/>
    </w:lvl>
  </w:abstractNum>
  <w:abstractNum w:abstractNumId="42">
    <w:nsid w:val="57FC4FBB"/>
    <w:multiLevelType w:val="hybridMultilevel"/>
    <w:lvl w:ilvl="0">
      <w:lvlJc w:val="left"/>
      <w:lvlText w:val="(%1)"/>
      <w:numFmt w:val="lowerLetter"/>
      <w:start w:val="1"/>
    </w:lvl>
  </w:abstractNum>
  <w:abstractNum w:abstractNumId="43">
    <w:nsid w:val="CC1016F"/>
    <w:multiLevelType w:val="hybridMultilevel"/>
    <w:lvl w:ilvl="0">
      <w:lvlJc w:val="left"/>
      <w:lvlText w:val="(%1)"/>
      <w:numFmt w:val="lowerLetter"/>
      <w:start w:val="1"/>
    </w:lvl>
  </w:abstractNum>
  <w:abstractNum w:abstractNumId="44">
    <w:nsid w:val="43F18422"/>
    <w:multiLevelType w:val="hybridMultilevel"/>
    <w:lvl w:ilvl="0">
      <w:lvlJc w:val="left"/>
      <w:lvlText w:val="(%1)"/>
      <w:numFmt w:val="lowerLetter"/>
      <w:start w:val="1"/>
    </w:lvl>
  </w:abstractNum>
  <w:abstractNum w:abstractNumId="45">
    <w:nsid w:val="60EF0119"/>
    <w:multiLevelType w:val="hybridMultilevel"/>
    <w:lvl w:ilvl="0">
      <w:lvlJc w:val="left"/>
      <w:lvlText w:val="(%1)"/>
      <w:numFmt w:val="lowerLetter"/>
      <w:start w:val="2"/>
    </w:lvl>
  </w:abstractNum>
  <w:abstractNum w:abstractNumId="46">
    <w:nsid w:val="26F324BA"/>
    <w:multiLevelType w:val="hybridMultilevel"/>
    <w:lvl w:ilvl="0">
      <w:lvlJc w:val="left"/>
      <w:lvlText w:val="(%1)"/>
      <w:numFmt w:val="lowerLetter"/>
      <w:start w:val="1"/>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1)"/>
      <w:numFmt w:val="lowerLetter"/>
      <w:start w:val="1"/>
    </w:lvl>
  </w:abstractNum>
  <w:abstractNum w:abstractNumId="52">
    <w:nsid w:val="488AC1A"/>
    <w:multiLevelType w:val="hybridMultilevel"/>
    <w:lvl w:ilvl="0">
      <w:lvlJc w:val="left"/>
      <w:lvlText w:val="(%1)"/>
      <w:numFmt w:val="lowerLetter"/>
      <w:start w:val="4"/>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1)"/>
      <w:numFmt w:val="decimal"/>
      <w:start w:val="1"/>
    </w:lvl>
  </w:abstractNum>
  <w:abstractNum w:abstractNumId="55">
    <w:nsid w:val="7672BD23"/>
    <w:multiLevelType w:val="hybridMultilevel"/>
    <w:lvl w:ilvl="0">
      <w:lvlJc w:val="left"/>
      <w:lvlText w:val="(%1)"/>
      <w:numFmt w:val="decimal"/>
      <w:start w:val="2"/>
    </w:lvl>
  </w:abstractNum>
  <w:abstractNum w:abstractNumId="56">
    <w:nsid w:val="6FC75AF8"/>
    <w:multiLevelType w:val="hybridMultilevel"/>
    <w:lvl w:ilvl="0">
      <w:lvlJc w:val="left"/>
      <w:lvlText w:val="(%1)"/>
      <w:numFmt w:val="lowerLetter"/>
      <w:start w:val="2"/>
    </w:lvl>
  </w:abstractNum>
  <w:abstractNum w:abstractNumId="57">
    <w:nsid w:val="6A5F7029"/>
    <w:multiLevelType w:val="hybridMultilevel"/>
    <w:lvl w:ilvl="0">
      <w:lvlJc w:val="left"/>
      <w:lvlText w:val="(%1)"/>
      <w:numFmt w:val="lowerLetter"/>
      <w:start w:val="1"/>
    </w:lvl>
  </w:abstractNum>
  <w:abstractNum w:abstractNumId="58">
    <w:nsid w:val="7D5E18F8"/>
    <w:multiLevelType w:val="hybridMultilevel"/>
    <w:lvl w:ilvl="0">
      <w:lvlJc w:val="left"/>
      <w:lvlText w:val="(%1)"/>
      <w:numFmt w:val="decimal"/>
      <w:start w:val="3"/>
    </w:lvl>
  </w:abstractNum>
  <w:abstractNum w:abstractNumId="59">
    <w:nsid w:val="5F3534A4"/>
    <w:multiLevelType w:val="hybridMultilevel"/>
    <w:lvl w:ilvl="0">
      <w:lvlJc w:val="left"/>
      <w:lvlText w:val="(%1)"/>
      <w:numFmt w:val="decimal"/>
      <w:start w:val="2"/>
    </w:lvl>
  </w:abstractNum>
  <w:abstractNum w:abstractNumId="60">
    <w:nsid w:val="73A1821B"/>
    <w:multiLevelType w:val="hybridMultilevel"/>
    <w:lvl w:ilvl="0">
      <w:lvlJc w:val="left"/>
      <w:lvlText w:val="(%1)"/>
      <w:numFmt w:val="lowerRoman"/>
      <w:start w:val="2"/>
    </w:lvl>
  </w:abstractNum>
  <w:abstractNum w:abstractNumId="61">
    <w:nsid w:val="7DE67713"/>
    <w:multiLevelType w:val="hybridMultilevel"/>
    <w:lvl w:ilvl="0">
      <w:lvlJc w:val="left"/>
      <w:lvlText w:val="(%1)"/>
      <w:numFmt w:val="lowerLetter"/>
      <w:start w:val="3"/>
    </w:lvl>
  </w:abstractNum>
  <w:abstractNum w:abstractNumId="62">
    <w:nsid w:val="555C55B5"/>
    <w:multiLevelType w:val="hybridMultilevel"/>
    <w:lvl w:ilvl="0">
      <w:lvlJc w:val="left"/>
      <w:lvlText w:val="(%1)"/>
      <w:numFmt w:val="lowerLetter"/>
      <w:start w:val="6"/>
    </w:lvl>
  </w:abstractNum>
  <w:abstractNum w:abstractNumId="63">
    <w:nsid w:val="3FA62ACA"/>
    <w:multiLevelType w:val="hybridMultilevel"/>
    <w:lvl w:ilvl="0">
      <w:lvlJc w:val="left"/>
      <w:lvlText w:val="(%1)"/>
      <w:numFmt w:val="decimal"/>
      <w:start w:val="1"/>
    </w:lvl>
  </w:abstractNum>
  <w:abstractNum w:abstractNumId="64">
    <w:nsid w:val="14FCE74E"/>
    <w:multiLevelType w:val="hybridMultilevel"/>
    <w:lvl w:ilvl="0">
      <w:lvlJc w:val="left"/>
      <w:lvlText w:val="(%1)"/>
      <w:numFmt w:val="lowerRoman"/>
      <w:start w:val="1"/>
    </w:lvl>
  </w:abstractNum>
  <w:abstractNum w:abstractNumId="65">
    <w:nsid w:val="6A3DD3E8"/>
    <w:multiLevelType w:val="hybridMultilevel"/>
    <w:lvl w:ilvl="0">
      <w:lvlJc w:val="left"/>
      <w:lvlText w:val="(%1)"/>
      <w:numFmt w:val="lowerLetter"/>
      <w:start w:val="1"/>
    </w:lvl>
  </w:abstractNum>
  <w:abstractNum w:abstractNumId="66">
    <w:nsid w:val="71C91298"/>
    <w:multiLevelType w:val="hybridMultilevel"/>
    <w:lvl w:ilvl="0">
      <w:lvlJc w:val="left"/>
      <w:lvlText w:val="(%1)"/>
      <w:numFmt w:val="lowerLetter"/>
      <w:start w:val="1"/>
    </w:lvl>
  </w:abstractNum>
  <w:abstractNum w:abstractNumId="67">
    <w:nsid w:val="9DAF632"/>
    <w:multiLevelType w:val="hybridMultilevel"/>
    <w:lvl w:ilvl="0">
      <w:lvlJc w:val="left"/>
      <w:lvlText w:val="(%1)"/>
      <w:numFmt w:val="lowerLetter"/>
      <w:start w:val="2"/>
    </w:lvl>
  </w:abstractNum>
  <w:abstractNum w:abstractNumId="68">
    <w:nsid w:val="53299938"/>
    <w:multiLevelType w:val="hybridMultilevel"/>
    <w:lvl w:ilvl="0">
      <w:lvlJc w:val="left"/>
      <w:lvlText w:val="%1"/>
      <w:numFmt w:val="lowerRoman"/>
      <w:start w:val="1"/>
    </w:lvl>
    <w:lvl w:ilvl="1">
      <w:lvlJc w:val="left"/>
      <w:lvlText w:val="(%2)"/>
      <w:numFmt w:val="lowerLetter"/>
      <w:start w:val="2"/>
    </w:lvl>
  </w:abstractNum>
  <w:abstractNum w:abstractNumId="69">
    <w:nsid w:val="1FBFE8E0"/>
    <w:multiLevelType w:val="hybridMultilevel"/>
    <w:lvl w:ilvl="0">
      <w:lvlJc w:val="left"/>
      <w:lvlText w:val="(%1)"/>
      <w:numFmt w:val="lowerRoman"/>
      <w:start w:val="4"/>
    </w:lvl>
    <w:lvl w:ilvl="1">
      <w:lvlJc w:val="left"/>
      <w:lvlText w:val="%2"/>
      <w:numFmt w:val="lowerLetter"/>
      <w:start w:val="1"/>
    </w:lvl>
  </w:abstractNum>
  <w:abstractNum w:abstractNumId="70">
    <w:nsid w:val="5092CA79"/>
    <w:multiLevelType w:val="hybridMultilevel"/>
    <w:lvl w:ilvl="0">
      <w:lvlJc w:val="left"/>
      <w:lvlText w:val="(%1)"/>
      <w:numFmt w:val="lowerLetter"/>
      <w:start w:val="2"/>
    </w:lvl>
  </w:abstractNum>
  <w:abstractNum w:abstractNumId="71">
    <w:nsid w:val="1D545C4D"/>
    <w:multiLevelType w:val="hybridMultilevel"/>
    <w:lvl w:ilvl="0">
      <w:lvlJc w:val="left"/>
      <w:lvlText w:val="(%1)"/>
      <w:numFmt w:val="lowerLetter"/>
      <w:start w:val="2"/>
    </w:lvl>
  </w:abstractNum>
  <w:abstractNum w:abstractNumId="72">
    <w:nsid w:val="59ADEA3D"/>
    <w:multiLevelType w:val="hybridMultilevel"/>
    <w:lvl w:ilvl="0">
      <w:lvlJc w:val="left"/>
      <w:lvlText w:val="(%1)"/>
      <w:numFmt w:val="lowerLetter"/>
      <w:start w:val="2"/>
    </w:lvl>
  </w:abstractNum>
  <w:abstractNum w:abstractNumId="73">
    <w:nsid w:val="288F1A34"/>
    <w:multiLevelType w:val="hybridMultilevel"/>
    <w:lvl w:ilvl="0">
      <w:lvlJc w:val="left"/>
      <w:lvlText w:val="(%1)"/>
      <w:numFmt w:val="lowerLetter"/>
      <w:start w:val="2"/>
    </w:lvl>
  </w:abstractNum>
  <w:abstractNum w:abstractNumId="74">
    <w:nsid w:val="2A155DBC"/>
    <w:multiLevelType w:val="hybridMultilevel"/>
    <w:lvl w:ilvl="0">
      <w:lvlJc w:val="left"/>
      <w:lvlText w:val="(%1)"/>
      <w:numFmt w:val="lowerLetter"/>
      <w:start w:val="2"/>
    </w:lvl>
  </w:abstractNum>
  <w:abstractNum w:abstractNumId="75">
    <w:nsid w:val="1D9F6E5F"/>
    <w:multiLevelType w:val="hybridMultilevel"/>
    <w:lvl w:ilvl="0">
      <w:lvlJc w:val="left"/>
      <w:lvlText w:val="(%1)"/>
      <w:numFmt w:val="lowerLetter"/>
      <w:start w:val="61"/>
    </w:lvl>
  </w:abstractNum>
  <w:abstractNum w:abstractNumId="76">
    <w:nsid w:val="97E1B4E"/>
    <w:multiLevelType w:val="hybridMultilevel"/>
    <w:lvl w:ilvl="0">
      <w:lvlJc w:val="left"/>
      <w:lvlText w:val="(%1)"/>
      <w:numFmt w:val="lowerLetter"/>
      <w:start w:val="2"/>
    </w:lvl>
  </w:abstractNum>
  <w:abstractNum w:abstractNumId="77">
    <w:nsid w:val="51088277"/>
    <w:multiLevelType w:val="hybridMultilevel"/>
    <w:lvl w:ilvl="0">
      <w:lvlJc w:val="left"/>
      <w:lvlText w:val="(%1)"/>
      <w:numFmt w:val="lowerLetter"/>
      <w:start w:val="2"/>
    </w:lvl>
  </w:abstractNum>
  <w:abstractNum w:abstractNumId="78">
    <w:nsid w:val="1CA0C5FA"/>
    <w:multiLevelType w:val="hybridMultilevel"/>
    <w:lvl w:ilvl="0">
      <w:lvlJc w:val="left"/>
      <w:lvlText w:val="(%1)"/>
      <w:numFmt w:val="lowerLetter"/>
      <w:start w:val="2"/>
    </w:lvl>
  </w:abstractNum>
  <w:abstractNum w:abstractNumId="79">
    <w:nsid w:val="53584BCB"/>
    <w:multiLevelType w:val="hybridMultilevel"/>
    <w:lvl w:ilvl="0">
      <w:lvlJc w:val="left"/>
      <w:lvlText w:val="(%1)"/>
      <w:numFmt w:val="lowerLetter"/>
      <w:start w:val="2"/>
    </w:lvl>
  </w:abstractNum>
  <w:abstractNum w:abstractNumId="80">
    <w:nsid w:val="415E286C"/>
    <w:multiLevelType w:val="hybridMultilevel"/>
    <w:lvl w:ilvl="0">
      <w:lvlJc w:val="left"/>
      <w:lvlText w:val="(%1)"/>
      <w:numFmt w:val="lowerRoman"/>
      <w:start w:val="1"/>
    </w:lvl>
  </w:abstractNum>
  <w:abstractNum w:abstractNumId="81">
    <w:nsid w:val="7C58FD05"/>
    <w:multiLevelType w:val="hybridMultilevel"/>
    <w:lvl w:ilvl="0">
      <w:lvlJc w:val="left"/>
      <w:lvlText w:val="(%1)"/>
      <w:numFmt w:val="lowerLetter"/>
      <w:start w:val="2"/>
    </w:lvl>
  </w:abstractNum>
  <w:abstractNum w:abstractNumId="82">
    <w:nsid w:val="23D86AAC"/>
    <w:multiLevelType w:val="hybridMultilevel"/>
    <w:lvl w:ilvl="0">
      <w:lvlJc w:val="left"/>
      <w:lvlText w:val="(%1)"/>
      <w:numFmt w:val="decimal"/>
      <w:start w:val="1"/>
    </w:lvl>
    <w:lvl w:ilvl="1">
      <w:lvlJc w:val="left"/>
      <w:lvlText w:val="(%2)"/>
      <w:numFmt w:val="lowerLetter"/>
      <w:start w:val="2"/>
    </w:lvl>
  </w:abstractNum>
  <w:abstractNum w:abstractNumId="83">
    <w:nsid w:val="45E6D486"/>
    <w:multiLevelType w:val="hybridMultilevel"/>
    <w:lvl w:ilvl="0">
      <w:lvlJc w:val="left"/>
      <w:lvlText w:val="%1"/>
      <w:numFmt w:val="lowerLetter"/>
      <w:start w:val="1"/>
    </w:lvl>
    <w:lvl w:ilvl="1">
      <w:lvlJc w:val="left"/>
      <w:lvlText w:val="(%2)"/>
      <w:numFmt w:val="lowerLetter"/>
      <w:start w:val="3"/>
    </w:lvl>
  </w:abstractNum>
  <w:abstractNum w:abstractNumId="84">
    <w:nsid w:val="5C10FE21"/>
    <w:multiLevelType w:val="hybridMultilevel"/>
    <w:lvl w:ilvl="0">
      <w:lvlJc w:val="left"/>
      <w:lvlText w:val="(%1)"/>
      <w:numFmt w:val="lowerLetter"/>
      <w:start w:val="9"/>
    </w:lvl>
    <w:lvl w:ilvl="1">
      <w:lvlJc w:val="left"/>
      <w:lvlText w:val="(%2)"/>
      <w:numFmt w:val="lowerLetter"/>
      <w:start w:val="4"/>
    </w:lvl>
  </w:abstractNum>
  <w:abstractNum w:abstractNumId="85">
    <w:nsid w:val="E7FFA2B"/>
    <w:multiLevelType w:val="hybridMultilevel"/>
    <w:lvl w:ilvl="0">
      <w:lvlJc w:val="left"/>
      <w:lvlText w:val="(%1)"/>
      <w:numFmt w:val="lowerLetter"/>
      <w:start w:val="6"/>
    </w:lvl>
  </w:abstractNum>
  <w:abstractNum w:abstractNumId="86">
    <w:nsid w:val="3C5991AA"/>
    <w:multiLevelType w:val="hybridMultilevel"/>
    <w:lvl w:ilvl="0">
      <w:lvlJc w:val="left"/>
      <w:lvlText w:val="%1"/>
      <w:numFmt w:val="lowerLetter"/>
      <w:start w:val="1"/>
    </w:lvl>
    <w:lvl w:ilvl="1">
      <w:lvlJc w:val="left"/>
      <w:lvlText w:val="(%2)"/>
      <w:numFmt w:val="lowerLetter"/>
      <w:start w:val="1"/>
    </w:lvl>
  </w:abstractNum>
  <w:abstractNum w:abstractNumId="87">
    <w:nsid w:val="4BD8591A"/>
    <w:multiLevelType w:val="hybridMultilevel"/>
    <w:lvl w:ilvl="0">
      <w:lvlJc w:val="left"/>
      <w:lvlText w:val="(%1)"/>
      <w:numFmt w:val="lowerLetter"/>
      <w:start w:val="9"/>
    </w:lvl>
    <w:lvl w:ilvl="1">
      <w:lvlJc w:val="left"/>
      <w:lvlText w:val="%2"/>
      <w:numFmt w:val="lowerLetter"/>
      <w:start w:val="1"/>
    </w:lvl>
  </w:abstractNum>
  <w:abstractNum w:abstractNumId="88">
    <w:nsid w:val="78DF6A55"/>
    <w:multiLevelType w:val="hybridMultilevel"/>
    <w:lvl w:ilvl="0">
      <w:lvlJc w:val="left"/>
      <w:lvlText w:val="(%1)"/>
      <w:numFmt w:val="lowerLetter"/>
      <w:start w:val="2"/>
    </w:lvl>
  </w:abstractNum>
  <w:abstractNum w:abstractNumId="89">
    <w:nsid w:val="39B7AAA2"/>
    <w:multiLevelType w:val="hybridMultilevel"/>
    <w:lvl w:ilvl="0">
      <w:lvlJc w:val="left"/>
      <w:lvlText w:val="(%1)"/>
      <w:numFmt w:val="lowerRoman"/>
      <w:start w:val="3"/>
    </w:lvl>
  </w:abstractNum>
  <w:abstractNum w:abstractNumId="90">
    <w:nsid w:val="2B0D8DBE"/>
    <w:multiLevelType w:val="hybridMultilevel"/>
    <w:lvl w:ilvl="0">
      <w:lvlJc w:val="left"/>
      <w:lvlText w:val="(%1)"/>
      <w:numFmt w:val="lowerRoman"/>
      <w:start w:val="2"/>
    </w:lvl>
  </w:abstractNum>
  <w:abstractNum w:abstractNumId="91">
    <w:nsid w:val="6C80EC70"/>
    <w:multiLevelType w:val="hybridMultilevel"/>
    <w:lvl w:ilvl="0">
      <w:lvlJc w:val="left"/>
      <w:lvlText w:val="(%1)"/>
      <w:numFmt w:val="lowerRoman"/>
      <w:start w:val="1"/>
    </w:lvl>
  </w:abstractNum>
  <w:abstractNum w:abstractNumId="92">
    <w:nsid w:val="379E21B5"/>
    <w:multiLevelType w:val="hybridMultilevel"/>
    <w:lvl w:ilvl="0">
      <w:lvlJc w:val="left"/>
      <w:lvlText w:val="(%1)"/>
      <w:numFmt w:val="lowerRoman"/>
      <w:start w:val="3"/>
    </w:lvl>
  </w:abstractNum>
  <w:abstractNum w:abstractNumId="93">
    <w:nsid w:val="69E373"/>
    <w:multiLevelType w:val="hybridMultilevel"/>
    <w:lvl w:ilvl="0">
      <w:lvlJc w:val="left"/>
      <w:lvlText w:val="(%1)"/>
      <w:numFmt w:val="lowerLetter"/>
      <w:start w:val="1"/>
    </w:lvl>
  </w:abstractNum>
  <w:abstractNum w:abstractNumId="94">
    <w:nsid w:val="2C27173B"/>
    <w:multiLevelType w:val="hybridMultilevel"/>
    <w:lvl w:ilvl="0">
      <w:lvlJc w:val="left"/>
      <w:lvlText w:val="(%1)"/>
      <w:numFmt w:val="lowerLetter"/>
      <w:start w:val="6"/>
    </w:lvl>
  </w:abstractNum>
  <w:abstractNum w:abstractNumId="95">
    <w:nsid w:val="4C9B0904"/>
    <w:multiLevelType w:val="hybridMultilevel"/>
    <w:lvl w:ilvl="0">
      <w:lvlJc w:val="left"/>
      <w:lvlText w:val="(%1)"/>
      <w:numFmt w:val="lowerLetter"/>
      <w:start w:val="1"/>
    </w:lvl>
  </w:abstractNum>
  <w:abstractNum w:abstractNumId="96">
    <w:nsid w:val="6AA7B75C"/>
    <w:multiLevelType w:val="hybridMultilevel"/>
    <w:lvl w:ilvl="0">
      <w:lvlJc w:val="left"/>
      <w:lvlText w:val="(%1)"/>
      <w:numFmt w:val="lowerLetter"/>
      <w:start w:val="1"/>
    </w:lvl>
  </w:abstractNum>
  <w:abstractNum w:abstractNumId="97">
    <w:nsid w:val="1DF029D3"/>
    <w:multiLevelType w:val="hybridMultilevel"/>
    <w:lvl w:ilvl="0">
      <w:lvlJc w:val="left"/>
      <w:lvlText w:val="(%1)"/>
      <w:numFmt w:val="lowerLetter"/>
      <w:start w:val="1"/>
    </w:lvl>
  </w:abstractNum>
  <w:abstractNum w:abstractNumId="98">
    <w:nsid w:val="5675FF36"/>
    <w:multiLevelType w:val="hybridMultilevel"/>
    <w:lvl w:ilvl="0">
      <w:lvlJc w:val="left"/>
      <w:lvlText w:val="(%1)"/>
      <w:numFmt w:val="lowerLetter"/>
      <w:start w:val="1"/>
    </w:lvl>
  </w:abstractNum>
  <w:abstractNum w:abstractNumId="99">
    <w:nsid w:val="3DD15094"/>
    <w:multiLevelType w:val="hybridMultilevel"/>
    <w:lvl w:ilvl="0">
      <w:lvlJc w:val="left"/>
      <w:lvlText w:val="(%1)"/>
      <w:numFmt w:val="lowerLetter"/>
      <w:start w:val="1"/>
    </w:lvl>
  </w:abstractNum>
  <w:abstractNum w:abstractNumId="100">
    <w:nsid w:val="3DB012B3"/>
    <w:multiLevelType w:val="hybridMultilevel"/>
    <w:lvl w:ilvl="0">
      <w:lvlJc w:val="left"/>
      <w:lvlText w:val="(%1)"/>
      <w:numFmt w:val="lowerLetter"/>
      <w:start w:val="1"/>
    </w:lvl>
  </w:abstractNum>
  <w:abstractNum w:abstractNumId="101">
    <w:nsid w:val="2708C9AF"/>
    <w:multiLevelType w:val="hybridMultilevel"/>
    <w:lvl w:ilvl="0">
      <w:lvlJc w:val="left"/>
      <w:lvlText w:val="(%1)"/>
      <w:numFmt w:val="lowerLetter"/>
      <w:start w:val="11"/>
    </w:lvl>
  </w:abstractNum>
  <w:abstractNum w:abstractNumId="102">
    <w:nsid w:val="5B25ACE2"/>
    <w:multiLevelType w:val="hybridMultilevel"/>
    <w:lvl w:ilvl="0">
      <w:lvlJc w:val="left"/>
      <w:lvlText w:val="(%1)"/>
      <w:numFmt w:val="lowerLetter"/>
      <w:start w:val="1"/>
    </w:lvl>
  </w:abstractNum>
  <w:abstractNum w:abstractNumId="103">
    <w:nsid w:val="175DFCF0"/>
    <w:multiLevelType w:val="hybridMultilevel"/>
    <w:lvl w:ilvl="0">
      <w:lvlJc w:val="left"/>
      <w:lvlText w:val="(%1)"/>
      <w:numFmt w:val="lowerLetter"/>
      <w:start w:val="10"/>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Letter"/>
      <w:start w:val="1"/>
    </w:lvl>
  </w:abstractNum>
  <w:abstractNum w:abstractNumId="106">
    <w:nsid w:val="34FD6B4F"/>
    <w:multiLevelType w:val="hybridMultilevel"/>
    <w:lvl w:ilvl="0">
      <w:lvlJc w:val="left"/>
      <w:lvlText w:val="(%1)"/>
      <w:numFmt w:val="lowerLetter"/>
      <w:start w:val="4"/>
    </w:lvl>
  </w:abstractNum>
  <w:abstractNum w:abstractNumId="107">
    <w:nsid w:val="5915FF32"/>
    <w:multiLevelType w:val="hybridMultilevel"/>
    <w:lvl w:ilvl="0">
      <w:lvlJc w:val="left"/>
      <w:lvlText w:val="(%1)"/>
      <w:numFmt w:val="lowerLetter"/>
      <w:start w:val="2"/>
    </w:lvl>
  </w:abstractNum>
  <w:abstractNum w:abstractNumId="108">
    <w:nsid w:val="56438D15"/>
    <w:multiLevelType w:val="hybridMultilevel"/>
    <w:lvl w:ilvl="0">
      <w:lvlJc w:val="left"/>
      <w:lvlText w:val="(%1)"/>
      <w:numFmt w:val="lowerLetter"/>
      <w:start w:val="1"/>
    </w:lvl>
  </w:abstractNum>
  <w:abstractNum w:abstractNumId="109">
    <w:nsid w:val="519E3149"/>
    <w:multiLevelType w:val="hybridMultilevel"/>
    <w:lvl w:ilvl="0">
      <w:lvlJc w:val="left"/>
      <w:lvlText w:val="%1"/>
      <w:numFmt w:val="lowerRoman"/>
      <w:start w:val="1"/>
    </w:lvl>
    <w:lvl w:ilvl="1">
      <w:lvlJc w:val="left"/>
      <w:lvlText w:val="(%2)"/>
      <w:numFmt w:val="lowerLetter"/>
      <w:start w:val="5"/>
    </w:lvl>
  </w:abstractNum>
  <w:abstractNum w:abstractNumId="110">
    <w:nsid w:val="2C6E4AFD"/>
    <w:multiLevelType w:val="hybridMultilevel"/>
    <w:lvl w:ilvl="0">
      <w:lvlJc w:val="left"/>
      <w:lvlText w:val="(%1)"/>
      <w:numFmt w:val="lowerRoman"/>
      <w:start w:val="3"/>
    </w:lvl>
    <w:lvl w:ilvl="1">
      <w:lvlJc w:val="left"/>
      <w:lvlText w:val="%2"/>
      <w:numFmt w:val="lowerLetter"/>
      <w:start w:val="1"/>
    </w:lvl>
  </w:abstractNum>
  <w:abstractNum w:abstractNumId="111">
    <w:nsid w:val="17A1B582"/>
    <w:multiLevelType w:val="hybridMultilevel"/>
    <w:lvl w:ilvl="0">
      <w:lvlJc w:val="left"/>
      <w:lvlText w:val="(%1)"/>
      <w:numFmt w:val="lowerRoman"/>
      <w:start w:val="7"/>
    </w:lvl>
    <w:lvl w:ilvl="1">
      <w:lvlJc w:val="left"/>
      <w:lvlText w:val="(%2)"/>
      <w:numFmt w:val="lowerLetter"/>
      <w:start w:val="8"/>
    </w:lvl>
  </w:abstractNum>
  <w:abstractNum w:abstractNumId="112">
    <w:nsid w:val="4DF72E4E"/>
    <w:multiLevelType w:val="hybridMultilevel"/>
    <w:lvl w:ilvl="0">
      <w:lvlJc w:val="left"/>
      <w:lvlText w:val="(%1)"/>
      <w:numFmt w:val="lowerLetter"/>
      <w:start w:val="35"/>
    </w:lvl>
    <w:lvl w:ilvl="1">
      <w:lvlJc w:val="left"/>
      <w:lvlText w:val="(%2)"/>
      <w:numFmt w:val="lowerLetter"/>
      <w:start w:val="10"/>
    </w:lvl>
  </w:abstractNum>
  <w:abstractNum w:abstractNumId="113">
    <w:nsid w:val="5046B5A9"/>
    <w:multiLevelType w:val="hybridMultilevel"/>
    <w:lvl w:ilvl="0">
      <w:lvlJc w:val="left"/>
      <w:lvlText w:val="(%1)"/>
      <w:numFmt w:val="lowerRoman"/>
      <w:start w:val="2"/>
    </w:lvl>
  </w:abstractNum>
  <w:abstractNum w:abstractNumId="114">
    <w:nsid w:val="5D888A08"/>
    <w:multiLevelType w:val="hybridMultilevel"/>
    <w:lvl w:ilvl="0">
      <w:lvlJc w:val="left"/>
      <w:lvlText w:val="(%1)"/>
      <w:numFmt w:val="lowerRoman"/>
      <w:start w:val="1"/>
    </w:lvl>
  </w:abstractNum>
  <w:abstractNum w:abstractNumId="115">
    <w:nsid w:val="2A082C70"/>
    <w:multiLevelType w:val="hybridMultilevel"/>
    <w:lvl w:ilvl="0">
      <w:lvlJc w:val="left"/>
      <w:lvlText w:val="(%1)"/>
      <w:numFmt w:val="lowerLetter"/>
      <w:start w:val="2"/>
    </w:lvl>
  </w:abstractNum>
  <w:abstractNum w:abstractNumId="116">
    <w:nsid w:val="5EC6AFD4"/>
    <w:multiLevelType w:val="hybridMultilevel"/>
    <w:lvl w:ilvl="0">
      <w:lvlJc w:val="left"/>
      <w:lvlText w:val="(%1)"/>
      <w:numFmt w:val="upperLetter"/>
      <w:start w:val="1"/>
    </w:lvl>
  </w:abstractNum>
  <w:abstractNum w:abstractNumId="117">
    <w:nsid w:val="19E21BB2"/>
    <w:multiLevelType w:val="hybridMultilevel"/>
    <w:lvl w:ilvl="0">
      <w:lvlJc w:val="left"/>
      <w:lvlText w:val="%1"/>
      <w:numFmt w:val="lowerRoman"/>
      <w:start w:val="1"/>
    </w:lvl>
    <w:lvl w:ilvl="1">
      <w:lvlJc w:val="left"/>
      <w:lvlText w:val="(%2)"/>
      <w:numFmt w:val="upperLetter"/>
      <w:start w:val="1"/>
    </w:lvl>
  </w:abstractNum>
  <w:abstractNum w:abstractNumId="118">
    <w:nsid w:val="75E0858A"/>
    <w:multiLevelType w:val="hybridMultilevel"/>
    <w:lvl w:ilvl="0">
      <w:lvlJc w:val="left"/>
      <w:lvlText w:val="(%1)"/>
      <w:numFmt w:val="lowerRoman"/>
      <w:start w:val="2"/>
    </w:lvl>
    <w:lvl w:ilvl="1">
      <w:lvlJc w:val="left"/>
      <w:lvlText w:val="(%2)"/>
      <w:numFmt w:val="upperLetter"/>
      <w:start w:val="1"/>
    </w:lvl>
  </w:abstractNum>
  <w:abstractNum w:abstractNumId="119">
    <w:nsid w:val="57A61A29"/>
    <w:multiLevelType w:val="hybridMultilevel"/>
    <w:lvl w:ilvl="0">
      <w:lvlJc w:val="left"/>
      <w:lvlText w:val="(%1)"/>
      <w:numFmt w:val="lowerRoman"/>
      <w:start w:val="3"/>
    </w:lvl>
  </w:abstractNum>
  <w:abstractNum w:abstractNumId="120">
    <w:nsid w:val="5399C654"/>
    <w:multiLevelType w:val="hybridMultilevel"/>
    <w:lvl w:ilvl="0">
      <w:lvlJc w:val="left"/>
      <w:lvlText w:val="(%1)"/>
      <w:numFmt w:val="lowerRoman"/>
      <w:start w:val="5"/>
    </w:lvl>
  </w:abstractNum>
  <w:abstractNum w:abstractNumId="121">
    <w:nsid w:val="20EE1348"/>
    <w:multiLevelType w:val="hybridMultilevel"/>
    <w:lvl w:ilvl="0">
      <w:lvlJc w:val="left"/>
      <w:lvlText w:val="(%1)"/>
      <w:numFmt w:val="lowerRoman"/>
      <w:start w:val="2"/>
    </w:lvl>
  </w:abstractNum>
  <w:abstractNum w:abstractNumId="122">
    <w:nsid w:val="4427069A"/>
    <w:multiLevelType w:val="hybridMultilevel"/>
    <w:lvl w:ilvl="0">
      <w:lvlJc w:val="left"/>
      <w:lvlText w:val="(%1)"/>
      <w:numFmt w:val="lowerLetter"/>
      <w:start w:val="4"/>
    </w:lvl>
  </w:abstractNum>
  <w:abstractNum w:abstractNumId="123">
    <w:nsid w:val="B37E80A"/>
    <w:multiLevelType w:val="hybridMultilevel"/>
    <w:lvl w:ilvl="0">
      <w:lvlJc w:val="left"/>
      <w:lvlText w:val="(%1)"/>
      <w:numFmt w:val="lowerLetter"/>
      <w:start w:val="6"/>
    </w:lvl>
  </w:abstractNum>
  <w:abstractNum w:abstractNumId="124">
    <w:nsid w:val="2157F6BC"/>
    <w:multiLevelType w:val="hybridMultilevel"/>
    <w:lvl w:ilvl="0">
      <w:lvlJc w:val="left"/>
      <w:lvlText w:val="(%1)"/>
      <w:numFmt w:val="lowerLetter"/>
      <w:start w:val="2"/>
    </w:lvl>
  </w:abstractNum>
  <w:abstractNum w:abstractNumId="125">
    <w:nsid w:val="704E1DD5"/>
    <w:multiLevelType w:val="hybridMultilevel"/>
    <w:lvl w:ilvl="0">
      <w:lvlJc w:val="left"/>
      <w:lvlText w:val="(%1)"/>
      <w:numFmt w:val="lowerLetter"/>
      <w:start w:val="1"/>
    </w:lvl>
  </w:abstractNum>
  <w:abstractNum w:abstractNumId="126">
    <w:nsid w:val="57D2F10E"/>
    <w:multiLevelType w:val="hybridMultilevel"/>
    <w:lvl w:ilvl="0">
      <w:lvlJc w:val="left"/>
      <w:lvlText w:val="%1."/>
      <w:numFmt w:val="decimal"/>
      <w:start w:val="1"/>
    </w:lvl>
  </w:abstractNum>
  <w:abstractNum w:abstractNumId="127">
    <w:nsid w:val="BFFAE18"/>
    <w:multiLevelType w:val="hybridMultilevel"/>
    <w:lvl w:ilvl="0">
      <w:lvlJc w:val="left"/>
      <w:lvlText w:val="%1."/>
      <w:numFmt w:val="decimal"/>
      <w:start w:val="3"/>
    </w:lvl>
  </w:abstractNum>
  <w:abstractNum w:abstractNumId="128">
    <w:nsid w:val="E3E47A8"/>
    <w:multiLevelType w:val="hybridMultilevel"/>
    <w:lvl w:ilvl="0">
      <w:lvlJc w:val="left"/>
      <w:lvlText w:val="%1"/>
      <w:numFmt w:val="lowerLetter"/>
      <w:start w:val="1"/>
    </w:lvl>
    <w:lvl w:ilvl="1">
      <w:lvlJc w:val="left"/>
      <w:lvlText w:val="(%2)"/>
      <w:numFmt w:val="lowerLetter"/>
      <w:start w:val="9"/>
    </w:lvl>
  </w:abstractNum>
  <w:abstractNum w:abstractNumId="129">
    <w:nsid w:val="2E48F044"/>
    <w:multiLevelType w:val="hybridMultilevel"/>
    <w:lvl w:ilvl="0">
      <w:lvlJc w:val="left"/>
      <w:lvlText w:val="(%1)"/>
      <w:numFmt w:val="lowerLetter"/>
      <w:start w:val="25"/>
    </w:lvl>
    <w:lvl w:ilvl="1">
      <w:lvlJc w:val="left"/>
      <w:lvlText w:val="%2"/>
      <w:numFmt w:val="lowerLetter"/>
      <w:start w:val="1"/>
    </w:lvl>
  </w:abstractNum>
  <w:abstractNum w:abstractNumId="130">
    <w:nsid w:val="49D0FEAC"/>
    <w:multiLevelType w:val="hybridMultilevel"/>
    <w:lvl w:ilvl="0">
      <w:lvlJc w:val="left"/>
      <w:lvlText w:val="(%1)"/>
      <w:numFmt w:val="lowerRoman"/>
      <w:start w:val="2"/>
    </w:lvl>
  </w:abstractNum>
  <w:abstractNum w:abstractNumId="131">
    <w:nsid w:val="4BEE5A5B"/>
    <w:multiLevelType w:val="hybridMultilevel"/>
    <w:lvl w:ilvl="0">
      <w:lvlJc w:val="left"/>
      <w:lvlText w:val="(%1)"/>
      <w:numFmt w:val="lowerLetter"/>
      <w:start w:val="25"/>
    </w:lvl>
  </w:abstractNum>
  <w:abstractNum w:abstractNumId="132">
    <w:nsid w:val="5551B9F3"/>
    <w:multiLevelType w:val="hybridMultilevel"/>
    <w:lvl w:ilvl="0">
      <w:lvlJc w:val="left"/>
      <w:lvlText w:val="(%1)"/>
      <w:numFmt w:val="lowerRoman"/>
      <w:start w:val="3"/>
    </w:lvl>
  </w:abstractNum>
  <w:abstractNum w:abstractNumId="133">
    <w:nsid w:val="24F6AB8E"/>
    <w:multiLevelType w:val="hybridMultilevel"/>
    <w:lvl w:ilvl="0">
      <w:lvlJc w:val="left"/>
      <w:lvlText w:val="%1."/>
      <w:numFmt w:val="decimal"/>
      <w:start w:val="5"/>
    </w:lvl>
  </w:abstractNum>
  <w:abstractNum w:abstractNumId="134">
    <w:nsid w:val="634C574C"/>
    <w:multiLevelType w:val="hybridMultilevel"/>
    <w:lvl w:ilvl="0">
      <w:lvlJc w:val="left"/>
      <w:lvlText w:val="%1."/>
      <w:numFmt w:val="decimal"/>
      <w:start w:val="6"/>
    </w:lvl>
  </w:abstractNum>
  <w:abstractNum w:abstractNumId="135">
    <w:nsid w:val="24E99DD7"/>
    <w:multiLevelType w:val="hybridMultilevel"/>
    <w:lvl w:ilvl="0">
      <w:lvlJc w:val="left"/>
      <w:lvlText w:val="%1."/>
      <w:numFmt w:val="decimal"/>
      <w:start w:val="7"/>
    </w:lvl>
  </w:abstractNum>
  <w:abstractNum w:abstractNumId="136">
    <w:nsid w:val="2A31B62D"/>
    <w:multiLevelType w:val="hybridMultilevel"/>
    <w:lvl w:ilvl="0">
      <w:lvlJc w:val="left"/>
      <w:lvlText w:val="%1."/>
      <w:numFmt w:val="decimal"/>
      <w:start w:val="8"/>
    </w:lvl>
  </w:abstractNum>
  <w:abstractNum w:abstractNumId="137">
    <w:nsid w:val="1849C29B"/>
    <w:multiLevelType w:val="hybridMultilevel"/>
    <w:lvl w:ilvl="0">
      <w:lvlJc w:val="left"/>
      <w:lvlText w:val="(%1)"/>
      <w:numFmt w:val="lowerRoman"/>
      <w:start w:val="1"/>
    </w:lvl>
  </w:abstractNum>
  <w:abstractNum w:abstractNumId="138">
    <w:nsid w:val="7DFF9D09"/>
    <w:multiLevelType w:val="hybridMultilevel"/>
    <w:lvl w:ilvl="0">
      <w:lvlJc w:val="left"/>
      <w:lvlText w:val="%1."/>
      <w:numFmt w:val="decimal"/>
      <w:start w:val="9"/>
    </w:lvl>
  </w:abstractNum>
  <w:abstractNum w:abstractNumId="139">
    <w:nsid w:val="754342"/>
    <w:multiLevelType w:val="hybridMultilevel"/>
    <w:lvl w:ilvl="0">
      <w:lvlJc w:val="left"/>
      <w:lvlText w:val="(%1)"/>
      <w:numFmt w:val="lowerLetter"/>
      <w:start w:val="1"/>
    </w:lvl>
    <w:lvl w:ilvl="1">
      <w:lvlJc w:val="left"/>
      <w:lvlText w:val="•"/>
      <w:numFmt w:val="bullet"/>
      <w:start w:val="1"/>
    </w:lvl>
  </w:abstractNum>
  <w:abstractNum w:abstractNumId="140">
    <w:nsid w:val="69E7F3E5"/>
    <w:multiLevelType w:val="hybridMultilevel"/>
    <w:lvl w:ilvl="0">
      <w:lvlJc w:val="left"/>
      <w:lvlText w:val="%1."/>
      <w:numFmt w:val="decimal"/>
      <w:start w:val="1"/>
    </w:lvl>
    <w:lvl w:ilvl="1">
      <w:lvlJc w:val="left"/>
      <w:lvlText w:val="(%2)"/>
      <w:numFmt w:val="lowerLetter"/>
      <w:start w:val="1"/>
    </w:lvl>
  </w:abstractNum>
  <w:abstractNum w:abstractNumId="141">
    <w:nsid w:val="2A6DE80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2019-12-09T17:48:53Z</dcterms:created>
  <dcterms:modified xsi:type="dcterms:W3CDTF">2019-12-09T17:48:53Z</dcterms:modified>
</cp:coreProperties>
</file>