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303"/>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tbl>
      <w:tblPr>
        <w:tblLayout w:type="fixed"/>
        <w:tblInd w:w="1620" w:type="dxa"/>
        <w:tblCellMar>
          <w:top w:w="0" w:type="dxa"/>
          <w:left w:w="0" w:type="dxa"/>
          <w:bottom w:w="0" w:type="dxa"/>
          <w:right w:w="0" w:type="dxa"/>
        </w:tblCellMar>
      </w:tblPr>
      <w:tr>
        <w:trPr>
          <w:trHeight w:val="530"/>
        </w:trPr>
        <w:tc>
          <w:tcPr>
            <w:tcW w:w="5960" w:type="dxa"/>
            <w:vAlign w:val="bottom"/>
            <w:gridSpan w:val="3"/>
          </w:tcPr>
          <w:p>
            <w:pPr>
              <w:jc w:val="center"/>
              <w:ind w:left="2123"/>
              <w:spacing w:after="0"/>
              <w:rPr>
                <w:sz w:val="20"/>
                <w:szCs w:val="20"/>
                <w:color w:val="auto"/>
              </w:rPr>
            </w:pPr>
            <w:r>
              <w:rPr>
                <w:rFonts w:ascii="Arial" w:cs="Arial" w:eastAsia="Arial" w:hAnsi="Arial"/>
                <w:sz w:val="43"/>
                <w:szCs w:val="43"/>
                <w:b w:val="1"/>
                <w:bCs w:val="1"/>
                <w:color w:val="auto"/>
              </w:rPr>
              <w:t>LAZARD LTD</w:t>
            </w:r>
          </w:p>
        </w:tc>
        <w:tc>
          <w:tcPr>
            <w:tcW w:w="2200" w:type="dxa"/>
            <w:vAlign w:val="bottom"/>
          </w:tcPr>
          <w:p>
            <w:pPr>
              <w:spacing w:after="0"/>
              <w:rPr>
                <w:sz w:val="24"/>
                <w:szCs w:val="24"/>
                <w:color w:val="auto"/>
              </w:rPr>
            </w:pPr>
          </w:p>
        </w:tc>
      </w:tr>
      <w:tr>
        <w:trPr>
          <w:trHeight w:val="174"/>
        </w:trPr>
        <w:tc>
          <w:tcPr>
            <w:tcW w:w="5960" w:type="dxa"/>
            <w:vAlign w:val="bottom"/>
            <w:gridSpan w:val="3"/>
          </w:tcPr>
          <w:p>
            <w:pPr>
              <w:jc w:val="center"/>
              <w:ind w:left="212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2200" w:type="dxa"/>
            <w:vAlign w:val="bottom"/>
          </w:tcPr>
          <w:p>
            <w:pPr>
              <w:spacing w:after="0"/>
              <w:rPr>
                <w:sz w:val="15"/>
                <w:szCs w:val="15"/>
                <w:color w:val="auto"/>
              </w:rPr>
            </w:pPr>
          </w:p>
        </w:tc>
      </w:tr>
      <w:tr>
        <w:trPr>
          <w:trHeight w:val="271"/>
        </w:trPr>
        <w:tc>
          <w:tcPr>
            <w:tcW w:w="596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89"/>
              </w:rPr>
              <w:t>Bermuda</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98-0437848</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63"/>
        </w:trPr>
        <w:tc>
          <w:tcPr>
            <w:tcW w:w="290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276"/>
        </w:trPr>
        <w:tc>
          <w:tcPr>
            <w:tcW w:w="2900" w:type="dxa"/>
            <w:vAlign w:val="bottom"/>
          </w:tcPr>
          <w:p>
            <w:pPr>
              <w:spacing w:after="0"/>
              <w:rPr>
                <w:sz w:val="24"/>
                <w:szCs w:val="24"/>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7"/>
              </w:rPr>
              <w:t>Clarendon House</w:t>
            </w:r>
          </w:p>
        </w:tc>
        <w:tc>
          <w:tcPr>
            <w:tcW w:w="220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9"/>
              </w:rPr>
              <w:t>2 Church Street</w:t>
            </w:r>
          </w:p>
        </w:tc>
        <w:tc>
          <w:tcPr>
            <w:tcW w:w="22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2"/>
              </w:rPr>
              <w:t>Hamilton HM11, Bermuda</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23"/>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97"/>
        </w:trPr>
        <w:tc>
          <w:tcPr>
            <w:tcW w:w="5960" w:type="dxa"/>
            <w:vAlign w:val="bottom"/>
            <w:gridSpan w:val="3"/>
          </w:tcPr>
          <w:p>
            <w:pPr>
              <w:jc w:val="center"/>
              <w:ind w:left="2143"/>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80" w:firstLine="342"/>
        <w:spacing w:after="0" w:line="268" w:lineRule="auto"/>
        <w:rPr>
          <w:sz w:val="20"/>
          <w:szCs w:val="20"/>
          <w:color w:val="auto"/>
        </w:rPr>
      </w:pPr>
      <w:r>
        <w:rPr>
          <w:rFonts w:ascii="Arial" w:cs="Arial" w:eastAsia="Arial" w:hAnsi="Arial"/>
          <w:sz w:val="18"/>
          <w:szCs w:val="18"/>
          <w:color w:val="auto"/>
        </w:rPr>
        <w:t>As of October 23, 2013, there were 129,056,081 shares of the Registrant’s Class A common stock (including 7,313,364 shares held by subsidiaries) and one share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material operating assets other than indirect ownership as of September 30, 2013 of approximately 99.5% of the common membership interests in Lazard Group and its controlling interest in Lazard Group.</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5"/>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78">
              <w:r>
                <w:rPr>
                  <w:rFonts w:ascii="Arial" w:cs="Arial" w:eastAsia="Arial" w:hAnsi="Arial"/>
                  <w:sz w:val="18"/>
                  <w:szCs w:val="18"/>
                  <w:b w:val="1"/>
                  <w:bCs w:val="1"/>
                  <w:color w:val="0000EE"/>
                  <w:w w:val="94"/>
                </w:rPr>
                <w:t>Part II. Other Information</w:t>
              </w:r>
            </w:hyperlink>
          </w:p>
        </w:tc>
        <w:tc>
          <w:tcPr>
            <w:tcW w:w="90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4"/>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1"/>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9"/>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5"/>
          </w:tcPr>
          <w:p>
            <w:pPr>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714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7"/>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40" w:type="dxa"/>
            <w:vAlign w:val="bottom"/>
            <w:gridSpan w:val="8"/>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Financial Condition as of September 30, 2013 and December 31, 2012</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8"/>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3900" w:type="dxa"/>
            <w:vAlign w:val="bottom"/>
            <w:gridSpan w:val="2"/>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Statements of Operations for the three month and nine month periods ended September 30, 2013 and 2012</w:t>
              </w:r>
            </w:hyperlink>
          </w:p>
        </w:tc>
        <w:tc>
          <w:tcPr>
            <w:tcW w:w="17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018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Comprehensive Income for the three month and nine month periods ended September 30, 2013 and 2012</w:t>
              </w:r>
            </w:hyperlink>
          </w:p>
        </w:tc>
        <w:tc>
          <w:tcPr>
            <w:tcW w:w="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nine month periods ended September 30, 2013 and 2012</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900" w:type="dxa"/>
            <w:vAlign w:val="bottom"/>
            <w:gridSpan w:val="2"/>
            <w:shd w:val="clear" w:color="auto" w:fill="0000EE"/>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4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Condensed Consolidated Statements of Changes in Stockholders’ Equity for the nine month periods ended September 30, 2013 and 2012</w:t>
              </w:r>
            </w:hyperlink>
          </w:p>
        </w:tc>
        <w:tc>
          <w:tcPr>
            <w:tcW w:w="14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3"/>
        </w:trPr>
        <w:tc>
          <w:tcPr>
            <w:tcW w:w="78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3900" w:type="dxa"/>
            <w:vAlign w:val="bottom"/>
          </w:tcPr>
          <w:p>
            <w:pPr>
              <w:jc w:val="right"/>
              <w:ind w:right="1952"/>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AND 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44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688,367</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850,190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59,541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65,232</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w w:val="89"/>
              </w:rPr>
              <w:t>Receivables (net of allowance for doubtful accounts of $26,160 and $23,017 at September 30, 2013 and December 31, 2012,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Fees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430,197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400,529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14,276</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469,722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414,673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w w:val="89"/>
              </w:rPr>
              <w:t>Property (net of accumulated amortization and depreciation of $244,634 and $225,861 at September 30, 2013 and December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31, 2012, respectively)</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249,780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225,033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w w:val="92"/>
              </w:rPr>
              <w:t>Goodwill and other intangible assets (net of accumulated amortization of $38,039 and $35,281 at September 30, 2013 and</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2012, respectively)</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376,401</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303,326</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2,956,456</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2,986,893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AND 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289,872</w:t>
            </w:r>
          </w:p>
        </w:tc>
        <w:tc>
          <w:tcPr>
            <w:tcW w:w="4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269,763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382,064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1,076,850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Related party payables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4,695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529,820</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2,299,395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2,335,353</w:t>
            </w: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Series A - 7,921 shares issued and outstanding at September 30, 2013 and December 31, 2012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Series B - no shares issued and outstanding</w:t>
            </w:r>
          </w:p>
        </w:tc>
        <w:tc>
          <w:tcPr>
            <w:tcW w:w="1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Class A, par value $.01 per share (500,000,000 shares authorized;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w w:val="92"/>
              </w:rPr>
              <w:t>129,056,081 and 128,216,423 shares issued and outstanding at September 30, 2013 and December 31, 2012,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rPr>
              <w:t>respectively, including shares held by subsidiaries as indicated below)</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8"/>
              </w:rPr>
              <w:t>Class B, par value $.01 per share (1 share authorized, issued and outstanding at September 30, 2013 and</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December 31, 2012)</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693,741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846,050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219,319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2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(127,852)</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(110,541)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786,498</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6"/>
              </w:rPr>
              <w:t>Class A common stock held by subsidiaries, at cost (7,313,759 and 12,802,938 shares at September 30, 2013 and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December 31, 2012, respectively)</w:t>
            </w:r>
          </w:p>
        </w:tc>
        <w:tc>
          <w:tcPr>
            <w:tcW w:w="12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(203,724)</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(349,782)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Lazard Ltd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582,774</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74,287</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657,061</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2,956,456</w:t>
            </w:r>
          </w:p>
        </w:tc>
        <w:tc>
          <w:tcPr>
            <w:tcW w:w="4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2,986,893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70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70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September 30,</w:t>
            </w:r>
          </w:p>
        </w:tc>
        <w:tc>
          <w:tcPr>
            <w:tcW w:w="1820" w:type="dxa"/>
            <w:vAlign w:val="bottom"/>
            <w:gridSpan w:val="3"/>
          </w:tcPr>
          <w:p>
            <w:pPr>
              <w:jc w:val="right"/>
              <w:ind w:right="115"/>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40" w:type="dxa"/>
            <w:vAlign w:val="bottom"/>
            <w:tcBorders>
              <w:top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2013</w:t>
            </w:r>
          </w:p>
        </w:tc>
        <w:tc>
          <w:tcPr>
            <w:tcW w:w="1340" w:type="dxa"/>
            <w:vAlign w:val="bottom"/>
            <w:tcBorders>
              <w:top w:val="single" w:sz="8" w:color="auto"/>
            </w:tcBorders>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1040" w:type="dxa"/>
            <w:vAlign w:val="bottom"/>
            <w:tcBorders>
              <w:top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31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0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040" w:type="dxa"/>
            <w:vAlign w:val="bottom"/>
          </w:tcPr>
          <w:p>
            <w:pPr>
              <w:jc w:val="right"/>
              <w:spacing w:after="0"/>
              <w:rPr>
                <w:sz w:val="20"/>
                <w:szCs w:val="20"/>
                <w:color w:val="auto"/>
              </w:rPr>
            </w:pPr>
            <w:r>
              <w:rPr>
                <w:rFonts w:ascii="Arial" w:cs="Arial" w:eastAsia="Arial" w:hAnsi="Arial"/>
                <w:sz w:val="18"/>
                <w:szCs w:val="18"/>
                <w:color w:val="auto"/>
              </w:rPr>
              <w:t>$232,006</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$218,262</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  660,351</w:t>
            </w:r>
          </w:p>
        </w:tc>
        <w:tc>
          <w:tcPr>
            <w:tcW w:w="4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732,109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management fees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241,478</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214,867</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707,536</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621,070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1,347</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733</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3,823</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15,602</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61,587</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860"/>
              <w:spacing w:after="0"/>
              <w:rPr>
                <w:sz w:val="20"/>
                <w:szCs w:val="20"/>
                <w:color w:val="auto"/>
              </w:rPr>
            </w:pPr>
            <w:r>
              <w:rPr>
                <w:rFonts w:ascii="Arial" w:cs="Arial" w:eastAsia="Arial" w:hAnsi="Arial"/>
                <w:sz w:val="18"/>
                <w:szCs w:val="18"/>
                <w:color w:val="auto"/>
              </w:rPr>
              <w:t>Total revenue</w:t>
            </w: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500,523</w:t>
            </w:r>
          </w:p>
        </w:tc>
        <w:tc>
          <w:tcPr>
            <w:tcW w:w="3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449,464</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1,433,297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1,413,156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20,169</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20,658</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60,635</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860"/>
              <w:spacing w:after="0"/>
              <w:rPr>
                <w:sz w:val="20"/>
                <w:szCs w:val="20"/>
                <w:color w:val="auto"/>
              </w:rPr>
            </w:pPr>
            <w:r>
              <w:rPr>
                <w:rFonts w:ascii="Arial" w:cs="Arial" w:eastAsia="Arial" w:hAnsi="Arial"/>
                <w:sz w:val="18"/>
                <w:szCs w:val="18"/>
                <w:color w:val="auto"/>
              </w:rPr>
              <w:t>Net revenue</w:t>
            </w: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480,354</w:t>
            </w:r>
          </w:p>
        </w:tc>
        <w:tc>
          <w:tcPr>
            <w:tcW w:w="3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428,806</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1,372,662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1,351,755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1040" w:type="dxa"/>
            <w:vAlign w:val="bottom"/>
          </w:tcPr>
          <w:p>
            <w:pPr>
              <w:jc w:val="right"/>
              <w:spacing w:after="0"/>
              <w:rPr>
                <w:sz w:val="20"/>
                <w:szCs w:val="20"/>
                <w:color w:val="auto"/>
              </w:rPr>
            </w:pPr>
            <w:r>
              <w:rPr>
                <w:rFonts w:ascii="Arial" w:cs="Arial" w:eastAsia="Arial" w:hAnsi="Arial"/>
                <w:sz w:val="18"/>
                <w:szCs w:val="18"/>
                <w:color w:val="auto"/>
              </w:rPr>
              <w:t>301,809</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283,818</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910,679</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905,527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Occupancy and equipment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27,393</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25,680</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96,435</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Marketing and business development</w:t>
            </w:r>
          </w:p>
        </w:tc>
        <w:tc>
          <w:tcPr>
            <w:tcW w:w="1040" w:type="dxa"/>
            <w:vAlign w:val="bottom"/>
          </w:tcPr>
          <w:p>
            <w:pPr>
              <w:jc w:val="right"/>
              <w:spacing w:after="0"/>
              <w:rPr>
                <w:sz w:val="20"/>
                <w:szCs w:val="20"/>
                <w:color w:val="auto"/>
              </w:rPr>
            </w:pPr>
            <w:r>
              <w:rPr>
                <w:rFonts w:ascii="Arial" w:cs="Arial" w:eastAsia="Arial" w:hAnsi="Arial"/>
                <w:sz w:val="18"/>
                <w:szCs w:val="18"/>
                <w:color w:val="auto"/>
              </w:rPr>
              <w:t>17,077</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19,096</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60,646</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69,685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information services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22,217</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21,474</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65,331</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Professional services</w:t>
            </w:r>
          </w:p>
        </w:tc>
        <w:tc>
          <w:tcPr>
            <w:tcW w:w="1040" w:type="dxa"/>
            <w:vAlign w:val="bottom"/>
          </w:tcPr>
          <w:p>
            <w:pPr>
              <w:jc w:val="right"/>
              <w:spacing w:after="0"/>
              <w:rPr>
                <w:sz w:val="20"/>
                <w:szCs w:val="20"/>
                <w:color w:val="auto"/>
              </w:rPr>
            </w:pPr>
            <w:r>
              <w:rPr>
                <w:rFonts w:ascii="Arial" w:cs="Arial" w:eastAsia="Arial" w:hAnsi="Arial"/>
                <w:sz w:val="18"/>
                <w:szCs w:val="18"/>
                <w:color w:val="auto"/>
              </w:rPr>
              <w:t>12,904</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8,514</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32,223</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31,099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14,475</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13,179</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43,328</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040" w:type="dxa"/>
            <w:vAlign w:val="bottom"/>
          </w:tcPr>
          <w:p>
            <w:pPr>
              <w:jc w:val="right"/>
              <w:spacing w:after="0"/>
              <w:rPr>
                <w:sz w:val="20"/>
                <w:szCs w:val="20"/>
                <w:color w:val="auto"/>
              </w:rPr>
            </w:pPr>
            <w:r>
              <w:rPr>
                <w:rFonts w:ascii="Arial" w:cs="Arial" w:eastAsia="Arial" w:hAnsi="Arial"/>
                <w:sz w:val="18"/>
                <w:szCs w:val="18"/>
                <w:color w:val="auto"/>
              </w:rPr>
              <w:t>877</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2,494</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2,758</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7,825</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17,609</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399,236</w:t>
            </w:r>
          </w:p>
        </w:tc>
        <w:tc>
          <w:tcPr>
            <w:tcW w:w="3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382,080</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1,229,009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1,222,673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81,118</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46,726</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143,653</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129,082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040" w:type="dxa"/>
            <w:vAlign w:val="bottom"/>
          </w:tcPr>
          <w:p>
            <w:pPr>
              <w:jc w:val="right"/>
              <w:spacing w:after="0"/>
              <w:rPr>
                <w:sz w:val="20"/>
                <w:szCs w:val="20"/>
                <w:color w:val="auto"/>
              </w:rPr>
            </w:pPr>
            <w:r>
              <w:rPr>
                <w:rFonts w:ascii="Arial" w:cs="Arial" w:eastAsia="Arial" w:hAnsi="Arial"/>
                <w:sz w:val="18"/>
                <w:szCs w:val="18"/>
                <w:color w:val="auto"/>
              </w:rPr>
              <w:t>18,370</w:t>
            </w:r>
          </w:p>
        </w:tc>
        <w:tc>
          <w:tcPr>
            <w:tcW w:w="3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13,053</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31,335</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32,191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62,748</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33,673</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112,318</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tcPr>
          <w:p>
            <w:pPr>
              <w:spacing w:after="0" w:line="201" w:lineRule="exact"/>
              <w:rPr>
                <w:sz w:val="20"/>
                <w:szCs w:val="20"/>
                <w:color w:val="auto"/>
              </w:rPr>
            </w:pPr>
            <w:r>
              <w:rPr>
                <w:rFonts w:ascii="Arial" w:cs="Arial" w:eastAsia="Arial" w:hAnsi="Arial"/>
                <w:sz w:val="18"/>
                <w:szCs w:val="18"/>
                <w:b w:val="1"/>
                <w:bCs w:val="1"/>
                <w:color w:val="auto"/>
              </w:rPr>
              <w:t>LESS - NET INCOME ATTRIBUTABLE TO</w:t>
            </w: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40" w:type="dxa"/>
            <w:vAlign w:val="bottom"/>
          </w:tcPr>
          <w:p>
            <w:pPr>
              <w:ind w:left="200"/>
              <w:spacing w:after="0"/>
              <w:rPr>
                <w:sz w:val="20"/>
                <w:szCs w:val="20"/>
                <w:color w:val="auto"/>
              </w:rPr>
            </w:pPr>
            <w:r>
              <w:rPr>
                <w:rFonts w:ascii="Arial" w:cs="Arial" w:eastAsia="Arial" w:hAnsi="Arial"/>
                <w:sz w:val="18"/>
                <w:szCs w:val="18"/>
                <w:b w:val="1"/>
                <w:bCs w:val="1"/>
                <w:color w:val="auto"/>
              </w:rPr>
              <w:t>NONCONTROLLING INTERESTS</w:t>
            </w:r>
          </w:p>
        </w:tc>
        <w:tc>
          <w:tcPr>
            <w:tcW w:w="1040" w:type="dxa"/>
            <w:vAlign w:val="bottom"/>
          </w:tcPr>
          <w:p>
            <w:pPr>
              <w:jc w:val="right"/>
              <w:spacing w:after="0"/>
              <w:rPr>
                <w:sz w:val="20"/>
                <w:szCs w:val="20"/>
                <w:color w:val="auto"/>
              </w:rPr>
            </w:pPr>
            <w:r>
              <w:rPr>
                <w:rFonts w:ascii="Arial" w:cs="Arial" w:eastAsia="Arial" w:hAnsi="Arial"/>
                <w:sz w:val="18"/>
                <w:szCs w:val="18"/>
                <w:color w:val="auto"/>
              </w:rPr>
              <w:t>2,466</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372</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5,323</w:t>
            </w:r>
          </w:p>
        </w:tc>
        <w:tc>
          <w:tcPr>
            <w:tcW w:w="4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INCOME ATTRIBUTABLE TO</w:t>
            </w:r>
          </w:p>
        </w:tc>
        <w:tc>
          <w:tcPr>
            <w:tcW w:w="10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LAZARD LTD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$ 60,282</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$ 33,301</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$ 106,995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ATTRIBUTABLE TO LAZARD LTD CLASS A</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tcPr>
          <w:p>
            <w:pPr>
              <w:ind w:left="200"/>
              <w:spacing w:after="0"/>
              <w:rPr>
                <w:sz w:val="20"/>
                <w:szCs w:val="20"/>
                <w:color w:val="auto"/>
              </w:rPr>
            </w:pPr>
            <w:r>
              <w:rPr>
                <w:rFonts w:ascii="Arial" w:cs="Arial" w:eastAsia="Arial" w:hAnsi="Arial"/>
                <w:sz w:val="18"/>
                <w:szCs w:val="18"/>
                <w:b w:val="1"/>
                <w:bCs w:val="1"/>
                <w:color w:val="auto"/>
              </w:rPr>
              <w:t>COMMON STOCKHOLDERS: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b w:val="1"/>
                <w:bCs w:val="1"/>
                <w:color w:val="auto"/>
              </w:rPr>
              <w:t>WEIGHTED AVERAGE SHARES OF COMMON STOCK</w:t>
            </w: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OUTSTANDING:</w:t>
            </w: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640"/>
              <w:spacing w:after="0"/>
              <w:rPr>
                <w:sz w:val="20"/>
                <w:szCs w:val="20"/>
                <w:color w:val="auto"/>
              </w:rPr>
            </w:pPr>
            <w:r>
              <w:rPr>
                <w:rFonts w:ascii="Arial" w:cs="Arial" w:eastAsia="Arial" w:hAnsi="Arial"/>
                <w:sz w:val="18"/>
                <w:szCs w:val="18"/>
                <w:color w:val="auto"/>
              </w:rPr>
              <w:t>Basic</w:t>
            </w:r>
          </w:p>
        </w:tc>
        <w:tc>
          <w:tcPr>
            <w:tcW w:w="1040" w:type="dxa"/>
            <w:vAlign w:val="bottom"/>
          </w:tcPr>
          <w:p>
            <w:pPr>
              <w:jc w:val="right"/>
              <w:spacing w:after="0"/>
              <w:rPr>
                <w:sz w:val="20"/>
                <w:szCs w:val="20"/>
                <w:color w:val="auto"/>
              </w:rPr>
            </w:pPr>
            <w:r>
              <w:rPr>
                <w:rFonts w:ascii="Arial" w:cs="Arial" w:eastAsia="Arial" w:hAnsi="Arial"/>
                <w:sz w:val="18"/>
                <w:szCs w:val="18"/>
                <w:color w:val="auto"/>
              </w:rPr>
              <w:t>122,199,954</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115,603,351</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120,556,047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117,689,404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Diluted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134,242,144</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135,380,036</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133,174,000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135,537,050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b w:val="1"/>
                <w:bCs w:val="1"/>
                <w:color w:val="auto"/>
              </w:rPr>
              <w:t>NET INCOME PER SHARE OF COMMON STOCK:</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$0.29</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$0.89</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640"/>
              <w:spacing w:after="0"/>
              <w:rPr>
                <w:sz w:val="20"/>
                <w:szCs w:val="20"/>
                <w:color w:val="auto"/>
              </w:rPr>
            </w:pPr>
            <w:r>
              <w:rPr>
                <w:rFonts w:ascii="Arial" w:cs="Arial" w:eastAsia="Arial" w:hAnsi="Arial"/>
                <w:sz w:val="18"/>
                <w:szCs w:val="18"/>
                <w:color w:val="auto"/>
              </w:rPr>
              <w:t>Diluted</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vMerge w:val="continue"/>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$0.45</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$0.26</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$0.81</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DIVIDENDS DECLARED PER SHARE OF COMMON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$0.20</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8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62,748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33,673</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112,318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80" w:type="dxa"/>
            <w:vAlign w:val="bottom"/>
          </w:tcPr>
          <w:p>
            <w:pPr>
              <w:ind w:left="200"/>
              <w:spacing w:after="0"/>
              <w:rPr>
                <w:sz w:val="20"/>
                <w:szCs w:val="20"/>
                <w:color w:val="auto"/>
              </w:rPr>
            </w:pPr>
            <w:r>
              <w:rPr>
                <w:rFonts w:ascii="Arial" w:cs="Arial" w:eastAsia="Arial" w:hAnsi="Arial"/>
                <w:sz w:val="18"/>
                <w:szCs w:val="18"/>
                <w:b w:val="1"/>
                <w:bCs w:val="1"/>
                <w:color w:val="auto"/>
              </w:rPr>
              <w:t>NET OF TAX:</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12,157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14,306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(18,610)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12,352</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264</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264</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791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880" w:type="dxa"/>
            <w:vAlign w:val="bottom"/>
          </w:tcPr>
          <w:p>
            <w:pPr>
              <w:ind w:left="860"/>
              <w:spacing w:after="0"/>
              <w:rPr>
                <w:sz w:val="20"/>
                <w:szCs w:val="20"/>
                <w:color w:val="auto"/>
              </w:rPr>
            </w:pPr>
            <w:r>
              <w:rPr>
                <w:rFonts w:ascii="Arial" w:cs="Arial" w:eastAsia="Arial" w:hAnsi="Arial"/>
                <w:sz w:val="18"/>
                <w:szCs w:val="18"/>
                <w:color w:val="auto"/>
                <w:w w:val="94"/>
              </w:rPr>
              <w:t>Actuarial gain (loss) (net of tax (expense) benefit of $(25) and $994 for the three</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060"/>
              <w:spacing w:after="0"/>
              <w:rPr>
                <w:sz w:val="20"/>
                <w:szCs w:val="20"/>
                <w:color w:val="auto"/>
              </w:rPr>
            </w:pPr>
            <w:r>
              <w:rPr>
                <w:rFonts w:ascii="Arial" w:cs="Arial" w:eastAsia="Arial" w:hAnsi="Arial"/>
                <w:sz w:val="18"/>
                <w:szCs w:val="18"/>
                <w:color w:val="auto"/>
                <w:w w:val="96"/>
              </w:rPr>
              <w:t>months ended September 30, 2013 and 2012, respectively, and $1,686 and</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ind w:left="1060"/>
              <w:spacing w:after="0"/>
              <w:rPr>
                <w:sz w:val="20"/>
                <w:szCs w:val="20"/>
                <w:color w:val="auto"/>
              </w:rPr>
            </w:pPr>
            <w:r>
              <w:rPr>
                <w:rFonts w:ascii="Arial" w:cs="Arial" w:eastAsia="Arial" w:hAnsi="Arial"/>
                <w:sz w:val="18"/>
                <w:szCs w:val="18"/>
                <w:color w:val="auto"/>
                <w:w w:val="92"/>
              </w:rPr>
              <w:t>$3,719 for the nine months ended September 30, 2013 and 2012, respectively)</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(2,669)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(7,947)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1"/>
              </w:rPr>
              <w:t>Adjustment for items reclassified to earnings (net of tax expense of $404 and $278</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5"/>
              </w:rPr>
              <w:t>for the three months ended September 30, 2013 and 2012, respectively, and</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6"/>
              </w:rPr>
              <w:t>$1,206 and $856 for the nine months ended September 30, 2013 and 2012,</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respectively)</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1,223</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3,653</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09"/>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80" w:type="dxa"/>
            <w:vAlign w:val="bottom"/>
          </w:tcPr>
          <w:p>
            <w:pPr>
              <w:ind w:left="200"/>
              <w:spacing w:after="0"/>
              <w:rPr>
                <w:sz w:val="20"/>
                <w:szCs w:val="20"/>
                <w:color w:val="auto"/>
              </w:rPr>
            </w:pPr>
            <w:r>
              <w:rPr>
                <w:rFonts w:ascii="Arial" w:cs="Arial" w:eastAsia="Arial" w:hAnsi="Arial"/>
                <w:sz w:val="18"/>
                <w:szCs w:val="18"/>
                <w:b w:val="1"/>
                <w:bCs w:val="1"/>
                <w:color w:val="auto"/>
              </w:rPr>
              <w:t>NET OF TAX</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13,694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13,480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(16,835)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7,640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76,442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47,153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95,483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104,531</w:t>
            </w:r>
          </w:p>
        </w:tc>
        <w:tc>
          <w:tcPr>
            <w:tcW w:w="0" w:type="dxa"/>
            <w:vAlign w:val="bottom"/>
          </w:tcPr>
          <w:p>
            <w:pPr>
              <w:spacing w:after="0"/>
              <w:rPr>
                <w:sz w:val="1"/>
                <w:szCs w:val="1"/>
                <w:color w:val="auto"/>
              </w:rPr>
            </w:pPr>
          </w:p>
        </w:tc>
      </w:tr>
      <w:tr>
        <w:trPr>
          <w:trHeight w:val="310"/>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LESS - COMPREHENSIVE INCOME ATTRIBUTABLE TO NONCONTROLLING</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80" w:type="dxa"/>
            <w:vAlign w:val="bottom"/>
          </w:tcPr>
          <w:p>
            <w:pPr>
              <w:ind w:left="200"/>
              <w:spacing w:after="0"/>
              <w:rPr>
                <w:sz w:val="20"/>
                <w:szCs w:val="20"/>
                <w:color w:val="auto"/>
              </w:rPr>
            </w:pPr>
            <w:r>
              <w:rPr>
                <w:rFonts w:ascii="Arial" w:cs="Arial" w:eastAsia="Arial" w:hAnsi="Arial"/>
                <w:sz w:val="18"/>
                <w:szCs w:val="18"/>
                <w:b w:val="1"/>
                <w:bCs w:val="1"/>
                <w:color w:val="auto"/>
              </w:rPr>
              <w:t>INTERESTS</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5,201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7,784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LAZARD LTD</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73,919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46,067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90,282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PERIODS ENDED SEPTEMBER 30,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3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3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income</w:t>
            </w:r>
          </w:p>
        </w:tc>
        <w:tc>
          <w:tcPr>
            <w:tcW w:w="2780" w:type="dxa"/>
            <w:vAlign w:val="bottom"/>
            <w:gridSpan w:val="3"/>
          </w:tcPr>
          <w:p>
            <w:pPr>
              <w:jc w:val="right"/>
              <w:ind w:right="660"/>
              <w:spacing w:after="0"/>
              <w:rPr>
                <w:sz w:val="20"/>
                <w:szCs w:val="20"/>
                <w:color w:val="auto"/>
              </w:rPr>
            </w:pPr>
            <w:r>
              <w:rPr>
                <w:rFonts w:ascii="Arial" w:cs="Arial" w:eastAsia="Arial" w:hAnsi="Arial"/>
                <w:sz w:val="18"/>
                <w:szCs w:val="18"/>
                <w:color w:val="auto"/>
              </w:rPr>
              <w:t>$ 112,318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96,891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Noncash items included in net income:</w:t>
            </w: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2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25,465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Amortization of deferred expenses, share-based incentive compensation</w:t>
            </w: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1060"/>
              <w:spacing w:after="0"/>
              <w:rPr>
                <w:sz w:val="20"/>
                <w:szCs w:val="20"/>
                <w:color w:val="auto"/>
              </w:rPr>
            </w:pPr>
            <w:r>
              <w:rPr>
                <w:rFonts w:ascii="Arial" w:cs="Arial" w:eastAsia="Arial" w:hAnsi="Arial"/>
                <w:sz w:val="18"/>
                <w:szCs w:val="18"/>
                <w:color w:val="auto"/>
              </w:rPr>
              <w:t>and interest rate hedge</w:t>
            </w:r>
          </w:p>
        </w:tc>
        <w:tc>
          <w:tcPr>
            <w:tcW w:w="2780" w:type="dxa"/>
            <w:vAlign w:val="bottom"/>
            <w:gridSpan w:val="3"/>
          </w:tcPr>
          <w:p>
            <w:pPr>
              <w:jc w:val="right"/>
              <w:ind w:right="660"/>
              <w:spacing w:after="0"/>
              <w:rPr>
                <w:sz w:val="20"/>
                <w:szCs w:val="20"/>
                <w:color w:val="auto"/>
              </w:rPr>
            </w:pPr>
            <w:r>
              <w:rPr>
                <w:rFonts w:ascii="Arial" w:cs="Arial" w:eastAsia="Arial" w:hAnsi="Arial"/>
                <w:sz w:val="18"/>
                <w:szCs w:val="18"/>
                <w:color w:val="auto"/>
              </w:rPr>
              <w:t>239,357</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252,812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2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2,758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(Increase) decrease in operating assets:</w:t>
            </w: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with banks</w:t>
            </w:r>
          </w:p>
        </w:tc>
        <w:tc>
          <w:tcPr>
            <w:tcW w:w="2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25,558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2780" w:type="dxa"/>
            <w:vAlign w:val="bottom"/>
            <w:gridSpan w:val="3"/>
          </w:tcPr>
          <w:p>
            <w:pPr>
              <w:jc w:val="right"/>
              <w:ind w:right="660"/>
              <w:spacing w:after="0"/>
              <w:rPr>
                <w:sz w:val="20"/>
                <w:szCs w:val="20"/>
                <w:color w:val="auto"/>
              </w:rPr>
            </w:pPr>
            <w:r>
              <w:rPr>
                <w:rFonts w:ascii="Arial" w:cs="Arial" w:eastAsia="Arial" w:hAnsi="Arial"/>
                <w:sz w:val="18"/>
                <w:szCs w:val="18"/>
                <w:color w:val="auto"/>
              </w:rPr>
              <w:t>6,291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Receivables-net</w:t>
            </w:r>
          </w:p>
        </w:tc>
        <w:tc>
          <w:tcPr>
            <w:tcW w:w="27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(55,516)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Investments</w:t>
            </w:r>
          </w:p>
        </w:tc>
        <w:tc>
          <w:tcPr>
            <w:tcW w:w="2780" w:type="dxa"/>
            <w:vAlign w:val="bottom"/>
            <w:gridSpan w:val="3"/>
          </w:tcPr>
          <w:p>
            <w:pPr>
              <w:jc w:val="right"/>
              <w:ind w:right="600"/>
              <w:spacing w:after="0"/>
              <w:rPr>
                <w:sz w:val="20"/>
                <w:szCs w:val="20"/>
                <w:color w:val="auto"/>
              </w:rPr>
            </w:pPr>
            <w:r>
              <w:rPr>
                <w:rFonts w:ascii="Arial" w:cs="Arial" w:eastAsia="Arial" w:hAnsi="Arial"/>
                <w:sz w:val="18"/>
                <w:szCs w:val="18"/>
                <w:color w:val="auto"/>
              </w:rPr>
              <w:t>(54,520)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(55,135)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27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(81,898)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and other payables</w:t>
            </w:r>
          </w:p>
        </w:tc>
        <w:tc>
          <w:tcPr>
            <w:tcW w:w="2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14,158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138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(66,104)</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(55,770)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167,867</w:t>
            </w: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w:t>
            </w:r>
          </w:p>
        </w:tc>
        <w:tc>
          <w:tcPr>
            <w:tcW w:w="27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(54,344)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Disposals of property</w:t>
            </w:r>
          </w:p>
        </w:tc>
        <w:tc>
          <w:tcPr>
            <w:tcW w:w="13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5,843</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27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(48,501)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(69,564)</w:t>
            </w:r>
          </w:p>
        </w:tc>
        <w:tc>
          <w:tcPr>
            <w:tcW w:w="0" w:type="dxa"/>
            <w:vAlign w:val="bottom"/>
          </w:tcPr>
          <w:p>
            <w:pPr>
              <w:spacing w:after="0"/>
              <w:rPr>
                <w:sz w:val="1"/>
                <w:szCs w:val="1"/>
                <w:color w:val="auto"/>
              </w:rPr>
            </w:pPr>
          </w:p>
        </w:tc>
      </w:tr>
      <w:tr>
        <w:trPr>
          <w:trHeight w:val="222"/>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w:t>
            </w:r>
          </w:p>
        </w:tc>
        <w:tc>
          <w:tcPr>
            <w:tcW w:w="1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Contribution from noncontrolling interests</w:t>
            </w:r>
          </w:p>
        </w:tc>
        <w:tc>
          <w:tcPr>
            <w:tcW w:w="2780" w:type="dxa"/>
            <w:vAlign w:val="bottom"/>
            <w:gridSpan w:val="3"/>
          </w:tcPr>
          <w:p>
            <w:pPr>
              <w:jc w:val="right"/>
              <w:ind w:right="660"/>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benefits from share-based incentive compensation</w:t>
            </w:r>
          </w:p>
        </w:tc>
        <w:tc>
          <w:tcPr>
            <w:tcW w:w="2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2,211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w:t>
            </w:r>
          </w:p>
        </w:tc>
        <w:tc>
          <w:tcPr>
            <w:tcW w:w="27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(2,092)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2780" w:type="dxa"/>
            <w:vAlign w:val="bottom"/>
            <w:gridSpan w:val="3"/>
          </w:tcPr>
          <w:p>
            <w:pPr>
              <w:jc w:val="right"/>
              <w:ind w:right="600"/>
              <w:spacing w:after="0"/>
              <w:rPr>
                <w:sz w:val="20"/>
                <w:szCs w:val="20"/>
                <w:color w:val="auto"/>
              </w:rPr>
            </w:pPr>
            <w:r>
              <w:rPr>
                <w:rFonts w:ascii="Arial" w:cs="Arial" w:eastAsia="Arial" w:hAnsi="Arial"/>
                <w:sz w:val="18"/>
                <w:szCs w:val="18"/>
                <w:color w:val="auto"/>
              </w:rPr>
              <w:t>(10,228)</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Class A common stock</w:t>
            </w:r>
          </w:p>
        </w:tc>
        <w:tc>
          <w:tcPr>
            <w:tcW w:w="27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(77,934)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(222,679)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Class A common stock dividends</w:t>
            </w:r>
          </w:p>
        </w:tc>
        <w:tc>
          <w:tcPr>
            <w:tcW w:w="2780" w:type="dxa"/>
            <w:vAlign w:val="bottom"/>
            <w:gridSpan w:val="3"/>
          </w:tcPr>
          <w:p>
            <w:pPr>
              <w:jc w:val="right"/>
              <w:ind w:right="600"/>
              <w:spacing w:after="0"/>
              <w:rPr>
                <w:sz w:val="20"/>
                <w:szCs w:val="20"/>
                <w:color w:val="auto"/>
              </w:rPr>
            </w:pPr>
            <w:r>
              <w:rPr>
                <w:rFonts w:ascii="Arial" w:cs="Arial" w:eastAsia="Arial" w:hAnsi="Arial"/>
                <w:sz w:val="18"/>
                <w:szCs w:val="18"/>
                <w:color w:val="auto"/>
              </w:rPr>
              <w:t>(60,931)</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(66,219)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27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(125,546)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13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(273,880)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(347,416)</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1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4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(7,309)</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6,303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(161,823)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(170,851)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13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850,190</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1,003,791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EQUIVALENTS—September 30</w:t>
            </w:r>
          </w:p>
        </w:tc>
        <w:tc>
          <w:tcPr>
            <w:tcW w:w="2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$ 688,367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280" w:type="dxa"/>
            <w:vAlign w:val="bottom"/>
          </w:tcPr>
          <w:p>
            <w:pPr>
              <w:spacing w:after="0"/>
              <w:rPr>
                <w:sz w:val="4"/>
                <w:szCs w:val="4"/>
                <w:color w:val="auto"/>
              </w:rPr>
            </w:pPr>
          </w:p>
        </w:tc>
        <w:tc>
          <w:tcPr>
            <w:tcW w:w="740" w:type="dxa"/>
            <w:vAlign w:val="bottom"/>
            <w:gridSpan w:val="3"/>
            <w:vMerge w:val="restart"/>
          </w:tcPr>
          <w:p>
            <w:pPr>
              <w:jc w:val="center"/>
              <w:ind w:left="132"/>
              <w:spacing w:after="0" w:line="149" w:lineRule="exact"/>
              <w:rPr>
                <w:sz w:val="20"/>
                <w:szCs w:val="20"/>
                <w:color w:val="auto"/>
              </w:rPr>
            </w:pPr>
            <w:r>
              <w:rPr>
                <w:rFonts w:ascii="Arial" w:cs="Arial" w:eastAsia="Arial" w:hAnsi="Arial"/>
                <w:sz w:val="14"/>
                <w:szCs w:val="14"/>
                <w:b w:val="1"/>
                <w:bCs w:val="1"/>
                <w:color w:val="auto"/>
                <w:w w:val="82"/>
              </w:rPr>
              <w:t>Series A</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6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28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Lazard Ltd</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54"/>
        </w:trPr>
        <w:tc>
          <w:tcPr>
            <w:tcW w:w="2280" w:type="dxa"/>
            <w:vAlign w:val="bottom"/>
          </w:tcPr>
          <w:p>
            <w:pPr>
              <w:spacing w:after="0"/>
              <w:rPr>
                <w:sz w:val="4"/>
                <w:szCs w:val="4"/>
                <w:color w:val="auto"/>
              </w:rPr>
            </w:pPr>
          </w:p>
        </w:tc>
        <w:tc>
          <w:tcPr>
            <w:tcW w:w="106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86"/>
              </w:rPr>
              <w:t>Preferred Stock</w:t>
            </w:r>
          </w:p>
        </w:tc>
        <w:tc>
          <w:tcPr>
            <w:tcW w:w="12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6"/>
              </w:rPr>
              <w:t>Held By Subsidiaries</w:t>
            </w:r>
          </w:p>
        </w:tc>
        <w:tc>
          <w:tcPr>
            <w:tcW w:w="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280" w:type="dxa"/>
            <w:vAlign w:val="bottom"/>
          </w:tcPr>
          <w:p>
            <w:pPr>
              <w:spacing w:after="0"/>
              <w:rPr>
                <w:sz w:val="9"/>
                <w:szCs w:val="9"/>
                <w:color w:val="auto"/>
              </w:rPr>
            </w:pPr>
          </w:p>
        </w:tc>
        <w:tc>
          <w:tcPr>
            <w:tcW w:w="1060" w:type="dxa"/>
            <w:vAlign w:val="bottom"/>
            <w:gridSpan w:val="5"/>
            <w:vMerge w:val="continue"/>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Paid-In-</w:t>
            </w:r>
          </w:p>
        </w:tc>
        <w:tc>
          <w:tcPr>
            <w:tcW w:w="52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w w:val="84"/>
              </w:rPr>
              <w:t>Retained</w:t>
            </w:r>
          </w:p>
        </w:tc>
        <w:tc>
          <w:tcPr>
            <w:tcW w:w="140" w:type="dxa"/>
            <w:vAlign w:val="bottom"/>
          </w:tcPr>
          <w:p>
            <w:pPr>
              <w:spacing w:after="0"/>
              <w:rPr>
                <w:sz w:val="9"/>
                <w:szCs w:val="9"/>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460" w:type="dxa"/>
            <w:vAlign w:val="bottom"/>
            <w:gridSpan w:val="4"/>
            <w:vMerge w:val="continue"/>
          </w:tcPr>
          <w:p>
            <w:pPr>
              <w:spacing w:after="0"/>
              <w:rPr>
                <w:sz w:val="9"/>
                <w:szCs w:val="9"/>
                <w:color w:val="auto"/>
              </w:rPr>
            </w:pPr>
          </w:p>
        </w:tc>
        <w:tc>
          <w:tcPr>
            <w:tcW w:w="86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60" w:type="dxa"/>
            <w:vAlign w:val="bottom"/>
          </w:tcPr>
          <w:p>
            <w:pPr>
              <w:spacing w:after="0"/>
              <w:rPr>
                <w:sz w:val="9"/>
                <w:szCs w:val="9"/>
                <w:color w:val="auto"/>
              </w:rPr>
            </w:pPr>
          </w:p>
        </w:tc>
        <w:tc>
          <w:tcPr>
            <w:tcW w:w="8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w w:val="84"/>
              </w:rPr>
              <w:t>Noncontrolling</w:t>
            </w:r>
          </w:p>
        </w:tc>
        <w:tc>
          <w:tcPr>
            <w:tcW w:w="140" w:type="dxa"/>
            <w:vAlign w:val="bottom"/>
          </w:tcPr>
          <w:p>
            <w:pPr>
              <w:spacing w:after="0"/>
              <w:rPr>
                <w:sz w:val="9"/>
                <w:szCs w:val="9"/>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2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Capital</w:t>
            </w:r>
          </w:p>
        </w:tc>
        <w:tc>
          <w:tcPr>
            <w:tcW w:w="520" w:type="dxa"/>
            <w:vAlign w:val="bottom"/>
          </w:tcPr>
          <w:p>
            <w:pPr>
              <w:spacing w:after="0"/>
              <w:rPr>
                <w:sz w:val="20"/>
                <w:szCs w:val="20"/>
                <w:color w:val="auto"/>
              </w:rPr>
            </w:pPr>
            <w:r>
              <w:rPr>
                <w:rFonts w:ascii="Arial" w:cs="Arial" w:eastAsia="Arial" w:hAnsi="Arial"/>
                <w:sz w:val="14"/>
                <w:szCs w:val="14"/>
                <w:b w:val="1"/>
                <w:bCs w:val="1"/>
                <w:color w:val="auto"/>
                <w:w w:val="83"/>
              </w:rPr>
              <w:t>Earnings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Net of Tax</w:t>
            </w: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2012</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123,009,312</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$1,230</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93"/>
              </w:rPr>
              <w:t>$  659,013</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80"/>
              </w:rPr>
              <w:t>$ 258,646</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(88,364)</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3,492,017</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$(104,382)</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726,143</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140,713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866,856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51"/>
        </w:trPr>
        <w:tc>
          <w:tcPr>
            <w:tcW w:w="2280" w:type="dxa"/>
            <w:vAlign w:val="bottom"/>
          </w:tcPr>
          <w:p>
            <w:pPr>
              <w:spacing w:after="0" w:line="151" w:lineRule="exact"/>
              <w:rPr>
                <w:sz w:val="20"/>
                <w:szCs w:val="20"/>
                <w:color w:val="auto"/>
              </w:rPr>
            </w:pPr>
            <w:r>
              <w:rPr>
                <w:rFonts w:ascii="Arial" w:cs="Arial" w:eastAsia="Arial" w:hAnsi="Arial"/>
                <w:sz w:val="14"/>
                <w:szCs w:val="14"/>
                <w:color w:val="auto"/>
              </w:rPr>
              <w:t>Comprehensive income (loss):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220"/>
              <w:spacing w:after="0" w:line="149" w:lineRule="exact"/>
              <w:rPr>
                <w:sz w:val="20"/>
                <w:szCs w:val="20"/>
                <w:color w:val="auto"/>
              </w:rPr>
            </w:pPr>
            <w:r>
              <w:rPr>
                <w:rFonts w:ascii="Arial" w:cs="Arial" w:eastAsia="Arial" w:hAnsi="Arial"/>
                <w:sz w:val="14"/>
                <w:szCs w:val="14"/>
                <w:color w:val="auto"/>
              </w:rPr>
              <w:t>Net income</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89,674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220"/>
              <w:spacing w:after="0" w:line="149" w:lineRule="exact"/>
              <w:rPr>
                <w:sz w:val="20"/>
                <w:szCs w:val="20"/>
                <w:color w:val="auto"/>
              </w:rPr>
            </w:pPr>
            <w:r>
              <w:rPr>
                <w:rFonts w:ascii="Arial" w:cs="Arial" w:eastAsia="Arial" w:hAnsi="Arial"/>
                <w:sz w:val="14"/>
                <w:szCs w:val="14"/>
                <w:color w:val="auto"/>
                <w:w w:val="88"/>
              </w:rPr>
              <w:t>Other comprehensive income (loss) -</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440"/>
              <w:spacing w:after="0" w:line="149" w:lineRule="exact"/>
              <w:rPr>
                <w:sz w:val="20"/>
                <w:szCs w:val="20"/>
                <w:color w:val="auto"/>
              </w:rPr>
            </w:pPr>
            <w:r>
              <w:rPr>
                <w:rFonts w:ascii="Arial" w:cs="Arial" w:eastAsia="Arial" w:hAnsi="Arial"/>
                <w:sz w:val="14"/>
                <w:szCs w:val="14"/>
                <w:color w:val="auto"/>
              </w:rPr>
              <w:t>net of tax:</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660"/>
              <w:spacing w:after="0" w:line="149" w:lineRule="exact"/>
              <w:rPr>
                <w:sz w:val="20"/>
                <w:szCs w:val="20"/>
                <w:color w:val="auto"/>
              </w:rPr>
            </w:pPr>
            <w:r>
              <w:rPr>
                <w:rFonts w:ascii="Arial" w:cs="Arial" w:eastAsia="Arial" w:hAnsi="Arial"/>
                <w:sz w:val="14"/>
                <w:szCs w:val="14"/>
                <w:color w:val="auto"/>
              </w:rPr>
              <w:t>Currency translation</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80"/>
              <w:spacing w:after="0" w:line="149" w:lineRule="exact"/>
              <w:rPr>
                <w:sz w:val="20"/>
                <w:szCs w:val="20"/>
                <w:color w:val="auto"/>
              </w:rPr>
            </w:pPr>
            <w:r>
              <w:rPr>
                <w:rFonts w:ascii="Arial" w:cs="Arial" w:eastAsia="Arial" w:hAnsi="Arial"/>
                <w:sz w:val="14"/>
                <w:szCs w:val="14"/>
                <w:color w:val="auto"/>
              </w:rPr>
              <w:t>adjustments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660"/>
              <w:spacing w:after="0" w:line="149" w:lineRule="exact"/>
              <w:rPr>
                <w:sz w:val="20"/>
                <w:szCs w:val="20"/>
                <w:color w:val="auto"/>
              </w:rPr>
            </w:pPr>
            <w:r>
              <w:rPr>
                <w:rFonts w:ascii="Arial" w:cs="Arial" w:eastAsia="Arial" w:hAnsi="Arial"/>
                <w:sz w:val="14"/>
                <w:szCs w:val="14"/>
                <w:color w:val="auto"/>
                <w:w w:val="93"/>
              </w:rPr>
              <w:t>Amortization of interest rate</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80"/>
              <w:spacing w:after="0" w:line="149" w:lineRule="exact"/>
              <w:rPr>
                <w:sz w:val="20"/>
                <w:szCs w:val="20"/>
                <w:color w:val="auto"/>
              </w:rPr>
            </w:pPr>
            <w:r>
              <w:rPr>
                <w:rFonts w:ascii="Arial" w:cs="Arial" w:eastAsia="Arial" w:hAnsi="Arial"/>
                <w:sz w:val="14"/>
                <w:szCs w:val="14"/>
                <w:color w:val="auto"/>
              </w:rPr>
              <w:t>hedge</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660"/>
              <w:spacing w:after="0" w:line="149" w:lineRule="exact"/>
              <w:rPr>
                <w:sz w:val="20"/>
                <w:szCs w:val="20"/>
                <w:color w:val="auto"/>
              </w:rPr>
            </w:pPr>
            <w:r>
              <w:rPr>
                <w:rFonts w:ascii="Arial" w:cs="Arial" w:eastAsia="Arial" w:hAnsi="Arial"/>
                <w:sz w:val="14"/>
                <w:szCs w:val="14"/>
                <w:color w:val="auto"/>
              </w:rPr>
              <w:t>Employee benefit plans: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80"/>
              <w:spacing w:after="0" w:line="149" w:lineRule="exact"/>
              <w:rPr>
                <w:sz w:val="20"/>
                <w:szCs w:val="20"/>
                <w:color w:val="auto"/>
              </w:rPr>
            </w:pPr>
            <w:r>
              <w:rPr>
                <w:rFonts w:ascii="Arial" w:cs="Arial" w:eastAsia="Arial" w:hAnsi="Arial"/>
                <w:sz w:val="14"/>
                <w:szCs w:val="14"/>
                <w:color w:val="auto"/>
              </w:rPr>
              <w:t>Net actuarial loss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80"/>
              <w:spacing w:after="0" w:line="149" w:lineRule="exact"/>
              <w:rPr>
                <w:sz w:val="20"/>
                <w:szCs w:val="20"/>
                <w:color w:val="auto"/>
              </w:rPr>
            </w:pPr>
            <w:r>
              <w:rPr>
                <w:rFonts w:ascii="Arial" w:cs="Arial" w:eastAsia="Arial" w:hAnsi="Arial"/>
                <w:sz w:val="14"/>
                <w:szCs w:val="14"/>
                <w:color w:val="auto"/>
              </w:rPr>
              <w:t>Adjustments for</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300"/>
              <w:spacing w:after="0" w:line="149" w:lineRule="exact"/>
              <w:rPr>
                <w:sz w:val="20"/>
                <w:szCs w:val="20"/>
                <w:color w:val="auto"/>
              </w:rPr>
            </w:pPr>
            <w:r>
              <w:rPr>
                <w:rFonts w:ascii="Arial" w:cs="Arial" w:eastAsia="Arial" w:hAnsi="Arial"/>
                <w:sz w:val="14"/>
                <w:szCs w:val="14"/>
                <w:color w:val="auto"/>
              </w:rPr>
              <w:t>items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300"/>
              <w:spacing w:after="0" w:line="149" w:lineRule="exact"/>
              <w:rPr>
                <w:sz w:val="20"/>
                <w:szCs w:val="20"/>
                <w:color w:val="auto"/>
              </w:rPr>
            </w:pPr>
            <w:r>
              <w:rPr>
                <w:rFonts w:ascii="Arial" w:cs="Arial" w:eastAsia="Arial" w:hAnsi="Arial"/>
                <w:sz w:val="14"/>
                <w:szCs w:val="14"/>
                <w:color w:val="auto"/>
              </w:rPr>
              <w:t>reclassified to</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80" w:type="dxa"/>
            <w:vAlign w:val="bottom"/>
          </w:tcPr>
          <w:p>
            <w:pPr>
              <w:ind w:left="1300"/>
              <w:spacing w:after="0"/>
              <w:rPr>
                <w:sz w:val="20"/>
                <w:szCs w:val="20"/>
                <w:color w:val="auto"/>
              </w:rPr>
            </w:pPr>
            <w:r>
              <w:rPr>
                <w:rFonts w:ascii="Arial" w:cs="Arial" w:eastAsia="Arial" w:hAnsi="Arial"/>
                <w:sz w:val="14"/>
                <w:szCs w:val="14"/>
                <w:color w:val="auto"/>
              </w:rPr>
              <w:t>earnings</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80" w:type="dxa"/>
            <w:vAlign w:val="bottom"/>
          </w:tcPr>
          <w:p>
            <w:pPr>
              <w:ind w:left="220"/>
              <w:spacing w:after="0"/>
              <w:rPr>
                <w:sz w:val="20"/>
                <w:szCs w:val="20"/>
                <w:color w:val="auto"/>
              </w:rPr>
            </w:pPr>
            <w:r>
              <w:rPr>
                <w:rFonts w:ascii="Arial" w:cs="Arial" w:eastAsia="Arial" w:hAnsi="Arial"/>
                <w:sz w:val="14"/>
                <w:szCs w:val="14"/>
                <w:color w:val="auto"/>
              </w:rPr>
              <w:t>Comprehensive income</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280" w:type="dxa"/>
            <w:vAlign w:val="bottom"/>
          </w:tcPr>
          <w:p>
            <w:pPr>
              <w:spacing w:after="0" w:line="152" w:lineRule="exact"/>
              <w:rPr>
                <w:sz w:val="20"/>
                <w:szCs w:val="20"/>
                <w:color w:val="auto"/>
              </w:rPr>
            </w:pPr>
            <w:r>
              <w:rPr>
                <w:rFonts w:ascii="Arial" w:cs="Arial" w:eastAsia="Arial" w:hAnsi="Arial"/>
                <w:sz w:val="14"/>
                <w:szCs w:val="14"/>
                <w:color w:val="auto"/>
                <w:w w:val="90"/>
              </w:rPr>
              <w:t>Business acquisitions and related equity</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220"/>
              <w:spacing w:after="0" w:line="149" w:lineRule="exact"/>
              <w:rPr>
                <w:sz w:val="20"/>
                <w:szCs w:val="20"/>
                <w:color w:val="auto"/>
              </w:rPr>
            </w:pPr>
            <w:r>
              <w:rPr>
                <w:rFonts w:ascii="Arial" w:cs="Arial" w:eastAsia="Arial" w:hAnsi="Arial"/>
                <w:sz w:val="14"/>
                <w:szCs w:val="14"/>
                <w:color w:val="auto"/>
              </w:rPr>
              <w:t>transactions: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220"/>
              <w:spacing w:after="0" w:line="149" w:lineRule="exact"/>
              <w:rPr>
                <w:sz w:val="20"/>
                <w:szCs w:val="20"/>
                <w:color w:val="auto"/>
              </w:rPr>
            </w:pPr>
            <w:r>
              <w:rPr>
                <w:rFonts w:ascii="Arial" w:cs="Arial" w:eastAsia="Arial" w:hAnsi="Arial"/>
                <w:sz w:val="14"/>
                <w:szCs w:val="14"/>
                <w:color w:val="auto"/>
              </w:rPr>
              <w:t>Class A common stock issuable</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440"/>
              <w:spacing w:after="0" w:line="149" w:lineRule="exact"/>
              <w:rPr>
                <w:sz w:val="20"/>
                <w:szCs w:val="20"/>
                <w:color w:val="auto"/>
              </w:rPr>
            </w:pPr>
            <w:r>
              <w:rPr>
                <w:rFonts w:ascii="Arial" w:cs="Arial" w:eastAsia="Arial" w:hAnsi="Arial"/>
                <w:sz w:val="14"/>
                <w:szCs w:val="14"/>
                <w:color w:val="auto"/>
                <w:w w:val="95"/>
              </w:rPr>
              <w:t>(including related amortization)</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3,369</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w w:val="96"/>
              </w:rPr>
              <w:t>Amortization of share-based incentive</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220"/>
              <w:spacing w:after="0" w:line="149" w:lineRule="exact"/>
              <w:rPr>
                <w:sz w:val="20"/>
                <w:szCs w:val="20"/>
                <w:color w:val="auto"/>
              </w:rPr>
            </w:pPr>
            <w:r>
              <w:rPr>
                <w:rFonts w:ascii="Arial" w:cs="Arial" w:eastAsia="Arial" w:hAnsi="Arial"/>
                <w:sz w:val="14"/>
                <w:szCs w:val="14"/>
                <w:color w:val="auto"/>
              </w:rPr>
              <w:t>compensation</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209,036</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11,770</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(11,856)</w:t>
            </w: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(66,219)</w:t>
            </w: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w w:val="99"/>
              </w:rPr>
              <w:t>Delivery of Class A common stock in</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220"/>
              <w:spacing w:after="0" w:line="149" w:lineRule="exact"/>
              <w:rPr>
                <w:sz w:val="20"/>
                <w:szCs w:val="20"/>
                <w:color w:val="auto"/>
              </w:rPr>
            </w:pPr>
            <w:r>
              <w:rPr>
                <w:rFonts w:ascii="Arial" w:cs="Arial" w:eastAsia="Arial" w:hAnsi="Arial"/>
                <w:sz w:val="14"/>
                <w:szCs w:val="14"/>
                <w:color w:val="auto"/>
              </w:rPr>
              <w:t>connection with share-based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220"/>
              <w:spacing w:after="0" w:line="149" w:lineRule="exact"/>
              <w:rPr>
                <w:sz w:val="20"/>
                <w:szCs w:val="20"/>
                <w:color w:val="auto"/>
              </w:rPr>
            </w:pPr>
            <w:r>
              <w:rPr>
                <w:rFonts w:ascii="Arial" w:cs="Arial" w:eastAsia="Arial" w:hAnsi="Arial"/>
                <w:sz w:val="14"/>
                <w:szCs w:val="14"/>
                <w:color w:val="auto"/>
                <w:w w:val="92"/>
              </w:rPr>
              <w:t>incentive compensation and related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(141,781)</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220"/>
              <w:spacing w:after="0" w:line="149" w:lineRule="exact"/>
              <w:rPr>
                <w:sz w:val="20"/>
                <w:szCs w:val="20"/>
                <w:color w:val="auto"/>
              </w:rPr>
            </w:pPr>
            <w:r>
              <w:rPr>
                <w:rFonts w:ascii="Arial" w:cs="Arial" w:eastAsia="Arial" w:hAnsi="Arial"/>
                <w:sz w:val="14"/>
                <w:szCs w:val="14"/>
                <w:color w:val="auto"/>
              </w:rPr>
              <w:t>tax expense of $972</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rPr>
              <w:t>Class A common stock issued in</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220"/>
              <w:spacing w:after="0" w:line="149" w:lineRule="exact"/>
              <w:rPr>
                <w:sz w:val="20"/>
                <w:szCs w:val="20"/>
                <w:color w:val="auto"/>
              </w:rPr>
            </w:pPr>
            <w:r>
              <w:rPr>
                <w:rFonts w:ascii="Arial" w:cs="Arial" w:eastAsia="Arial" w:hAnsi="Arial"/>
                <w:sz w:val="14"/>
                <w:szCs w:val="14"/>
                <w:color w:val="auto"/>
                <w:w w:val="89"/>
              </w:rPr>
              <w:t>exchange for Lazard Group common</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220"/>
              <w:spacing w:after="0" w:line="149" w:lineRule="exact"/>
              <w:rPr>
                <w:sz w:val="20"/>
                <w:szCs w:val="20"/>
                <w:color w:val="auto"/>
              </w:rPr>
            </w:pPr>
            <w:r>
              <w:rPr>
                <w:rFonts w:ascii="Arial" w:cs="Arial" w:eastAsia="Arial" w:hAnsi="Arial"/>
                <w:sz w:val="14"/>
                <w:szCs w:val="14"/>
                <w:color w:val="auto"/>
              </w:rPr>
              <w:t>membership interests</w:t>
            </w:r>
          </w:p>
        </w:tc>
        <w:tc>
          <w:tcPr>
            <w:tcW w:w="178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191,701</w:t>
            </w:r>
          </w:p>
        </w:tc>
        <w:tc>
          <w:tcPr>
            <w:tcW w:w="6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w w:val="92"/>
              </w:rPr>
              <w:t>Distributions to noncontrolling interests,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220"/>
              <w:spacing w:after="0" w:line="149" w:lineRule="exact"/>
              <w:rPr>
                <w:sz w:val="20"/>
                <w:szCs w:val="20"/>
                <w:color w:val="auto"/>
              </w:rPr>
            </w:pPr>
            <w:r>
              <w:rPr>
                <w:rFonts w:ascii="Arial" w:cs="Arial" w:eastAsia="Arial" w:hAnsi="Arial"/>
                <w:sz w:val="14"/>
                <w:szCs w:val="14"/>
                <w:color w:val="auto"/>
              </w:rPr>
              <w:t>net</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rPr>
              <w:t>Deconsolidation of investment</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220"/>
              <w:spacing w:after="0" w:line="149" w:lineRule="exact"/>
              <w:rPr>
                <w:sz w:val="20"/>
                <w:szCs w:val="20"/>
                <w:color w:val="auto"/>
              </w:rPr>
            </w:pPr>
            <w:r>
              <w:rPr>
                <w:rFonts w:ascii="Arial" w:cs="Arial" w:eastAsia="Arial" w:hAnsi="Arial"/>
                <w:sz w:val="14"/>
                <w:szCs w:val="14"/>
                <w:color w:val="auto"/>
              </w:rPr>
              <w:t>companies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w w:val="98"/>
              </w:rPr>
              <w:t>Adjustments related to noncontrolling</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80" w:type="dxa"/>
            <w:vAlign w:val="bottom"/>
          </w:tcPr>
          <w:p>
            <w:pPr>
              <w:ind w:left="220"/>
              <w:spacing w:after="0" w:line="159" w:lineRule="exact"/>
              <w:rPr>
                <w:sz w:val="20"/>
                <w:szCs w:val="20"/>
                <w:color w:val="auto"/>
              </w:rPr>
            </w:pPr>
            <w:r>
              <w:rPr>
                <w:rFonts w:ascii="Arial" w:cs="Arial" w:eastAsia="Arial" w:hAnsi="Arial"/>
                <w:sz w:val="14"/>
                <w:szCs w:val="14"/>
                <w:color w:val="auto"/>
              </w:rPr>
              <w:t>interests</w:t>
            </w: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9,242</w:t>
            </w:r>
          </w:p>
        </w:tc>
        <w:tc>
          <w:tcPr>
            <w:tcW w:w="1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-3438525</wp:posOffset>
            </wp:positionV>
            <wp:extent cx="7246620" cy="94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-3155315</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-2778125</wp:posOffset>
            </wp:positionV>
            <wp:extent cx="7246620" cy="94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-2589530</wp:posOffset>
            </wp:positionV>
            <wp:extent cx="7246620" cy="377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-2083435</wp:posOffset>
            </wp:positionV>
            <wp:extent cx="72466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-1706245</wp:posOffset>
            </wp:positionV>
            <wp:extent cx="72466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-1423035</wp:posOffset>
            </wp:positionV>
            <wp:extent cx="7246620" cy="94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3771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2466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89,674</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7,217</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96,891</w:t>
            </w:r>
          </w:p>
        </w:tc>
      </w:tr>
      <w:tr>
        <w:trPr>
          <w:trHeight w:val="594"/>
        </w:trPr>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11,547</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11,547</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805</w:t>
            </w:r>
          </w:p>
        </w:tc>
        <w:tc>
          <w:tcPr>
            <w:tcW w:w="14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12,352</w:t>
            </w:r>
          </w:p>
        </w:tc>
      </w:tr>
      <w:tr>
        <w:trPr>
          <w:trHeight w:val="297"/>
        </w:trPr>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751</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751</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791</w:t>
            </w:r>
          </w:p>
        </w:tc>
      </w:tr>
      <w:tr>
        <w:trPr>
          <w:trHeight w:val="297"/>
        </w:trPr>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(7,545)</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(7,545)</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(402)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(7,947)</w:t>
            </w:r>
          </w:p>
        </w:tc>
      </w:tr>
      <w:tr>
        <w:trPr>
          <w:trHeight w:val="581"/>
        </w:trPr>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2,320</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2,320</w:t>
            </w:r>
          </w:p>
        </w:tc>
        <w:tc>
          <w:tcPr>
            <w:tcW w:w="12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14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2,444</w:t>
            </w:r>
          </w:p>
        </w:tc>
        <w:tc>
          <w:tcPr>
            <w:tcW w:w="40" w:type="dxa"/>
            <w:vAlign w:val="bottom"/>
          </w:tcPr>
          <w:p>
            <w:pPr>
              <w:spacing w:after="0"/>
              <w:rPr>
                <w:sz w:val="24"/>
                <w:szCs w:val="24"/>
                <w:color w:val="auto"/>
              </w:rPr>
            </w:pPr>
          </w:p>
        </w:tc>
      </w:tr>
      <w:tr>
        <w:trPr>
          <w:trHeight w:val="156"/>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96,747</w:t>
            </w:r>
          </w:p>
        </w:tc>
        <w:tc>
          <w:tcPr>
            <w:tcW w:w="12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7,784</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104,531</w:t>
            </w:r>
          </w:p>
        </w:tc>
        <w:tc>
          <w:tcPr>
            <w:tcW w:w="40" w:type="dxa"/>
            <w:vAlign w:val="bottom"/>
          </w:tcPr>
          <w:p>
            <w:pPr>
              <w:spacing w:after="0"/>
              <w:rPr>
                <w:sz w:val="13"/>
                <w:szCs w:val="13"/>
                <w:color w:val="auto"/>
              </w:rPr>
            </w:pPr>
          </w:p>
        </w:tc>
      </w:tr>
      <w:tr>
        <w:trPr>
          <w:trHeight w:val="614"/>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3,369</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180</w:t>
            </w:r>
          </w:p>
        </w:tc>
        <w:tc>
          <w:tcPr>
            <w:tcW w:w="14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3,549</w:t>
            </w:r>
          </w:p>
        </w:tc>
      </w:tr>
      <w:tr>
        <w:trPr>
          <w:trHeight w:val="273"/>
        </w:trPr>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209,036</w:t>
            </w:r>
          </w:p>
        </w:tc>
        <w:tc>
          <w:tcPr>
            <w:tcW w:w="120" w:type="dxa"/>
            <w:vAlign w:val="bottom"/>
          </w:tcPr>
          <w:p>
            <w:pPr>
              <w:spacing w:after="0"/>
              <w:rPr>
                <w:sz w:val="23"/>
                <w:szCs w:val="2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11,139</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220,175</w:t>
            </w:r>
          </w:p>
        </w:tc>
      </w:tr>
      <w:tr>
        <w:trPr>
          <w:trHeight w:val="149"/>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w:t>
            </w:r>
          </w:p>
        </w:tc>
      </w:tr>
      <w:tr>
        <w:trPr>
          <w:trHeight w:val="149"/>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(66,219)</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(66,219)</w:t>
            </w:r>
          </w:p>
        </w:tc>
      </w:tr>
      <w:tr>
        <w:trPr>
          <w:trHeight w:val="172"/>
        </w:trPr>
        <w:tc>
          <w:tcPr>
            <w:tcW w:w="1800" w:type="dxa"/>
            <w:vAlign w:val="bottom"/>
            <w:gridSpan w:val="4"/>
          </w:tcPr>
          <w:p>
            <w:pPr>
              <w:jc w:val="right"/>
              <w:ind w:right="120"/>
              <w:spacing w:after="0"/>
              <w:rPr>
                <w:sz w:val="20"/>
                <w:szCs w:val="20"/>
                <w:color w:val="auto"/>
              </w:rPr>
            </w:pPr>
            <w:r>
              <w:rPr>
                <w:rFonts w:ascii="Arial" w:cs="Arial" w:eastAsia="Arial" w:hAnsi="Arial"/>
                <w:sz w:val="14"/>
                <w:szCs w:val="14"/>
                <w:color w:val="auto"/>
              </w:rPr>
              <w:t>8,235,306</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(222,679)</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(222,679)</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(222,679)</w:t>
            </w:r>
          </w:p>
        </w:tc>
      </w:tr>
      <w:tr>
        <w:trPr>
          <w:trHeight w:val="594"/>
        </w:trPr>
        <w:tc>
          <w:tcPr>
            <w:tcW w:w="1800" w:type="dxa"/>
            <w:vAlign w:val="bottom"/>
            <w:gridSpan w:val="4"/>
          </w:tcPr>
          <w:p>
            <w:pPr>
              <w:jc w:val="right"/>
              <w:ind w:right="80"/>
              <w:spacing w:after="0"/>
              <w:rPr>
                <w:sz w:val="20"/>
                <w:szCs w:val="20"/>
                <w:color w:val="auto"/>
              </w:rPr>
            </w:pPr>
            <w:r>
              <w:rPr>
                <w:rFonts w:ascii="Arial" w:cs="Arial" w:eastAsia="Arial" w:hAnsi="Arial"/>
                <w:sz w:val="14"/>
                <w:szCs w:val="14"/>
                <w:color w:val="auto"/>
              </w:rPr>
              <w:t>(3,196,018)</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100,172</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(41,609)</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(49)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(41,658)</w:t>
            </w:r>
          </w:p>
        </w:tc>
      </w:tr>
      <w:tr>
        <w:trPr>
          <w:trHeight w:val="446"/>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97"/>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(15,855)</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(15,855)</w:t>
            </w:r>
          </w:p>
        </w:tc>
      </w:tr>
      <w:tr>
        <w:trPr>
          <w:trHeight w:val="297"/>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(14,783)</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(14,783)</w:t>
            </w:r>
          </w:p>
        </w:tc>
      </w:tr>
      <w:tr>
        <w:trPr>
          <w:trHeight w:val="284"/>
        </w:trPr>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(117)</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9,125</w:t>
            </w:r>
          </w:p>
        </w:tc>
        <w:tc>
          <w:tcPr>
            <w:tcW w:w="12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(9,125)</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0"/>
        </w:trPr>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2">
            <w:col w:w="6000" w:space="100"/>
            <w:col w:w="5320"/>
          </w:cols>
          <w:pgMar w:left="240" w:top="459" w:right="239" w:bottom="1440" w:gutter="0" w:footer="0" w:header="0"/>
          <w:type w:val="continuous"/>
        </w:sectPr>
      </w:pPr>
    </w:p>
    <w:p>
      <w:pPr>
        <w:spacing w:after="0"/>
        <w:tabs>
          <w:tab w:leader="none" w:pos="2460" w:val="left"/>
          <w:tab w:leader="none" w:pos="2920" w:val="left"/>
          <w:tab w:leader="none" w:pos="3140" w:val="left"/>
          <w:tab w:leader="none" w:pos="3360" w:val="left"/>
          <w:tab w:leader="none" w:pos="4160" w:val="left"/>
          <w:tab w:leader="none" w:pos="4660" w:val="left"/>
          <w:tab w:leader="none" w:pos="4840" w:val="left"/>
          <w:tab w:leader="none" w:pos="5420" w:val="left"/>
          <w:tab w:leader="none" w:pos="6080" w:val="left"/>
          <w:tab w:leader="none" w:pos="6560" w:val="left"/>
          <w:tab w:leader="none" w:pos="7220" w:val="left"/>
          <w:tab w:leader="none" w:pos="7880" w:val="left"/>
          <w:tab w:leader="none" w:pos="8940" w:val="left"/>
          <w:tab w:leader="none" w:pos="9500" w:val="left"/>
          <w:tab w:leader="none" w:pos="9960" w:val="left"/>
          <w:tab w:leader="none" w:pos="10520" w:val="left"/>
          <w:tab w:leader="none" w:pos="10880" w:val="left"/>
        </w:tabs>
        <w:rPr>
          <w:sz w:val="20"/>
          <w:szCs w:val="20"/>
          <w:color w:val="auto"/>
        </w:rPr>
      </w:pPr>
      <w:r>
        <w:rPr>
          <w:rFonts w:ascii="Arial" w:cs="Arial" w:eastAsia="Arial" w:hAnsi="Arial"/>
          <w:sz w:val="14"/>
          <w:szCs w:val="14"/>
          <w:b w:val="1"/>
          <w:bCs w:val="1"/>
          <w:color w:val="auto"/>
        </w:rPr>
        <w:t>Balance – September 30, 2012</w:t>
      </w:r>
      <w:r>
        <w:rPr>
          <w:sz w:val="20"/>
          <w:szCs w:val="20"/>
          <w:color w:val="auto"/>
        </w:rPr>
        <w:tab/>
      </w:r>
      <w:r>
        <w:rPr>
          <w:rFonts w:ascii="Arial" w:cs="Arial" w:eastAsia="Arial" w:hAnsi="Arial"/>
          <w:sz w:val="14"/>
          <w:szCs w:val="14"/>
          <w:b w:val="1"/>
          <w:bCs w:val="1"/>
          <w:color w:val="auto"/>
        </w:rPr>
        <w:t>7,921</w:t>
      </w:r>
      <w:r>
        <w:rPr>
          <w:sz w:val="20"/>
          <w:szCs w:val="20"/>
          <w:color w:val="auto"/>
        </w:rPr>
        <w:tab/>
      </w:r>
      <w:r>
        <w:rPr>
          <w:rFonts w:ascii="Arial" w:cs="Arial" w:eastAsia="Arial" w:hAnsi="Arial"/>
          <w:sz w:val="14"/>
          <w:szCs w:val="14"/>
          <w:b w:val="1"/>
          <w:bCs w:val="1"/>
          <w:u w:val="single" w:color="auto"/>
          <w:color w:val="auto"/>
        </w:rPr>
        <w:t>$</w:t>
        <w:tab/>
        <w:t>–</w:t>
        <w:tab/>
        <w:t>123,201,013</w:t>
        <w:tab/>
        <w:t>$1,232</w:t>
        <w:tab/>
        <w:t>$</w:t>
        <w:tab/>
        <w:t>750,647</w:t>
        <w:tab/>
        <w:t>$ 270,245</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(81,408)</w:t>
        <w:tab/>
        <w:t>8,531,305</w:t>
      </w:r>
      <w:r>
        <w:rPr>
          <w:sz w:val="20"/>
          <w:szCs w:val="20"/>
          <w:color w:val="auto"/>
        </w:rPr>
        <w:tab/>
      </w:r>
      <w:r>
        <w:rPr>
          <w:rFonts w:ascii="Arial" w:cs="Arial" w:eastAsia="Arial" w:hAnsi="Arial"/>
          <w:sz w:val="14"/>
          <w:szCs w:val="14"/>
          <w:b w:val="1"/>
          <w:bCs w:val="1"/>
          <w:u w:val="single" w:color="auto"/>
          <w:color w:val="auto"/>
        </w:rPr>
        <w:t>$(226,889</w:t>
      </w:r>
      <w:r>
        <w:rPr>
          <w:rFonts w:ascii="Arial" w:cs="Arial" w:eastAsia="Arial" w:hAnsi="Arial"/>
          <w:sz w:val="14"/>
          <w:szCs w:val="14"/>
          <w:b w:val="1"/>
          <w:bCs w:val="1"/>
          <w:color w:val="auto"/>
        </w:rPr>
        <w:t>) $</w:t>
      </w:r>
      <w:r>
        <w:rPr>
          <w:sz w:val="20"/>
          <w:szCs w:val="20"/>
          <w:color w:val="auto"/>
        </w:rPr>
        <w:tab/>
      </w:r>
      <w:r>
        <w:rPr>
          <w:rFonts w:ascii="Arial" w:cs="Arial" w:eastAsia="Arial" w:hAnsi="Arial"/>
          <w:sz w:val="14"/>
          <w:szCs w:val="14"/>
          <w:b w:val="1"/>
          <w:bCs w:val="1"/>
          <w:color w:val="auto"/>
        </w:rPr>
        <w:t>713,827</w:t>
        <w:tab/>
        <w:t>$</w:t>
      </w:r>
      <w:r>
        <w:rPr>
          <w:sz w:val="20"/>
          <w:szCs w:val="20"/>
          <w:color w:val="auto"/>
        </w:rPr>
        <w:tab/>
      </w:r>
      <w:r>
        <w:rPr>
          <w:rFonts w:ascii="Arial" w:cs="Arial" w:eastAsia="Arial" w:hAnsi="Arial"/>
          <w:sz w:val="14"/>
          <w:szCs w:val="14"/>
          <w:b w:val="1"/>
          <w:bCs w:val="1"/>
          <w:color w:val="auto"/>
        </w:rPr>
        <w:t>119,999</w:t>
        <w:tab/>
        <w:t>$</w:t>
      </w:r>
      <w:r>
        <w:rPr>
          <w:sz w:val="20"/>
          <w:szCs w:val="20"/>
          <w:color w:val="auto"/>
        </w:rPr>
        <w:tab/>
      </w:r>
      <w:r>
        <w:rPr>
          <w:rFonts w:ascii="Arial" w:cs="Arial" w:eastAsia="Arial" w:hAnsi="Arial"/>
          <w:sz w:val="12"/>
          <w:szCs w:val="12"/>
          <w:b w:val="1"/>
          <w:bCs w:val="1"/>
          <w:color w:val="auto"/>
        </w:rPr>
        <w:t>833,826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0</wp:posOffset>
            </wp:positionV>
            <wp:extent cx="317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172" w:lineRule="exact"/>
        <w:rPr>
          <w:sz w:val="20"/>
          <w:szCs w:val="20"/>
          <w:color w:val="auto"/>
        </w:rPr>
      </w:pPr>
    </w:p>
    <w:p>
      <w:pPr>
        <w:ind w:left="340" w:right="240" w:hanging="332"/>
        <w:spacing w:after="0" w:line="186" w:lineRule="auto"/>
        <w:tabs>
          <w:tab w:leader="none" w:pos="34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Includes 123,009,311 and 123,201,012 shares of the Company’s Class A common stock issued at January 1, 2012 and September 30, 2012, respectively, and 1 share of the Company’s Class B common stock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4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148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40" w:type="dxa"/>
            <w:vAlign w:val="bottom"/>
            <w:gridSpan w:val="3"/>
            <w:vMerge w:val="restart"/>
          </w:tcPr>
          <w:p>
            <w:pPr>
              <w:jc w:val="center"/>
              <w:ind w:left="52"/>
              <w:spacing w:after="0" w:line="149" w:lineRule="exact"/>
              <w:rPr>
                <w:sz w:val="20"/>
                <w:szCs w:val="20"/>
                <w:color w:val="auto"/>
              </w:rPr>
            </w:pPr>
            <w:r>
              <w:rPr>
                <w:rFonts w:ascii="Arial" w:cs="Arial" w:eastAsia="Arial" w:hAnsi="Arial"/>
                <w:sz w:val="14"/>
                <w:szCs w:val="14"/>
                <w:b w:val="1"/>
                <w:bCs w:val="1"/>
                <w:color w:val="auto"/>
                <w:w w:val="85"/>
              </w:rPr>
              <w:t>Series A</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48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9"/>
              </w:rPr>
              <w:t>Additional</w:t>
            </w: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8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Lazard Ltd</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08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88"/>
              </w:rPr>
              <w:t>Preferred Stock</w:t>
            </w:r>
          </w:p>
        </w:tc>
        <w:tc>
          <w:tcPr>
            <w:tcW w:w="132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w w:val="99"/>
              </w:rPr>
              <w:t>Common Stock</w:t>
            </w:r>
          </w:p>
        </w:tc>
        <w:tc>
          <w:tcPr>
            <w:tcW w:w="7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4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7"/>
              </w:rPr>
              <w:t>Held By Subsidiaries</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80" w:type="dxa"/>
            <w:vAlign w:val="bottom"/>
            <w:gridSpan w:val="5"/>
            <w:vMerge w:val="continue"/>
          </w:tcPr>
          <w:p>
            <w:pPr>
              <w:spacing w:after="0"/>
              <w:rPr>
                <w:sz w:val="9"/>
                <w:szCs w:val="9"/>
                <w:color w:val="auto"/>
              </w:rPr>
            </w:pPr>
          </w:p>
        </w:tc>
        <w:tc>
          <w:tcPr>
            <w:tcW w:w="13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9"/>
              </w:rPr>
              <w:t>Paid-In-</w:t>
            </w:r>
          </w:p>
        </w:tc>
        <w:tc>
          <w:tcPr>
            <w:tcW w:w="40" w:type="dxa"/>
            <w:vAlign w:val="bottom"/>
          </w:tcPr>
          <w:p>
            <w:pPr>
              <w:spacing w:after="0"/>
              <w:rPr>
                <w:sz w:val="9"/>
                <w:szCs w:val="9"/>
                <w:color w:val="auto"/>
              </w:rPr>
            </w:pPr>
          </w:p>
        </w:tc>
        <w:tc>
          <w:tcPr>
            <w:tcW w:w="66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4"/>
              </w:rPr>
              <w:t>Retained</w:t>
            </w:r>
          </w:p>
        </w:tc>
        <w:tc>
          <w:tcPr>
            <w:tcW w:w="10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480" w:type="dxa"/>
            <w:vAlign w:val="bottom"/>
            <w:gridSpan w:val="4"/>
            <w:vMerge w:val="continue"/>
          </w:tcPr>
          <w:p>
            <w:pPr>
              <w:spacing w:after="0"/>
              <w:rPr>
                <w:sz w:val="9"/>
                <w:szCs w:val="9"/>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40" w:type="dxa"/>
            <w:vAlign w:val="bottom"/>
          </w:tcPr>
          <w:p>
            <w:pPr>
              <w:spacing w:after="0"/>
              <w:rPr>
                <w:sz w:val="9"/>
                <w:szCs w:val="9"/>
                <w:color w:val="auto"/>
              </w:rPr>
            </w:pPr>
          </w:p>
        </w:tc>
        <w:tc>
          <w:tcPr>
            <w:tcW w:w="10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8"/>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7"/>
              </w:rPr>
              <w:t>Shares(*)</w:t>
            </w:r>
          </w:p>
        </w:tc>
        <w:tc>
          <w:tcPr>
            <w:tcW w:w="4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Earnings</w:t>
            </w: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 of Tax</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2013</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7"/>
              </w:rPr>
              <w:t>128,216,424</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$1,282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846,050</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$ 182,647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(110,541)</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12,802,938</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$(349,782)</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569,656</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81,884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651,540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6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106,995</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106,995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112,318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tcPr>
          <w:p>
            <w:pPr>
              <w:ind w:left="200"/>
              <w:spacing w:after="0" w:line="138" w:lineRule="exact"/>
              <w:rPr>
                <w:sz w:val="20"/>
                <w:szCs w:val="20"/>
                <w:color w:val="auto"/>
              </w:rPr>
            </w:pPr>
            <w:r>
              <w:rPr>
                <w:rFonts w:ascii="Arial" w:cs="Arial" w:eastAsia="Arial" w:hAnsi="Arial"/>
                <w:sz w:val="14"/>
                <w:szCs w:val="14"/>
                <w:color w:val="auto"/>
                <w:w w:val="91"/>
              </w:rPr>
              <w:t>Other comprehensive income (loss)</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tcPr>
          <w:p>
            <w:pPr>
              <w:ind w:left="420"/>
              <w:spacing w:after="0" w:line="159" w:lineRule="exact"/>
              <w:rPr>
                <w:sz w:val="20"/>
                <w:szCs w:val="20"/>
                <w:color w:val="auto"/>
              </w:rPr>
            </w:pPr>
            <w:r>
              <w:rPr>
                <w:rFonts w:ascii="Arial" w:cs="Arial" w:eastAsia="Arial" w:hAnsi="Arial"/>
                <w:sz w:val="14"/>
                <w:szCs w:val="14"/>
                <w:color w:val="auto"/>
              </w:rPr>
              <w:t>- net of tax:</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Currency translation</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adjustments</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(18,478)</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(18,478)</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(132)</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(18,610)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tcPr>
          <w:p>
            <w:pPr>
              <w:ind w:left="640"/>
              <w:spacing w:after="0" w:line="138" w:lineRule="exact"/>
              <w:rPr>
                <w:sz w:val="20"/>
                <w:szCs w:val="20"/>
                <w:color w:val="auto"/>
              </w:rPr>
            </w:pPr>
            <w:r>
              <w:rPr>
                <w:rFonts w:ascii="Arial" w:cs="Arial" w:eastAsia="Arial" w:hAnsi="Arial"/>
                <w:sz w:val="14"/>
                <w:szCs w:val="14"/>
                <w:color w:val="auto"/>
                <w:w w:val="92"/>
              </w:rPr>
              <w:t>Amortization of interest rate</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tcPr>
          <w:p>
            <w:pPr>
              <w:ind w:left="860"/>
              <w:spacing w:after="0" w:line="159" w:lineRule="exact"/>
              <w:rPr>
                <w:sz w:val="20"/>
                <w:szCs w:val="20"/>
                <w:color w:val="auto"/>
              </w:rPr>
            </w:pPr>
            <w:r>
              <w:rPr>
                <w:rFonts w:ascii="Arial" w:cs="Arial" w:eastAsia="Arial" w:hAnsi="Arial"/>
                <w:sz w:val="14"/>
                <w:szCs w:val="14"/>
                <w:color w:val="auto"/>
              </w:rPr>
              <w:t>hedge</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786</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786</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ind w:left="1060"/>
              <w:spacing w:after="0" w:line="149" w:lineRule="exact"/>
              <w:rPr>
                <w:sz w:val="20"/>
                <w:szCs w:val="20"/>
                <w:color w:val="auto"/>
              </w:rPr>
            </w:pPr>
            <w:r>
              <w:rPr>
                <w:rFonts w:ascii="Arial" w:cs="Arial" w:eastAsia="Arial" w:hAnsi="Arial"/>
                <w:sz w:val="14"/>
                <w:szCs w:val="14"/>
                <w:color w:val="auto"/>
              </w:rPr>
              <w:t>Net actuarial loss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(2,654)</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(2,654)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(2,669)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rPr>
              <w:t>Adjustments for</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items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reclassified to</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earnings</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3,633</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3,633</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3,653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40" w:type="dxa"/>
            <w:vAlign w:val="bottom"/>
          </w:tcPr>
          <w:p>
            <w:pPr>
              <w:ind w:left="200"/>
              <w:spacing w:after="0" w:line="155" w:lineRule="exact"/>
              <w:rPr>
                <w:sz w:val="20"/>
                <w:szCs w:val="20"/>
                <w:color w:val="auto"/>
              </w:rPr>
            </w:pPr>
            <w:r>
              <w:rPr>
                <w:rFonts w:ascii="Arial" w:cs="Arial" w:eastAsia="Arial" w:hAnsi="Arial"/>
                <w:sz w:val="14"/>
                <w:szCs w:val="14"/>
                <w:color w:val="auto"/>
              </w:rPr>
              <w:t>Comprehensive income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90,282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5,201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95,483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Business acquisitions and related equity</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transactions:</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tcPr>
          <w:p>
            <w:pPr>
              <w:ind w:left="200"/>
              <w:spacing w:after="0" w:line="138" w:lineRule="exact"/>
              <w:rPr>
                <w:sz w:val="20"/>
                <w:szCs w:val="20"/>
                <w:color w:val="auto"/>
              </w:rPr>
            </w:pPr>
            <w:r>
              <w:rPr>
                <w:rFonts w:ascii="Arial" w:cs="Arial" w:eastAsia="Arial" w:hAnsi="Arial"/>
                <w:sz w:val="14"/>
                <w:szCs w:val="14"/>
                <w:color w:val="auto"/>
              </w:rPr>
              <w:t>Class A common stock issuable</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tcPr>
          <w:p>
            <w:pPr>
              <w:ind w:left="420"/>
              <w:spacing w:after="0" w:line="159" w:lineRule="exact"/>
              <w:rPr>
                <w:sz w:val="20"/>
                <w:szCs w:val="20"/>
                <w:color w:val="auto"/>
              </w:rPr>
            </w:pPr>
            <w:r>
              <w:rPr>
                <w:rFonts w:ascii="Arial" w:cs="Arial" w:eastAsia="Arial" w:hAnsi="Arial"/>
                <w:sz w:val="14"/>
                <w:szCs w:val="14"/>
                <w:color w:val="auto"/>
                <w:w w:val="94"/>
              </w:rPr>
              <w:t>(including related amortization)</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829</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829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5"/>
              </w:rPr>
              <w:t>Delivery of Class A common stock</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1"/>
              </w:rPr>
              <w:t>(including dividend-equivalents)</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(4,994)</w:t>
            </w:r>
          </w:p>
        </w:tc>
        <w:tc>
          <w:tcPr>
            <w:tcW w:w="70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(170,988)</w:t>
            </w: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5,173</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tcPr>
          <w:p>
            <w:pPr>
              <w:spacing w:after="0" w:line="138" w:lineRule="exact"/>
              <w:rPr>
                <w:sz w:val="20"/>
                <w:szCs w:val="20"/>
                <w:color w:val="auto"/>
              </w:rPr>
            </w:pPr>
            <w:r>
              <w:rPr>
                <w:rFonts w:ascii="Arial" w:cs="Arial" w:eastAsia="Arial" w:hAnsi="Arial"/>
                <w:sz w:val="14"/>
                <w:szCs w:val="14"/>
                <w:color w:val="auto"/>
                <w:w w:val="94"/>
              </w:rPr>
              <w:t>Amortization of share-based incentive</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tcPr>
          <w:p>
            <w:pPr>
              <w:ind w:left="200"/>
              <w:spacing w:after="0" w:line="159" w:lineRule="exact"/>
              <w:rPr>
                <w:sz w:val="20"/>
                <w:szCs w:val="20"/>
                <w:color w:val="auto"/>
              </w:rPr>
            </w:pPr>
            <w:r>
              <w:rPr>
                <w:rFonts w:ascii="Arial" w:cs="Arial" w:eastAsia="Arial" w:hAnsi="Arial"/>
                <w:sz w:val="14"/>
                <w:szCs w:val="14"/>
                <w:color w:val="auto"/>
              </w:rPr>
              <w:t>compensation</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182,338</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182,338</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1,003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183,341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Dividend-equivalents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8,440</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(8,604)</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(60,931)</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(60,931)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(60,931)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2,201,657</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(77,934)</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(77,934)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(77,934)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tcPr>
          <w:p>
            <w:pPr>
              <w:spacing w:after="0" w:line="138" w:lineRule="exact"/>
              <w:rPr>
                <w:sz w:val="20"/>
                <w:szCs w:val="20"/>
                <w:color w:val="auto"/>
              </w:rPr>
            </w:pPr>
            <w:r>
              <w:rPr>
                <w:rFonts w:ascii="Arial" w:cs="Arial" w:eastAsia="Arial" w:hAnsi="Arial"/>
                <w:sz w:val="14"/>
                <w:szCs w:val="14"/>
                <w:color w:val="auto"/>
                <w:w w:val="97"/>
              </w:rPr>
              <w:t>Delivery of Class A common stock in</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ind w:left="200"/>
              <w:spacing w:after="0" w:line="149" w:lineRule="exact"/>
              <w:rPr>
                <w:sz w:val="20"/>
                <w:szCs w:val="20"/>
                <w:color w:val="auto"/>
              </w:rPr>
            </w:pPr>
            <w:r>
              <w:rPr>
                <w:rFonts w:ascii="Arial" w:cs="Arial" w:eastAsia="Arial" w:hAnsi="Arial"/>
                <w:sz w:val="14"/>
                <w:szCs w:val="14"/>
                <w:color w:val="auto"/>
              </w:rPr>
              <w:t>connection with shared-based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ind w:left="200"/>
              <w:spacing w:after="0" w:line="149" w:lineRule="exact"/>
              <w:rPr>
                <w:sz w:val="20"/>
                <w:szCs w:val="20"/>
                <w:color w:val="auto"/>
              </w:rPr>
            </w:pPr>
            <w:r>
              <w:rPr>
                <w:rFonts w:ascii="Arial" w:cs="Arial" w:eastAsia="Arial" w:hAnsi="Arial"/>
                <w:sz w:val="14"/>
                <w:szCs w:val="14"/>
                <w:color w:val="auto"/>
                <w:w w:val="91"/>
              </w:rPr>
              <w:t>incentive compensation and related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tcPr>
          <w:p>
            <w:pPr>
              <w:ind w:left="200"/>
              <w:spacing w:after="0" w:line="159" w:lineRule="exact"/>
              <w:rPr>
                <w:sz w:val="20"/>
                <w:szCs w:val="20"/>
                <w:color w:val="auto"/>
              </w:rPr>
            </w:pPr>
            <w:r>
              <w:rPr>
                <w:rFonts w:ascii="Arial" w:cs="Arial" w:eastAsia="Arial" w:hAnsi="Arial"/>
                <w:sz w:val="14"/>
                <w:szCs w:val="14"/>
                <w:color w:val="auto"/>
              </w:rPr>
              <w:t>tax benefit of $862</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6"/>
              </w:rPr>
              <w:t>(342,898)</w:t>
            </w:r>
          </w:p>
        </w:tc>
        <w:tc>
          <w:tcPr>
            <w:tcW w:w="7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(609)</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4"/>
              </w:rPr>
              <w:t>(7,519,848)</w:t>
            </w: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218,819</w:t>
            </w:r>
          </w:p>
        </w:tc>
        <w:tc>
          <w:tcPr>
            <w:tcW w:w="60" w:type="dxa"/>
            <w:vAlign w:val="bottom"/>
          </w:tcPr>
          <w:p>
            <w:pPr>
              <w:spacing w:after="0"/>
              <w:rPr>
                <w:sz w:val="13"/>
                <w:szCs w:val="13"/>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(124,688)</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(124,684)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8"/>
              </w:rPr>
              <w:t>exchange for Lazard Group common</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membership interests</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839,658</w:t>
            </w:r>
          </w:p>
        </w:tc>
        <w:tc>
          <w:tcPr>
            <w:tcW w:w="5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tcPr>
          <w:p>
            <w:pPr>
              <w:spacing w:after="0" w:line="138" w:lineRule="exact"/>
              <w:rPr>
                <w:sz w:val="20"/>
                <w:szCs w:val="20"/>
                <w:color w:val="auto"/>
              </w:rPr>
            </w:pPr>
            <w:r>
              <w:rPr>
                <w:rFonts w:ascii="Arial" w:cs="Arial" w:eastAsia="Arial" w:hAnsi="Arial"/>
                <w:sz w:val="14"/>
                <w:szCs w:val="14"/>
                <w:color w:val="auto"/>
                <w:w w:val="90"/>
              </w:rPr>
              <w:t>Distributions to noncontrolling interests,</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tcPr>
          <w:p>
            <w:pPr>
              <w:ind w:left="200"/>
              <w:spacing w:after="0" w:line="159" w:lineRule="exact"/>
              <w:rPr>
                <w:sz w:val="20"/>
                <w:szCs w:val="20"/>
                <w:color w:val="auto"/>
              </w:rPr>
            </w:pPr>
            <w:r>
              <w:rPr>
                <w:rFonts w:ascii="Arial" w:cs="Arial" w:eastAsia="Arial" w:hAnsi="Arial"/>
                <w:sz w:val="14"/>
                <w:szCs w:val="14"/>
                <w:color w:val="auto"/>
              </w:rPr>
              <w:t>net</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(9,423)</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(9,423)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Adjustments related to noncontrolling</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interests</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3,984</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(598)</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3,386</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(4,386)</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2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 September 30, 2013</w:t>
            </w: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60" w:type="dxa"/>
            <w:vAlign w:val="bottom"/>
            <w:gridSpan w:val="2"/>
            <w:vMerge w:val="continue"/>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40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w w:val="87"/>
              </w:rPr>
              <w:t>129,056,082</w:t>
            </w:r>
          </w:p>
        </w:tc>
        <w:tc>
          <w:tcPr>
            <w:tcW w:w="56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1,290</w:t>
            </w: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693,741</w:t>
            </w:r>
          </w:p>
        </w:tc>
        <w:tc>
          <w:tcPr>
            <w:tcW w:w="70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w w:val="89"/>
              </w:rPr>
              <w:t>$ 219,319</w:t>
            </w: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(127,852)</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7,313,759</w:t>
            </w: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(203,724)</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582,774</w:t>
            </w:r>
          </w:p>
        </w:tc>
        <w:tc>
          <w:tcPr>
            <w:tcW w:w="1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74,287</w:t>
            </w:r>
          </w:p>
        </w:tc>
        <w:tc>
          <w:tcPr>
            <w:tcW w:w="14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657,061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ind w:left="340" w:right="240" w:hanging="332"/>
        <w:spacing w:after="0" w:line="186"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Includes 128,216,423 and 129,056,081 shares of the Company’s Class A common stock issued at January 1, 2013 and September 30, 2013, respectively, and 1 share of the Company’s Class B common stock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7020" w:firstLine="8"/>
        <w:spacing w:after="0" w:line="344"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Lazard Ltd indirectly held approximately 99.5% and 98.8% of all outstanding Lazard Group common membership interests as of September 30, 2013 and December 31, 2012, respectively. Lazard Ltd, through its control of the managing members of Lazard Group, controls Lazard Group, which is governed by an Operating Agreement dated as of May 10, 2005, as amended (the “Operating Agreement”). LAZ-MD Holdings LLC (“LAZ-MD Holdings”), an entity owned by Lazard Group’s current and former managing directors, held approximately 0.5% and 1.2% of the outstanding Lazard Group common membership interests as of September 30, 2013 and December 31, 2012, respectively. Additionally, LAZ-MD Holdings was the sole owner of the one issued and outstanding share of Lazard Ltd’s Class B common stock (the “Class B common stock”) which provided LAZ-MD Holdings with approximately 0.5% and 1.2% of the voting power but no economic rights in the Company as of September 30, 2013 and December 31, 2012, respectively. Subject to certain limitations, LAZ-MD Holdings’ interests in Lazard Group are exchangeable for Lazard Ltd Class A common stock, par value $0.01 per share (“Class A common stock”).</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sole operating asset is our indirect ownership of common membership interests of Lazard Group and our managing member interest of Lazard Group, whose principal operating activities are included in two business segments:</w:t>
      </w:r>
    </w:p>
    <w:p>
      <w:pPr>
        <w:spacing w:after="0" w:line="51" w:lineRule="exact"/>
        <w:rPr>
          <w:sz w:val="20"/>
          <w:szCs w:val="20"/>
          <w:color w:val="auto"/>
        </w:rPr>
      </w:pPr>
    </w:p>
    <w:p>
      <w:pPr>
        <w:jc w:val="both"/>
        <w:ind w:left="900" w:right="1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of Lazard Ltd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2012 (the “Form 10-K”). The accompanying December 31, 2012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consolidated results of operations for the three month and nine month periods ended September 30, 2013 are not necessarily indicative of the results to be expected for any future interim or annual period.</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26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Offsetting (Netting) Assets and Liabilities</w:t>
      </w:r>
      <w:r>
        <w:rPr>
          <w:rFonts w:ascii="Arial" w:cs="Arial" w:eastAsia="Arial" w:hAnsi="Arial"/>
          <w:sz w:val="18"/>
          <w:szCs w:val="18"/>
          <w:color w:val="auto"/>
        </w:rPr>
        <w:t>—In the first quarter of 2013, the Company adopted the new disclosure requirements issued by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Board (the “FASB”) regarding the nature of an entity’s rights of setoff and related arrangements associated with its financial instruments, including derivatives, repurchase agreements and reverse repurchase agreements and securities borrowing and securities lending transactions that are either (i) offset or (ii) subject to an enforceable master netting arrangement. The new</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80"/>
        <w:spacing w:after="0" w:line="323" w:lineRule="auto"/>
        <w:rPr>
          <w:sz w:val="20"/>
          <w:szCs w:val="20"/>
          <w:color w:val="auto"/>
        </w:rPr>
      </w:pPr>
      <w:r>
        <w:rPr>
          <w:rFonts w:ascii="Arial" w:cs="Arial" w:eastAsia="Arial" w:hAnsi="Arial"/>
          <w:sz w:val="15"/>
          <w:szCs w:val="15"/>
          <w:color w:val="auto"/>
        </w:rPr>
        <w:t>disclosures are designed to make financial statements prepared under U.S. GAAP more comparable to those prepared under International Financial Reporting Standards (“IFRS”) and will enable users of an entity’s financial statements to evaluate the effect or potential effect of netting arrangements on an entity’s financial position. The disclosure requirements are effective for interim and annual reporting periods beginning on or after January 1, 2013, with retrospective application required. The adoption of the new disclosure requirements did not have a material impact on the Company’s consolidated financial statements.</w:t>
      </w:r>
    </w:p>
    <w:p>
      <w:pPr>
        <w:spacing w:after="0" w:line="9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Reclassifications Out of Accumulated Other Comprehensive Income</w:t>
      </w:r>
      <w:r>
        <w:rPr>
          <w:rFonts w:ascii="Arial" w:cs="Arial" w:eastAsia="Arial" w:hAnsi="Arial"/>
          <w:sz w:val="16"/>
          <w:szCs w:val="16"/>
          <w:color w:val="auto"/>
        </w:rPr>
        <w:t>—In the first quarter of 2013, the Company adopted the FASB’s amended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presentation of amounts reclassified out of accumulated other comprehensive income. The amendment required that the amounts reclassified out of accumulated other comprehensive income be presented by component and disclosed where the respective line item was reported in the consolidated statement of operations. The amendment was to be applied prospectively, and is effective with interim and annual periods beginning after December 15, 2012, with early adoption permitted. The adoption of the amended guidance did not have a material impact on the Company’s consolidated financial statements.</w:t>
      </w:r>
    </w:p>
    <w:p>
      <w:pPr>
        <w:spacing w:after="0" w:line="1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Presentation of Unrecognized Tax Benefits</w:t>
      </w:r>
      <w:r>
        <w:rPr>
          <w:rFonts w:ascii="Arial" w:cs="Arial" w:eastAsia="Arial" w:hAnsi="Arial"/>
          <w:sz w:val="18"/>
          <w:szCs w:val="18"/>
          <w:color w:val="auto"/>
        </w:rPr>
        <w:t>—In July 2013, the FASB issued guidance on the presentation of unrecognized tax benefits when net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or tax credit carryforwards exist. The guidance requires that the unrecognized tax benefit, or a portion of such unrecognized tax benefit, be presented in the financial statements as a reduction to a deferred tax asset for a net operating loss carryforward, a similar tax loss, or a tax credit carryforward, except in certain situations, as defined in the guidance. The new presentation requirements are effective prospectively for interim and annual reporting periods beginning after December 15, 2013. The Company is currently evaluating this guidance, but does not anticipate its adoption will have a material impact on the Company’s consolidated financial statements.</w:t>
      </w:r>
    </w:p>
    <w:p>
      <w:pPr>
        <w:spacing w:after="0" w:line="26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receivables from fees, customers and other and related parties.</w:t>
      </w:r>
    </w:p>
    <w:p>
      <w:pPr>
        <w:spacing w:after="0" w:line="17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Receivables are stated net of an estimated allowance for doubtful accounts of $26,160 and $23,017 at September 30, 2013 and December 31, 2012, respectively, for past due amounts and for specific accounts deemed uncollectible, which may include situations where a fee is in dispute. The Company recorded bad debt expense (recoveries) of $(198) and $1,644 for the three month and nine month periods ended September 30, 2013, respectively, and $1,553 and $2,701 for the three month and nine month periods ended September 30, 2012, respectively. In addition, the Company recorded charge-offs, foreign currency translation and other adjustments, which resulted in a net increase to the allowance for doubtful accounts of $1,765 and $1,499 for the three month and nine month periods ended September 30, 2013, respectively, and $15 and $173 for the three month and nine month periods ended September 30, 2012, respectively. At September 30, 2013 and December 31, 2012, the Company had receivables past due or deemed uncollectible of $36,255 and $25,604, respectively.</w:t>
      </w:r>
    </w:p>
    <w:p>
      <w:pPr>
        <w:spacing w:after="0" w:line="10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Of the Company’s total receivables at September 30, 2013 and December 31, 2012, $58,531 and $76,481, respectively, represented interest-bearing financing fee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4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aggregate carrying amount of our non-interest bearing receivables of $477,620 and $401,562 at September 30, 2013 and December 31, 2012, respectively, approximates fair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The Company’s investments and securities sold, not yet purchased, consisted of the following at September 30, 2013 and December 31, 2012: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6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610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(including interest-bearing deposits of $519 and $578, respectively)</w:t>
            </w:r>
          </w:p>
        </w:tc>
        <w:tc>
          <w:tcPr>
            <w:tcW w:w="1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shd w:val="clear" w:color="auto" w:fill="CCEEFF"/>
          </w:tcPr>
          <w:p>
            <w:pPr>
              <w:spacing w:after="0"/>
              <w:rPr>
                <w:sz w:val="18"/>
                <w:szCs w:val="18"/>
                <w:color w:val="auto"/>
              </w:rPr>
            </w:pPr>
          </w:p>
        </w:tc>
      </w:tr>
      <w:tr>
        <w:trPr>
          <w:trHeight w:val="230"/>
        </w:trPr>
        <w:tc>
          <w:tcPr>
            <w:tcW w:w="7260" w:type="dxa"/>
            <w:vAlign w:val="bottom"/>
            <w:gridSpan w:val="3"/>
          </w:tcPr>
          <w:p>
            <w:pPr>
              <w:spacing w:after="0"/>
              <w:rPr>
                <w:sz w:val="20"/>
                <w:szCs w:val="20"/>
                <w:color w:val="auto"/>
              </w:rPr>
            </w:pPr>
            <w:r>
              <w:rPr>
                <w:rFonts w:ascii="Arial" w:cs="Arial" w:eastAsia="Arial" w:hAnsi="Arial"/>
                <w:sz w:val="18"/>
                <w:szCs w:val="18"/>
                <w:color w:val="auto"/>
              </w:rPr>
              <w:t>Equities</w:t>
            </w:r>
          </w:p>
        </w:tc>
        <w:tc>
          <w:tcPr>
            <w:tcW w:w="1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55,467</w:t>
            </w:r>
          </w:p>
        </w:tc>
        <w:tc>
          <w:tcPr>
            <w:tcW w:w="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420"/>
              <w:spacing w:after="0"/>
              <w:rPr>
                <w:sz w:val="20"/>
                <w:szCs w:val="20"/>
                <w:color w:val="auto"/>
              </w:rPr>
            </w:pPr>
            <w:r>
              <w:rPr>
                <w:rFonts w:ascii="Arial" w:cs="Arial" w:eastAsia="Arial" w:hAnsi="Arial"/>
                <w:sz w:val="18"/>
                <w:szCs w:val="18"/>
                <w:color w:val="auto"/>
              </w:rPr>
              <w:t>Alternative investments (a)</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45,809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57,890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 (a)</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420"/>
              <w:spacing w:after="0"/>
              <w:rPr>
                <w:sz w:val="20"/>
                <w:szCs w:val="20"/>
                <w:color w:val="auto"/>
              </w:rPr>
            </w:pPr>
            <w:r>
              <w:rPr>
                <w:rFonts w:ascii="Arial" w:cs="Arial" w:eastAsia="Arial" w:hAnsi="Arial"/>
                <w:sz w:val="18"/>
                <w:szCs w:val="18"/>
                <w:color w:val="auto"/>
              </w:rPr>
              <w:t>Equity (a)</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177,831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154,310</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1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115,568</w:t>
            </w:r>
          </w:p>
        </w:tc>
        <w:tc>
          <w:tcPr>
            <w:tcW w:w="6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112,444</w:t>
            </w:r>
          </w:p>
        </w:tc>
        <w:tc>
          <w:tcPr>
            <w:tcW w:w="100" w:type="dxa"/>
            <w:vAlign w:val="bottom"/>
            <w:shd w:val="clear" w:color="auto" w:fill="CCEEFF"/>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397,813</w:t>
            </w:r>
          </w:p>
        </w:tc>
        <w:tc>
          <w:tcPr>
            <w:tcW w:w="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356,721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method</w:t>
            </w:r>
          </w:p>
        </w:tc>
        <w:tc>
          <w:tcPr>
            <w:tcW w:w="1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8,941</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00" w:type="dxa"/>
            <w:vAlign w:val="bottom"/>
            <w:shd w:val="clear" w:color="auto" w:fill="CCEEFF"/>
          </w:tcPr>
          <w:p>
            <w:pPr>
              <w:spacing w:after="0"/>
              <w:rPr>
                <w:sz w:val="18"/>
                <w:szCs w:val="18"/>
                <w:color w:val="auto"/>
              </w:rPr>
            </w:pPr>
          </w:p>
        </w:tc>
      </w:tr>
      <w:tr>
        <w:trPr>
          <w:trHeight w:val="221"/>
        </w:trPr>
        <w:tc>
          <w:tcPr>
            <w:tcW w:w="726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469,722</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414,673</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420"/>
              <w:spacing w:after="0"/>
              <w:rPr>
                <w:sz w:val="20"/>
                <w:szCs w:val="20"/>
                <w:color w:val="auto"/>
              </w:rPr>
            </w:pPr>
            <w:r>
              <w:rPr>
                <w:rFonts w:ascii="Arial" w:cs="Arial" w:eastAsia="Arial" w:hAnsi="Arial"/>
                <w:sz w:val="18"/>
                <w:szCs w:val="18"/>
                <w:color w:val="auto"/>
              </w:rPr>
              <w:t>Interest-bearing deposits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w:t>
            </w:r>
          </w:p>
        </w:tc>
        <w:tc>
          <w:tcPr>
            <w:tcW w:w="1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8,941</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00" w:type="dxa"/>
            <w:vAlign w:val="bottom"/>
            <w:shd w:val="clear" w:color="auto" w:fill="CCEEFF"/>
          </w:tcPr>
          <w:p>
            <w:pPr>
              <w:spacing w:after="0"/>
              <w:rPr>
                <w:sz w:val="18"/>
                <w:szCs w:val="18"/>
                <w:color w:val="auto"/>
              </w:rPr>
            </w:pPr>
          </w:p>
        </w:tc>
      </w:tr>
      <w:tr>
        <w:trPr>
          <w:trHeight w:val="222"/>
        </w:trPr>
        <w:tc>
          <w:tcPr>
            <w:tcW w:w="7260" w:type="dxa"/>
            <w:vAlign w:val="bottom"/>
            <w:gridSpan w:val="3"/>
          </w:tcPr>
          <w:p>
            <w:pPr>
              <w:spacing w:after="0"/>
              <w:rPr>
                <w:sz w:val="20"/>
                <w:szCs w:val="20"/>
                <w:color w:val="auto"/>
              </w:rPr>
            </w:pPr>
            <w:r>
              <w:rPr>
                <w:rFonts w:ascii="Arial" w:cs="Arial" w:eastAsia="Arial" w:hAnsi="Arial"/>
                <w:sz w:val="18"/>
                <w:szCs w:val="18"/>
                <w:color w:val="auto"/>
              </w:rPr>
              <w:t>Investments, at fair value</w:t>
            </w:r>
          </w:p>
        </w:tc>
        <w:tc>
          <w:tcPr>
            <w:tcW w:w="196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460,262</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407,083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96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1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$7,886, $31,029 and $125,571, respectively, at September 30, 2013 and $5,054, $18,615 and $76,907, respectively, at December 31, 2012, held in order to satisfy the Company’s liability upon vesting of previously granted Lazard Fund Interests (“Lazard Fund Interests”) and other similar deferred compensation arrangements. Lazard Fund Interests represent grants by the Company to eligible employees of actual or notional interests in a number of Lazard-managed funds (see Notes 6 and 12 of Notes to Condensed Consolidated Financial Statements).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 and non-U.S. government debt securities.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Interests in alternative investment funds primarily consist of interests in various Lazard-managed hedge funds and funds of funds.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which invest in debt securities, and amounts related to Lazard Fund Interests discussed above.</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which are invested in equity securities, and amounts related to Lazard Fund Interests discussed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a fund targeting significant noncontrolling-stake investments in established private companies,</w:t>
      </w:r>
    </w:p>
    <w:p>
      <w:pPr>
        <w:spacing w:after="0" w:line="1"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Edgewater Growth Capital Partners III, L.P. (“EGCP III”), a fund primarily making equity and buyout investments in middle market companies and</w:t>
      </w:r>
    </w:p>
    <w:p>
      <w:pPr>
        <w:spacing w:after="0" w:line="32" w:lineRule="exact"/>
        <w:rPr>
          <w:rFonts w:ascii="Arial" w:cs="Arial" w:eastAsia="Arial" w:hAnsi="Arial"/>
          <w:sz w:val="16"/>
          <w:szCs w:val="16"/>
          <w:color w:val="auto"/>
        </w:rPr>
      </w:pPr>
    </w:p>
    <w:p>
      <w:pPr>
        <w:ind w:left="300" w:hanging="292"/>
        <w:spacing w:after="0"/>
        <w:tabs>
          <w:tab w:leader="none" w:pos="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Lazard Australia Corporate Opportunities Fund 2 (“COF2”), a Lazard-managed Australian fund targeting Australasian mid-market investments.</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 which totaled $12,379 and $11,490 at September 30, 2013 and December 31, 2012, respectively (see Note 10 of Notes to Condensed Consolidated Financial Statements).</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three month and nine month periods ended September 30, 2013 and 2012, the Company reported in revenue-other on its condensed consolidated statements of operations gross unrealized investment gains and losses pertaining to “trading” securities as follows (including, for the three month and nine month periods ended September 30, 2012, restated amounts pertaining to certain non-broker dealer subsidiaries):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9"/>
              </w:rPr>
              <w:t>Three Month Period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Nine Month Period</w:t>
            </w:r>
          </w:p>
        </w:tc>
      </w:tr>
      <w:tr>
        <w:trPr>
          <w:trHeight w:val="161"/>
        </w:trPr>
        <w:tc>
          <w:tcPr>
            <w:tcW w:w="46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5"/>
              </w:rPr>
              <w:t>Ended September 30,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Ended September 30,</w:t>
            </w:r>
          </w:p>
        </w:tc>
      </w:tr>
      <w:tr>
        <w:trPr>
          <w:trHeight w:val="142"/>
        </w:trPr>
        <w:tc>
          <w:tcPr>
            <w:tcW w:w="460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2013</w:t>
            </w:r>
          </w:p>
        </w:tc>
        <w:tc>
          <w:tcPr>
            <w:tcW w:w="7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unrealized investment gains</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10,925</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11,825</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12,044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19,137</w:t>
            </w:r>
          </w:p>
        </w:tc>
        <w:tc>
          <w:tcPr>
            <w:tcW w:w="100" w:type="dxa"/>
            <w:vAlign w:val="bottom"/>
            <w:shd w:val="clear" w:color="auto" w:fill="CCEEFF"/>
          </w:tcPr>
          <w:p>
            <w:pPr>
              <w:spacing w:after="0"/>
              <w:rPr>
                <w:sz w:val="18"/>
                <w:szCs w:val="18"/>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bl>
    <w:p>
      <w:pPr>
        <w:spacing w:after="0" w:line="26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(ii) assets valued based on net asset value (“NAV”) or its equivalent redeemable at the measurement date or within the near term without redemption restrictions, or (iii) inputs other than quoted prices that are directly observable or derived principally from, or corroborated by, market data.</w:t>
      </w:r>
    </w:p>
    <w:p>
      <w:pPr>
        <w:spacing w:after="0" w:line="62" w:lineRule="exact"/>
        <w:rPr>
          <w:sz w:val="20"/>
          <w:szCs w:val="20"/>
          <w:color w:val="auto"/>
        </w:rPr>
      </w:pPr>
    </w:p>
    <w:p>
      <w:pPr>
        <w:ind w:left="920" w:right="20" w:hanging="904"/>
        <w:spacing w:after="0" w:line="31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0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 Company’s investments in non-U.S. Government and other debt securities are classified as Level 1 when their respective fair values are based on unadjusted quoted prices in active markets and are classified as Level 2 when their fair values are primarily based on prices as provided by external pricing services.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4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fair value of investments in alternative investment funds is classified as either Level 2 or Level 3 depending on the time frame of any applicable redemption restriction, and is valued at NAV or its equivalent, which is primarily determined based on information provided by external fund administrators.</w:t>
      </w:r>
    </w:p>
    <w:p>
      <w:pPr>
        <w:spacing w:after="0" w:line="8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fair value of investments in debt funds is classified as Level 1 when the fair values are primarily based on the reported closing price for the fund, and classified as Level 2 when the fair values are primarily based on NAV or its equivalent and are redeemable within the near term.</w:t>
      </w:r>
    </w:p>
    <w:p>
      <w:pPr>
        <w:spacing w:after="0" w:line="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fair value of investments in equity funds is classified as Level 1, 2 or 3 as follows: publicly traded asset management funds are classified as Level 1 and are valued based on the reported closing price for the fund; investments in asset management funds redeemable in the near term are classified as Level 2 and are valued at NAV or its equivalent, which is primarily determined based on information provided by external fund administrators; and funds valued based on NAV or its equivalent that are not redeemable within the near term are classified as Level 3.</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fair value of investments in private equity funds is classified as Level 3, and is primarily based on NAV or its equivalent. Such investments are not redeemable within the near term.</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two currencies from the trade date to settlement date; the fair value of equity and fixed income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Lazard Fund Interests and other similar deferred compensation arrangements is based on the value of the underlying investments, adjusted for forfeitures. See Note 6 of Notes to Condensed Consolidated Financial Statements.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 reported information regarding an investment is based on data received from external fund administrators or pricing services, the Company reviews such information and classifies the investment at the relevant level within the fair value hierarchy.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classification of investments and certain other assets and liabilities measured at fair value on a recurring basis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and December 31, 2012 within the fair value hierarchy: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254"/>
              <w:spacing w:after="0"/>
              <w:rPr>
                <w:sz w:val="20"/>
                <w:szCs w:val="20"/>
                <w:color w:val="auto"/>
              </w:rPr>
            </w:pPr>
            <w:r>
              <w:rPr>
                <w:rFonts w:ascii="Arial" w:cs="Arial" w:eastAsia="Arial" w:hAnsi="Arial"/>
                <w:sz w:val="14"/>
                <w:szCs w:val="14"/>
                <w:b w:val="1"/>
                <w:bCs w:val="1"/>
                <w:color w:val="auto"/>
              </w:rPr>
              <w:t>September 30, 2013</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6,982</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54,144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55,467</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45,809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45,809</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58,605</w:t>
            </w: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Equity</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177,792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177,831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115,568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115,568</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291,627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52,057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116,891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460,575</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159,267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159,267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159,267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163,342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December 31, 2012</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44,802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44,992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54,433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57,890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32,077</w:t>
            </w: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Equity</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145,231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9,069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154,310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112,444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112,444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223,549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68,366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116,101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408,016</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102,492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102,492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102,551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105,247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nine month periods ended September 30, 2013 and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three month and nine 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and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87"/>
              </w:rPr>
              <w:t>Three Months Ended September 30, 2013</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Net Unrealized/</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Realized</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Foreign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Included</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Currency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Beginning</w:t>
            </w: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3"/>
              </w:rPr>
              <w:t>Sales/</w:t>
            </w:r>
          </w:p>
        </w:tc>
        <w:tc>
          <w:tcPr>
            <w:tcW w:w="9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Other (a)</w:t>
            </w:r>
          </w:p>
        </w:tc>
        <w:tc>
          <w:tcPr>
            <w:tcW w:w="4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0"/>
              </w:rPr>
              <w:t>Acquisitions</w:t>
            </w:r>
          </w:p>
        </w:tc>
        <w:tc>
          <w:tcPr>
            <w:tcW w:w="4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9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Adjustments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637</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Pr>
          <w:p>
            <w:pPr>
              <w:ind w:left="440"/>
              <w:spacing w:after="0"/>
              <w:rPr>
                <w:sz w:val="20"/>
                <w:szCs w:val="20"/>
                <w:color w:val="auto"/>
              </w:rPr>
            </w:pPr>
            <w:r>
              <w:rPr>
                <w:rFonts w:ascii="Arial" w:cs="Arial" w:eastAsia="Arial" w:hAnsi="Arial"/>
                <w:sz w:val="18"/>
                <w:szCs w:val="18"/>
                <w:color w:val="auto"/>
              </w:rPr>
              <w:t>Private equity funds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112,833</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5,174</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(6,848)</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1,502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115,568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113,481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(6,848)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116,891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87"/>
              </w:rPr>
              <w:t>Nine Months Ended September 30, 2013</w:t>
            </w: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Realized</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Foreign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Included</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Currency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Beginning</w:t>
            </w: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3"/>
              </w:rPr>
              <w:t>Sales/</w:t>
            </w:r>
          </w:p>
        </w:tc>
        <w:tc>
          <w:tcPr>
            <w:tcW w:w="9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Other (a)</w:t>
            </w:r>
          </w:p>
        </w:tc>
        <w:tc>
          <w:tcPr>
            <w:tcW w:w="4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0"/>
              </w:rPr>
              <w:t>Acquisitions</w:t>
            </w:r>
          </w:p>
        </w:tc>
        <w:tc>
          <w:tcPr>
            <w:tcW w:w="4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9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Adjustments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1,095</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(3,574)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Equity funds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112,444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(12,716)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762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115,568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116,101</w:t>
            </w:r>
          </w:p>
        </w:tc>
        <w:tc>
          <w:tcPr>
            <w:tcW w:w="1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9,037</w:t>
            </w:r>
          </w:p>
        </w:tc>
        <w:tc>
          <w:tcPr>
            <w:tcW w:w="160" w:type="dxa"/>
            <w:vAlign w:val="bottom"/>
          </w:tcPr>
          <w:p>
            <w:pPr>
              <w:spacing w:after="0"/>
              <w:rPr>
                <w:sz w:val="19"/>
                <w:szCs w:val="19"/>
                <w:color w:val="auto"/>
              </w:rPr>
            </w:pP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7,261</w:t>
            </w:r>
          </w:p>
        </w:tc>
        <w:tc>
          <w:tcPr>
            <w:tcW w:w="1540" w:type="dxa"/>
            <w:vAlign w:val="bottom"/>
            <w:gridSpan w:val="4"/>
          </w:tcPr>
          <w:p>
            <w:pPr>
              <w:jc w:val="right"/>
              <w:ind w:right="360"/>
              <w:spacing w:after="0"/>
              <w:rPr>
                <w:sz w:val="20"/>
                <w:szCs w:val="20"/>
                <w:color w:val="auto"/>
              </w:rPr>
            </w:pPr>
            <w:r>
              <w:rPr>
                <w:rFonts w:ascii="Arial" w:cs="Arial" w:eastAsia="Arial" w:hAnsi="Arial"/>
                <w:sz w:val="18"/>
                <w:szCs w:val="18"/>
                <w:color w:val="auto"/>
              </w:rPr>
              <w:t>$ (16,300)</w:t>
            </w: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792</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116,891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w w:val="93"/>
              </w:rPr>
              <w:t>Three Months Ended September 30, 2012</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Realized</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Included</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Beginning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8"/>
              </w:rPr>
              <w:t>Sales/</w:t>
            </w:r>
          </w:p>
        </w:tc>
        <w:tc>
          <w:tcPr>
            <w:tcW w:w="12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4"/>
                <w:szCs w:val="14"/>
                <w:b w:val="1"/>
                <w:bCs w:val="1"/>
                <w:color w:val="auto"/>
                <w:w w:val="81"/>
              </w:rPr>
              <w:t>Balance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Other (a)</w:t>
            </w:r>
          </w:p>
        </w:tc>
        <w:tc>
          <w:tcPr>
            <w:tcW w:w="4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3"/>
              </w:rPr>
              <w:t>Acquisitions</w:t>
            </w:r>
          </w:p>
        </w:tc>
        <w:tc>
          <w:tcPr>
            <w:tcW w:w="4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2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r>
      <w:tr>
        <w:trPr>
          <w:trHeight w:val="196"/>
        </w:trPr>
        <w:tc>
          <w:tcPr>
            <w:tcW w:w="3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5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ind w:left="440"/>
              <w:spacing w:after="0"/>
              <w:rPr>
                <w:sz w:val="20"/>
                <w:szCs w:val="20"/>
                <w:color w:val="auto"/>
              </w:rPr>
            </w:pPr>
            <w:r>
              <w:rPr>
                <w:rFonts w:ascii="Arial" w:cs="Arial" w:eastAsia="Arial" w:hAnsi="Arial"/>
                <w:sz w:val="18"/>
                <w:szCs w:val="18"/>
                <w:color w:val="auto"/>
              </w:rPr>
              <w:t>Private equity funds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113,991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(522)</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2,945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1,128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117,194</w:t>
            </w:r>
          </w:p>
        </w:tc>
        <w:tc>
          <w:tcPr>
            <w:tcW w:w="100" w:type="dxa"/>
            <w:vAlign w:val="bottom"/>
          </w:tcPr>
          <w:p>
            <w:pPr>
              <w:spacing w:after="0"/>
              <w:rPr>
                <w:sz w:val="18"/>
                <w:szCs w:val="18"/>
                <w:color w:val="auto"/>
              </w:rPr>
            </w:pPr>
          </w:p>
        </w:tc>
      </w:tr>
      <w:tr>
        <w:trPr>
          <w:trHeight w:val="27"/>
        </w:trPr>
        <w:tc>
          <w:tcPr>
            <w:tcW w:w="3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118,798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120,825</w:t>
            </w:r>
          </w:p>
        </w:tc>
        <w:tc>
          <w:tcPr>
            <w:tcW w:w="100" w:type="dxa"/>
            <w:vAlign w:val="bottom"/>
            <w:shd w:val="clear" w:color="auto" w:fill="CCEEFF"/>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441"/>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14"/>
                <w:szCs w:val="14"/>
                <w:b w:val="1"/>
                <w:bCs w:val="1"/>
                <w:color w:val="auto"/>
                <w:w w:val="92"/>
              </w:rPr>
              <w:t>Nine Months Ended September 30, 2012</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Realized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Included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Beginning</w:t>
            </w: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20" w:type="dxa"/>
            <w:vAlign w:val="bottom"/>
          </w:tcPr>
          <w:p>
            <w:pPr>
              <w:spacing w:after="0"/>
              <w:rPr>
                <w:sz w:val="12"/>
                <w:szCs w:val="12"/>
                <w:color w:val="auto"/>
              </w:rPr>
            </w:pPr>
          </w:p>
        </w:tc>
        <w:tc>
          <w:tcPr>
            <w:tcW w:w="130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85"/>
              </w:rPr>
              <w:t>Purchases/</w:t>
            </w:r>
          </w:p>
        </w:tc>
        <w:tc>
          <w:tcPr>
            <w:tcW w:w="120" w:type="dxa"/>
            <w:vAlign w:val="bottom"/>
          </w:tcPr>
          <w:p>
            <w:pPr>
              <w:spacing w:after="0"/>
              <w:rPr>
                <w:sz w:val="12"/>
                <w:szCs w:val="12"/>
                <w:color w:val="auto"/>
              </w:rPr>
            </w:pPr>
          </w:p>
        </w:tc>
        <w:tc>
          <w:tcPr>
            <w:tcW w:w="120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3"/>
              </w:rPr>
              <w:t>Sales/</w:t>
            </w:r>
          </w:p>
        </w:tc>
        <w:tc>
          <w:tcPr>
            <w:tcW w:w="13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1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Other (a)</w:t>
            </w:r>
          </w:p>
        </w:tc>
        <w:tc>
          <w:tcPr>
            <w:tcW w:w="4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3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r>
      <w:tr>
        <w:trPr>
          <w:trHeight w:val="196"/>
        </w:trPr>
        <w:tc>
          <w:tcPr>
            <w:tcW w:w="31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180" w:type="dxa"/>
            <w:vAlign w:val="bottom"/>
            <w:gridSpan w:val="2"/>
          </w:tcPr>
          <w:p>
            <w:pPr>
              <w:ind w:left="440"/>
              <w:spacing w:after="0"/>
              <w:rPr>
                <w:sz w:val="20"/>
                <w:szCs w:val="20"/>
                <w:color w:val="auto"/>
              </w:rPr>
            </w:pPr>
            <w:r>
              <w:rPr>
                <w:rFonts w:ascii="Arial" w:cs="Arial" w:eastAsia="Arial" w:hAnsi="Arial"/>
                <w:sz w:val="18"/>
                <w:szCs w:val="18"/>
                <w:color w:val="auto"/>
              </w:rPr>
              <w:t>Equities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r>
      <w:tr>
        <w:trPr>
          <w:trHeight w:val="216"/>
        </w:trPr>
        <w:tc>
          <w:tcPr>
            <w:tcW w:w="3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10,171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(6,853)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100" w:type="dxa"/>
            <w:vAlign w:val="bottom"/>
            <w:shd w:val="clear" w:color="auto" w:fill="CCEEFF"/>
          </w:tcPr>
          <w:p>
            <w:pPr>
              <w:spacing w:after="0"/>
              <w:rPr>
                <w:sz w:val="18"/>
                <w:szCs w:val="18"/>
                <w:color w:val="auto"/>
              </w:rPr>
            </w:pPr>
          </w:p>
        </w:tc>
      </w:tr>
      <w:tr>
        <w:trPr>
          <w:trHeight w:val="216"/>
        </w:trPr>
        <w:tc>
          <w:tcPr>
            <w:tcW w:w="3180" w:type="dxa"/>
            <w:vAlign w:val="bottom"/>
            <w:gridSpan w:val="2"/>
          </w:tcPr>
          <w:p>
            <w:pPr>
              <w:ind w:left="440"/>
              <w:spacing w:after="0"/>
              <w:rPr>
                <w:sz w:val="20"/>
                <w:szCs w:val="20"/>
                <w:color w:val="auto"/>
              </w:rPr>
            </w:pPr>
            <w:r>
              <w:rPr>
                <w:rFonts w:ascii="Arial" w:cs="Arial" w:eastAsia="Arial" w:hAnsi="Arial"/>
                <w:sz w:val="18"/>
                <w:szCs w:val="18"/>
                <w:color w:val="auto"/>
              </w:rPr>
              <w:t>Private equity funds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122,718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11,828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5,697</w:t>
            </w:r>
          </w:p>
        </w:tc>
        <w:tc>
          <w:tcPr>
            <w:tcW w:w="12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(23,093)</w:t>
            </w:r>
          </w:p>
        </w:tc>
        <w:tc>
          <w:tcPr>
            <w:tcW w:w="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117,194</w:t>
            </w:r>
          </w:p>
        </w:tc>
        <w:tc>
          <w:tcPr>
            <w:tcW w:w="10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133,100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11,940</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(29,976)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120,825</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8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for the three month and nine month periods ended September 30, 2013 and the three month and nine month periods ended September 30, 2012 include net unrealized gains (losses) of $2,680, $6,007, $(460) and $9,103, respectively.</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Fair Value of Certain Investments Based on NAV</w:t>
      </w:r>
      <w:r>
        <w:rPr>
          <w:rFonts w:ascii="Arial" w:cs="Arial" w:eastAsia="Arial" w:hAnsi="Arial"/>
          <w:sz w:val="18"/>
          <w:szCs w:val="18"/>
          <w:color w:val="auto"/>
        </w:rPr>
        <w:t>—The Company’s Level 2 and Level 3 investments at September 30, 2013 and December 31,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certain investments that are valued using NAV or its equivalent as a practical expedient in determining fair value. Information with respect thereto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September 30, 2013</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6"/>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Investments Not Redeemable</w:t>
            </w:r>
          </w:p>
        </w:tc>
        <w:tc>
          <w:tcPr>
            <w:tcW w:w="1820" w:type="dxa"/>
            <w:vAlign w:val="bottom"/>
            <w:gridSpan w:val="3"/>
          </w:tcPr>
          <w:p>
            <w:pPr>
              <w:ind w:left="200"/>
              <w:spacing w:after="0"/>
              <w:rPr>
                <w:sz w:val="20"/>
                <w:szCs w:val="20"/>
                <w:color w:val="auto"/>
              </w:rPr>
            </w:pPr>
            <w:r>
              <w:rPr>
                <w:rFonts w:ascii="Arial" w:cs="Arial" w:eastAsia="Arial" w:hAnsi="Arial"/>
                <w:sz w:val="14"/>
                <w:szCs w:val="14"/>
                <w:b w:val="1"/>
                <w:bCs w:val="1"/>
                <w:color w:val="auto"/>
                <w:w w:val="95"/>
              </w:rPr>
              <w:t>Investments Redeemable</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top w:val="single" w:sz="8" w:color="auto"/>
            </w:tcBorders>
          </w:tcPr>
          <w:p>
            <w:pPr>
              <w:jc w:val="right"/>
              <w:ind w:right="124"/>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5"/>
              </w:rPr>
              <w:t>Unfunded</w:t>
            </w:r>
          </w:p>
        </w:tc>
        <w:tc>
          <w:tcPr>
            <w:tcW w:w="3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right"/>
              <w:ind w:right="259"/>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720" w:type="dxa"/>
            <w:vAlign w:val="bottom"/>
          </w:tcPr>
          <w:p>
            <w:pPr>
              <w:spacing w:after="0" w:line="149" w:lineRule="exact"/>
              <w:rPr>
                <w:sz w:val="20"/>
                <w:szCs w:val="20"/>
                <w:color w:val="auto"/>
              </w:rPr>
            </w:pPr>
            <w:r>
              <w:rPr>
                <w:rFonts w:ascii="Arial" w:cs="Arial" w:eastAsia="Arial" w:hAnsi="Arial"/>
                <w:sz w:val="14"/>
                <w:szCs w:val="14"/>
                <w:b w:val="1"/>
                <w:bCs w:val="1"/>
                <w:color w:val="auto"/>
                <w:w w:val="86"/>
              </w:rPr>
              <w:t>Redemption</w:t>
            </w: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Redemption</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5"/>
              </w:rPr>
              <w:t>Commitments</w:t>
            </w: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Redeemable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Years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w w:val="93"/>
              </w:rPr>
              <w:t>Frequency</w:t>
            </w: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Notice Period</w:t>
            </w: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Debt funds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720" w:type="dxa"/>
            <w:vAlign w:val="bottom"/>
          </w:tcPr>
          <w:p>
            <w:pPr>
              <w:spacing w:after="0"/>
              <w:rPr>
                <w:sz w:val="20"/>
                <w:szCs w:val="20"/>
                <w:color w:val="auto"/>
              </w:rPr>
            </w:pPr>
            <w:r>
              <w:rPr>
                <w:rFonts w:ascii="Arial" w:cs="Arial" w:eastAsia="Arial" w:hAnsi="Arial"/>
                <w:sz w:val="18"/>
                <w:szCs w:val="18"/>
                <w:color w:val="auto"/>
              </w:rPr>
              <w:t>(b)</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30 days</w:t>
            </w: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funds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110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&lt;30-90 days</w:t>
            </w: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115,568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27,685</w:t>
            </w:r>
          </w:p>
        </w:tc>
        <w:tc>
          <w:tcPr>
            <w:tcW w:w="1040" w:type="dxa"/>
            <w:vAlign w:val="bottom"/>
            <w:gridSpan w:val="2"/>
          </w:tcPr>
          <w:p>
            <w:pPr>
              <w:jc w:val="center"/>
              <w:ind w:left="232"/>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19"/>
                <w:szCs w:val="19"/>
                <w:color w:val="auto"/>
              </w:rPr>
            </w:pPr>
          </w:p>
        </w:tc>
        <w:tc>
          <w:tcPr>
            <w:tcW w:w="540" w:type="dxa"/>
            <w:vAlign w:val="bottom"/>
          </w:tcPr>
          <w:p>
            <w:pPr>
              <w:jc w:val="right"/>
              <w:ind w:right="24"/>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36%</w:t>
            </w:r>
          </w:p>
        </w:tc>
        <w:tc>
          <w:tcPr>
            <w:tcW w:w="220" w:type="dxa"/>
            <w:vAlign w:val="bottom"/>
          </w:tcPr>
          <w:p>
            <w:pPr>
              <w:spacing w:after="0"/>
              <w:rPr>
                <w:sz w:val="19"/>
                <w:szCs w:val="19"/>
                <w:color w:val="auto"/>
              </w:rPr>
            </w:pPr>
          </w:p>
        </w:tc>
        <w:tc>
          <w:tcPr>
            <w:tcW w:w="820" w:type="dxa"/>
            <w:vAlign w:val="bottom"/>
          </w:tcPr>
          <w:p>
            <w:pPr>
              <w:jc w:val="right"/>
              <w:ind w:right="179"/>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161,420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27,685</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Redemption frequency as follows:</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 weekly (12%), monthly (55%) and quarterly (32%)</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(13%), monthly (58%) and quarterly (29%)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December 31, 2012</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2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Investments Not Redeemable</w:t>
            </w:r>
          </w:p>
        </w:tc>
        <w:tc>
          <w:tcPr>
            <w:tcW w:w="220" w:type="dxa"/>
            <w:vAlign w:val="bottom"/>
          </w:tcPr>
          <w:p>
            <w:pPr>
              <w:spacing w:after="0"/>
              <w:rPr>
                <w:sz w:val="14"/>
                <w:szCs w:val="14"/>
                <w:color w:val="auto"/>
              </w:rPr>
            </w:pPr>
          </w:p>
        </w:tc>
        <w:tc>
          <w:tcPr>
            <w:tcW w:w="19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9"/>
              </w:rPr>
              <w:t>Investments Redeemable</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Unfunded</w:t>
            </w:r>
          </w:p>
        </w:tc>
        <w:tc>
          <w:tcPr>
            <w:tcW w:w="3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Redemption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Commitments</w:t>
            </w:r>
          </w:p>
        </w:tc>
        <w:tc>
          <w:tcPr>
            <w:tcW w:w="3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Redeemable</w:t>
            </w:r>
          </w:p>
        </w:tc>
        <w:tc>
          <w:tcPr>
            <w:tcW w:w="2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2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2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0"/>
              </w:rPr>
              <w:t>Frequency</w:t>
            </w: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223"/>
        </w:trPr>
        <w:tc>
          <w:tcPr>
            <w:tcW w:w="20" w:type="dxa"/>
            <w:vAlign w:val="bottom"/>
          </w:tcPr>
          <w:p>
            <w:pPr>
              <w:spacing w:after="0"/>
              <w:rPr>
                <w:sz w:val="19"/>
                <w:szCs w:val="19"/>
                <w:color w:val="auto"/>
              </w:rPr>
            </w:pPr>
          </w:p>
        </w:tc>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&lt;30-120 days</w:t>
            </w: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Debt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820" w:type="dxa"/>
            <w:vAlign w:val="bottom"/>
          </w:tcPr>
          <w:p>
            <w:pPr>
              <w:jc w:val="center"/>
              <w:spacing w:after="0"/>
              <w:rPr>
                <w:sz w:val="20"/>
                <w:szCs w:val="20"/>
                <w:color w:val="auto"/>
              </w:rPr>
            </w:pPr>
            <w:r>
              <w:rPr>
                <w:rFonts w:ascii="Arial" w:cs="Arial" w:eastAsia="Arial" w:hAnsi="Arial"/>
                <w:sz w:val="18"/>
                <w:szCs w:val="18"/>
                <w:color w:val="auto"/>
              </w:rPr>
              <w:t>NA</w:t>
            </w:r>
          </w:p>
        </w:tc>
        <w:tc>
          <w:tcPr>
            <w:tcW w:w="1160" w:type="dxa"/>
            <w:vAlign w:val="bottom"/>
            <w:gridSpan w:val="3"/>
          </w:tcPr>
          <w:p>
            <w:pPr>
              <w:ind w:left="220"/>
              <w:spacing w:after="0"/>
              <w:rPr>
                <w:sz w:val="20"/>
                <w:szCs w:val="20"/>
                <w:color w:val="auto"/>
              </w:rPr>
            </w:pPr>
            <w:r>
              <w:rPr>
                <w:rFonts w:ascii="Arial" w:cs="Arial" w:eastAsia="Arial" w:hAnsi="Arial"/>
                <w:sz w:val="18"/>
                <w:szCs w:val="18"/>
                <w:color w:val="auto"/>
              </w:rPr>
              <w:t>(b)</w:t>
            </w:r>
          </w:p>
        </w:tc>
        <w:tc>
          <w:tcPr>
            <w:tcW w:w="1000" w:type="dxa"/>
            <w:vAlign w:val="bottom"/>
          </w:tcPr>
          <w:p>
            <w:pPr>
              <w:spacing w:after="0"/>
              <w:rPr>
                <w:sz w:val="20"/>
                <w:szCs w:val="20"/>
                <w:color w:val="auto"/>
              </w:rPr>
            </w:pPr>
            <w:r>
              <w:rPr>
                <w:rFonts w:ascii="Arial" w:cs="Arial" w:eastAsia="Arial" w:hAnsi="Arial"/>
                <w:sz w:val="18"/>
                <w:szCs w:val="18"/>
                <w:color w:val="auto"/>
              </w:rPr>
              <w:t>30 days</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6"/>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w:t>
            </w:r>
          </w:p>
        </w:tc>
        <w:tc>
          <w:tcPr>
            <w:tcW w:w="1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8"/>
              </w:rPr>
              <w:t>30-120 days</w:t>
            </w:r>
          </w:p>
        </w:tc>
      </w:tr>
      <w:tr>
        <w:trPr>
          <w:trHeight w:val="223"/>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112,444</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31,482</w:t>
            </w:r>
          </w:p>
        </w:tc>
        <w:tc>
          <w:tcPr>
            <w:tcW w:w="1040" w:type="dxa"/>
            <w:vAlign w:val="bottom"/>
            <w:gridSpan w:val="2"/>
          </w:tcPr>
          <w:p>
            <w:pPr>
              <w:jc w:val="right"/>
              <w:ind w:right="86"/>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13%</w:t>
            </w:r>
          </w:p>
        </w:tc>
        <w:tc>
          <w:tcPr>
            <w:tcW w:w="2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39%</w:t>
            </w:r>
          </w:p>
        </w:tc>
        <w:tc>
          <w:tcPr>
            <w:tcW w:w="2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48%</w:t>
            </w:r>
          </w:p>
        </w:tc>
        <w:tc>
          <w:tcPr>
            <w:tcW w:w="1160" w:type="dxa"/>
            <w:vAlign w:val="bottom"/>
            <w:gridSpan w:val="3"/>
          </w:tcPr>
          <w:p>
            <w:pPr>
              <w:ind w:left="220"/>
              <w:spacing w:after="0"/>
              <w:rPr>
                <w:sz w:val="20"/>
                <w:szCs w:val="20"/>
                <w:color w:val="auto"/>
              </w:rPr>
            </w:pPr>
            <w:r>
              <w:rPr>
                <w:rFonts w:ascii="Arial" w:cs="Arial" w:eastAsia="Arial" w:hAnsi="Arial"/>
                <w:sz w:val="18"/>
                <w:szCs w:val="18"/>
                <w:color w:val="auto"/>
              </w:rPr>
              <w:t>NA</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179,417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31,482</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Redemption frequency as follows:</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(10%), weekly (9%), monthly (38%) and quarterly (43%)</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(37%) and monthly (61%)</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4 of Notes to Condensed Consolidated Financial Statements for discussion of significant investment strategies for investments valued based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NAV.</w:t>
      </w:r>
    </w:p>
    <w:p>
      <w:pPr>
        <w:spacing w:after="0" w:line="16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September 30, 2013, the Company’s maximum unfunded commitments for capital contributions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funds arose from (i) commitments to Corporate Partners II Limited (“CP II”), which amounted to $1,940 for potential “follow-on investments” and/or for fund expenses through the earlier of February 25, 2017 or the liquidation of the fund, (ii) commitments to EGCP III, which amounted to $18,501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 and (iii) commitments to COF2, which amounted to $7,244 through the earlier of November 11,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fund expenses (with a portion of the undrawn amount of such commitments as of that date remaining committed until November 11, 2019 in respect of “follow-on investments” and/or fund expenses) or the liquidation of the fund.</w:t>
      </w:r>
    </w:p>
    <w:p>
      <w:pPr>
        <w:spacing w:after="0" w:line="24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equity and fixed income swaps and other derivative contracts to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hedging instruments are included in “interest income” and “interest expense”, respectively, or “revenue other”, depending on the nature of the underlying item, on the consolidated statements of operations.</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to the derivative instruments described above, the Company records derivative liabilities relating to its obligations pertaining to Lazard Fund Interests awards and other similar deferred compensation arrangements, the fair value of which is based on the value of the underlying investments, adjusted for estimated forfeitures, and 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Lazard Fund Interests awards and other similar deferred compensation arrangements, which are reported in “revenue-other” in the consolidated statements of operations.</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tables below present the fair values of the Company’s derivative instruments reported within “other assets” and “other liabilities” and the fair values of the Company’s derivative liabilities relating to its obligations pertaining to Lazard Fund Interests and other similar deferred compensation arrangements (see Note 12 of Notes to Condensed Consolidated Financial Statements) on the accompanying condensed consolidated statements of financial condition as of September 30, 2013 and December 31, 2012: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1160" w:type="dxa"/>
            <w:vAlign w:val="bottom"/>
            <w:tcBorders>
              <w:bottom w:val="single" w:sz="8" w:color="CCEEFF"/>
            </w:tcBorders>
          </w:tcPr>
          <w:p>
            <w:pPr>
              <w:spacing w:after="0"/>
              <w:rPr>
                <w:sz w:val="14"/>
                <w:szCs w:val="14"/>
                <w:color w:val="auto"/>
              </w:rPr>
            </w:pPr>
          </w:p>
        </w:tc>
        <w:tc>
          <w:tcPr>
            <w:tcW w:w="8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9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313</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8"/>
                <w:szCs w:val="18"/>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Equity and fixed income swaps and other (a)</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8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313</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1,136</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Equity and fixed income swaps (a)</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18"/>
                <w:szCs w:val="18"/>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156,306</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97,593</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8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159,267</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102,492</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460" w:right="180" w:hanging="452"/>
        <w:spacing w:after="0" w:line="256"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equity and fixed income swaps, amounts represent the netting of gross derivative assets and liabilities of $480 and $2,305 as of September 30, 2013, respectively, and $0 and $4,342 as of December 31, 2012, respectively, for contracts with the same counterparty under legally enforceable master netting agreements. Such amounts are recorded “net” in “other assets”, with receivables for net cash collateral under such contracts of $14,684 and $15,304 as of September 30, 2013 and December 31, 2012, respectively.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gains (losses) with respect to derivative instruments (predominantly reflected in “revenue-other”) and the Company’s derivative liabilities relating to its obligations pertaining to Lazard Fund Interests and other similar deferred compensation arrangements (included in “compensation and benefits” expense) as reflected on the accompanying condensed consolidated statements of operations for the three month and nine month periods ended September 30, 2013 and 2012,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7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52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(3,377)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w w:val="88"/>
              </w:rPr>
              <w:t>Lazard Fund Interests and other similar deferred compensation arrangements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(7,519)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(4,728)</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(7,767)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Equity and fixed income swaps and other</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(7,471)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(14,096)</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2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(19,349)</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(15,576)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(16,344)</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(19,983)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60" w:type="dxa"/>
            <w:vAlign w:val="bottom"/>
            <w:vMerge w:val="restart"/>
          </w:tcPr>
          <w:p>
            <w:pPr>
              <w:jc w:val="right"/>
              <w:ind w:right="1492"/>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September 30, 2013 and December 31, 2012, property consisted of the following:</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Estimated</w:t>
            </w: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50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Depreciable</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54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502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Life in Years</w:t>
            </w:r>
          </w:p>
        </w:tc>
        <w:tc>
          <w:tcPr>
            <w:tcW w:w="8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1340" w:type="dxa"/>
            <w:vAlign w:val="bottom"/>
            <w:gridSpan w:val="2"/>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r>
      <w:tr>
        <w:trPr>
          <w:trHeight w:val="210"/>
        </w:trPr>
        <w:tc>
          <w:tcPr>
            <w:tcW w:w="5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$170,479</w:t>
            </w:r>
          </w:p>
        </w:tc>
        <w:tc>
          <w:tcPr>
            <w:tcW w:w="5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$166,560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3-20</w:t>
            </w:r>
          </w:p>
        </w:tc>
        <w:tc>
          <w:tcPr>
            <w:tcW w:w="820" w:type="dxa"/>
            <w:vAlign w:val="bottom"/>
          </w:tcPr>
          <w:p>
            <w:pPr>
              <w:jc w:val="right"/>
              <w:spacing w:after="0"/>
              <w:rPr>
                <w:sz w:val="20"/>
                <w:szCs w:val="20"/>
                <w:color w:val="auto"/>
              </w:rPr>
            </w:pPr>
            <w:r>
              <w:rPr>
                <w:rFonts w:ascii="Arial" w:cs="Arial" w:eastAsia="Arial" w:hAnsi="Arial"/>
                <w:sz w:val="18"/>
                <w:szCs w:val="18"/>
                <w:color w:val="auto"/>
              </w:rPr>
              <w:t>173,303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143,408</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146,504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122,125</w:t>
            </w:r>
          </w:p>
        </w:tc>
        <w:tc>
          <w:tcPr>
            <w:tcW w:w="80" w:type="dxa"/>
            <w:vAlign w:val="bottom"/>
            <w:shd w:val="clear" w:color="auto" w:fill="CCEEFF"/>
          </w:tcPr>
          <w:p>
            <w:pPr>
              <w:spacing w:after="0"/>
              <w:rPr>
                <w:sz w:val="18"/>
                <w:szCs w:val="18"/>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4,128</w:t>
            </w:r>
          </w:p>
        </w:tc>
        <w:tc>
          <w:tcPr>
            <w:tcW w:w="5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18,801</w:t>
            </w:r>
          </w:p>
        </w:tc>
        <w:tc>
          <w:tcPr>
            <w:tcW w:w="80" w:type="dxa"/>
            <w:vAlign w:val="bottom"/>
          </w:tcPr>
          <w:p>
            <w:pPr>
              <w:spacing w:after="0"/>
              <w:rPr>
                <w:sz w:val="19"/>
                <w:szCs w:val="19"/>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494,414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450,894</w:t>
            </w:r>
          </w:p>
        </w:tc>
        <w:tc>
          <w:tcPr>
            <w:tcW w:w="80" w:type="dxa"/>
            <w:vAlign w:val="bottom"/>
            <w:shd w:val="clear" w:color="auto" w:fill="CCEEFF"/>
          </w:tcPr>
          <w:p>
            <w:pPr>
              <w:spacing w:after="0"/>
              <w:rPr>
                <w:sz w:val="18"/>
                <w:szCs w:val="18"/>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244,634</w:t>
            </w:r>
          </w:p>
        </w:tc>
        <w:tc>
          <w:tcPr>
            <w:tcW w:w="5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225,861</w:t>
            </w:r>
          </w:p>
        </w:tc>
        <w:tc>
          <w:tcPr>
            <w:tcW w:w="80" w:type="dxa"/>
            <w:vAlign w:val="bottom"/>
          </w:tcPr>
          <w:p>
            <w:pPr>
              <w:spacing w:after="0"/>
              <w:rPr>
                <w:sz w:val="19"/>
                <w:szCs w:val="19"/>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$249,780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$225,033</w:t>
            </w:r>
          </w:p>
        </w:tc>
        <w:tc>
          <w:tcPr>
            <w:tcW w:w="80" w:type="dxa"/>
            <w:vAlign w:val="bottom"/>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September 30, 2013 and December 31, 2012 are presented below:</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7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350,619</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364,328</w:t>
            </w:r>
          </w:p>
        </w:tc>
        <w:tc>
          <w:tcPr>
            <w:tcW w:w="100" w:type="dxa"/>
            <w:vAlign w:val="bottom"/>
            <w:shd w:val="clear" w:color="auto" w:fill="CCEEFF"/>
          </w:tcPr>
          <w:p>
            <w:pPr>
              <w:spacing w:after="0"/>
              <w:rPr>
                <w:sz w:val="18"/>
                <w:szCs w:val="18"/>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25,782</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28,494</w:t>
            </w:r>
          </w:p>
        </w:tc>
        <w:tc>
          <w:tcPr>
            <w:tcW w:w="100" w:type="dxa"/>
            <w:vAlign w:val="bottom"/>
          </w:tcPr>
          <w:p>
            <w:pPr>
              <w:spacing w:after="0"/>
              <w:rPr>
                <w:sz w:val="19"/>
                <w:szCs w:val="19"/>
                <w:color w:val="auto"/>
              </w:rPr>
            </w:pPr>
          </w:p>
        </w:tc>
      </w:tr>
      <w:tr>
        <w:trPr>
          <w:trHeight w:val="216"/>
        </w:trPr>
        <w:tc>
          <w:tcPr>
            <w:tcW w:w="7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376,401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392,822</w:t>
            </w:r>
          </w:p>
        </w:tc>
        <w:tc>
          <w:tcPr>
            <w:tcW w:w="100" w:type="dxa"/>
            <w:vAlign w:val="bottom"/>
            <w:shd w:val="clear" w:color="auto" w:fill="CCEEFF"/>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At September 30, 2013 and December 31, 2012, goodwill of $286,078 and $299,787, respectively, was attributable to the Company’s Financial Advisory segment and, at each such respective date, $64,541 of goodwill was attributable to the Company’s Asset Management segment.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nine month periods ended September 30, 2013 and 2012 are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8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3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$364,328</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$356,657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Business acquisitions</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1,601</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37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(15,310)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color w:val="auto"/>
              </w:rPr>
              <w:t>Balance, September 30</w:t>
            </w:r>
          </w:p>
        </w:tc>
        <w:tc>
          <w:tcPr>
            <w:tcW w:w="3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00" w:type="dxa"/>
            <w:vAlign w:val="bottom"/>
            <w:vMerge w:val="continue"/>
          </w:tcPr>
          <w:p>
            <w:pPr>
              <w:spacing w:after="0"/>
              <w:rPr>
                <w:sz w:val="19"/>
                <w:szCs w:val="19"/>
                <w:color w:val="auto"/>
              </w:rPr>
            </w:pPr>
          </w:p>
        </w:tc>
        <w:tc>
          <w:tcPr>
            <w:tcW w:w="4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350,619</w:t>
            </w:r>
          </w:p>
        </w:tc>
        <w:tc>
          <w:tcPr>
            <w:tcW w:w="3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364,761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760" w:type="dxa"/>
            <w:vAlign w:val="bottom"/>
            <w:vMerge w:val="restart"/>
          </w:tcPr>
          <w:p>
            <w:pPr>
              <w:jc w:val="right"/>
              <w:ind w:right="2592"/>
              <w:spacing w:after="0"/>
              <w:rPr>
                <w:sz w:val="20"/>
                <w:szCs w:val="20"/>
                <w:color w:val="auto"/>
              </w:rPr>
            </w:pPr>
            <w:r>
              <w:rPr>
                <w:rFonts w:ascii="Arial" w:cs="Arial" w:eastAsia="Arial" w:hAnsi="Arial"/>
                <w:sz w:val="18"/>
                <w:szCs w:val="18"/>
                <w:color w:val="auto"/>
              </w:rPr>
              <w:t>20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September 30, 2013 and December 31, 2012,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7"/>
              </w:rPr>
              <w:t>September 30, 2013</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9"/>
              </w:rPr>
              <w:t>December 31, 2012</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480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Carrying</w:t>
            </w:r>
          </w:p>
        </w:tc>
        <w:tc>
          <w:tcPr>
            <w:tcW w:w="26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8"/>
              </w:rPr>
              <w:t>Gross</w:t>
            </w:r>
          </w:p>
        </w:tc>
        <w:tc>
          <w:tcPr>
            <w:tcW w:w="3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480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8"/>
              </w:rPr>
              <w:t>Amortization</w:t>
            </w:r>
          </w:p>
        </w:tc>
        <w:tc>
          <w:tcPr>
            <w:tcW w:w="18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Amount</w:t>
            </w:r>
          </w:p>
        </w:tc>
        <w:tc>
          <w:tcPr>
            <w:tcW w:w="26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Cost</w:t>
            </w:r>
          </w:p>
        </w:tc>
        <w:tc>
          <w:tcPr>
            <w:tcW w:w="340" w:type="dxa"/>
            <w:vAlign w:val="bottom"/>
          </w:tcPr>
          <w:p>
            <w:pPr>
              <w:spacing w:after="0"/>
              <w:rPr>
                <w:sz w:val="14"/>
                <w:szCs w:val="14"/>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8"/>
              </w:rPr>
              <w:t>Amortization</w:t>
            </w:r>
          </w:p>
        </w:tc>
        <w:tc>
          <w:tcPr>
            <w:tcW w:w="1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4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10,726</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$20,014</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$30,740</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$20,062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4800" w:type="dxa"/>
            <w:vAlign w:val="bottom"/>
          </w:tcPr>
          <w:p>
            <w:pPr>
              <w:spacing w:after="0"/>
              <w:rPr>
                <w:sz w:val="20"/>
                <w:szCs w:val="20"/>
                <w:color w:val="auto"/>
              </w:rPr>
            </w:pPr>
            <w:r>
              <w:rPr>
                <w:rFonts w:ascii="Arial" w:cs="Arial" w:eastAsia="Arial" w:hAnsi="Arial"/>
                <w:sz w:val="18"/>
                <w:szCs w:val="18"/>
                <w:color w:val="auto"/>
                <w:w w:val="99"/>
              </w:rPr>
              <w:t>Management fees, customer relationships and non-compete</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800" w:type="dxa"/>
            <w:vAlign w:val="bottom"/>
          </w:tcPr>
          <w:p>
            <w:pPr>
              <w:ind w:left="220"/>
              <w:spacing w:after="0"/>
              <w:rPr>
                <w:sz w:val="20"/>
                <w:szCs w:val="20"/>
                <w:color w:val="auto"/>
              </w:rPr>
            </w:pPr>
            <w:r>
              <w:rPr>
                <w:rFonts w:ascii="Arial" w:cs="Arial" w:eastAsia="Arial" w:hAnsi="Arial"/>
                <w:sz w:val="18"/>
                <w:szCs w:val="18"/>
                <w:color w:val="auto"/>
              </w:rPr>
              <w:t>agreements</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33,081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27,313</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5,768</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33,035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24,603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8,432</w:t>
            </w:r>
          </w:p>
        </w:tc>
        <w:tc>
          <w:tcPr>
            <w:tcW w:w="100" w:type="dxa"/>
            <w:vAlign w:val="bottom"/>
          </w:tcPr>
          <w:p>
            <w:pPr>
              <w:spacing w:after="0"/>
              <w:rPr>
                <w:sz w:val="19"/>
                <w:szCs w:val="19"/>
                <w:color w:val="auto"/>
              </w:rPr>
            </w:pPr>
          </w:p>
        </w:tc>
      </w:tr>
      <w:tr>
        <w:trPr>
          <w:trHeight w:val="28"/>
        </w:trPr>
        <w:tc>
          <w:tcPr>
            <w:tcW w:w="48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63,821</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38,039</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25,782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63,775</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35,281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28,494</w:t>
            </w:r>
          </w:p>
        </w:tc>
        <w:tc>
          <w:tcPr>
            <w:tcW w:w="100" w:type="dxa"/>
            <w:vAlign w:val="bottom"/>
            <w:shd w:val="clear" w:color="auto" w:fill="CCEEFF"/>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Amortization expense of intangible assets for the three month and nine month periods ended September 30, 2013 was $877 and $2,758, respectively, and for the three month and nine month periods ended September 30, 2012 was $2,494 and $6,172, respectively. Estimated future amortization expense is as follows:</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3620" w:type="dxa"/>
            <w:vAlign w:val="bottom"/>
            <w:gridSpan w:val="4"/>
          </w:tcPr>
          <w:p>
            <w:pPr>
              <w:ind w:left="27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740" w:type="dxa"/>
            <w:vAlign w:val="bottom"/>
            <w:gridSpan w:val="4"/>
            <w:vMerge w:val="continue"/>
          </w:tcPr>
          <w:p>
            <w:pPr>
              <w:spacing w:after="0"/>
              <w:rPr>
                <w:sz w:val="12"/>
                <w:szCs w:val="12"/>
                <w:color w:val="auto"/>
              </w:rPr>
            </w:pPr>
          </w:p>
        </w:tc>
        <w:tc>
          <w:tcPr>
            <w:tcW w:w="2740" w:type="dxa"/>
            <w:vAlign w:val="bottom"/>
          </w:tcPr>
          <w:p>
            <w:pPr>
              <w:spacing w:after="0"/>
              <w:rPr>
                <w:sz w:val="12"/>
                <w:szCs w:val="12"/>
                <w:color w:val="auto"/>
              </w:rPr>
            </w:pPr>
          </w:p>
        </w:tc>
        <w:tc>
          <w:tcPr>
            <w:tcW w:w="88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55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2013 (October 1 through December 31)</w:t>
            </w:r>
          </w:p>
        </w:tc>
        <w:tc>
          <w:tcPr>
            <w:tcW w:w="2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2,589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2014</w:t>
            </w:r>
          </w:p>
        </w:tc>
        <w:tc>
          <w:tcPr>
            <w:tcW w:w="7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2016</w:t>
            </w:r>
          </w:p>
        </w:tc>
        <w:tc>
          <w:tcPr>
            <w:tcW w:w="7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29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Approximately 45%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was comprised of the following as of September 30, 2013 and December 31, 2012:</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Initial</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Annual</w:t>
            </w:r>
          </w:p>
        </w:tc>
        <w:tc>
          <w:tcPr>
            <w:tcW w:w="120" w:type="dxa"/>
            <w:vAlign w:val="bottom"/>
          </w:tcPr>
          <w:p>
            <w:pPr>
              <w:spacing w:after="0"/>
              <w:rPr>
                <w:sz w:val="14"/>
                <w:szCs w:val="14"/>
                <w:color w:val="auto"/>
              </w:rPr>
            </w:pPr>
          </w:p>
        </w:tc>
        <w:tc>
          <w:tcPr>
            <w:tcW w:w="2140" w:type="dxa"/>
            <w:vAlign w:val="bottom"/>
            <w:gridSpan w:val="6"/>
          </w:tcPr>
          <w:p>
            <w:pPr>
              <w:ind w:left="420"/>
              <w:spacing w:after="0"/>
              <w:rPr>
                <w:sz w:val="20"/>
                <w:szCs w:val="20"/>
                <w:color w:val="auto"/>
              </w:rPr>
            </w:pPr>
            <w:r>
              <w:rPr>
                <w:rFonts w:ascii="Arial" w:cs="Arial" w:eastAsia="Arial" w:hAnsi="Arial"/>
                <w:sz w:val="14"/>
                <w:szCs w:val="14"/>
                <w:b w:val="1"/>
                <w:bCs w:val="1"/>
                <w:color w:val="auto"/>
              </w:rPr>
              <w:t>Outstanding As Of</w:t>
            </w:r>
          </w:p>
        </w:tc>
      </w:tr>
      <w:tr>
        <w:trPr>
          <w:trHeight w:val="129"/>
        </w:trPr>
        <w:tc>
          <w:tcPr>
            <w:tcW w:w="37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2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7"/>
              </w:rPr>
              <w:t>Principal</w:t>
            </w:r>
          </w:p>
        </w:tc>
        <w:tc>
          <w:tcPr>
            <w:tcW w:w="1520" w:type="dxa"/>
            <w:vAlign w:val="bottom"/>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rPr>
              <w:t>Maturity</w:t>
            </w:r>
          </w:p>
        </w:tc>
        <w:tc>
          <w:tcPr>
            <w:tcW w:w="150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6"/>
              </w:rPr>
              <w:t>Interest</w:t>
            </w:r>
          </w:p>
        </w:tc>
        <w:tc>
          <w:tcPr>
            <w:tcW w:w="8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4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1"/>
                <w:szCs w:val="11"/>
                <w:color w:val="auto"/>
              </w:rPr>
            </w:pPr>
          </w:p>
        </w:tc>
      </w:tr>
      <w:tr>
        <w:trPr>
          <w:trHeight w:val="161"/>
        </w:trPr>
        <w:tc>
          <w:tcPr>
            <w:tcW w:w="378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Date</w:t>
            </w:r>
          </w:p>
        </w:tc>
        <w:tc>
          <w:tcPr>
            <w:tcW w:w="4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Lazard Group 7.125% Senior Notes</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$ 550,000</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5/15/15</w:t>
            </w: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Lazard Group 6.85% Senior Notes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600,000</w:t>
            </w:r>
          </w:p>
        </w:tc>
        <w:tc>
          <w:tcPr>
            <w:tcW w:w="44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6/15/17</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548,350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548,350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9/25/15</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0.76%</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3780" w:type="dxa"/>
            <w:vAlign w:val="bottom"/>
          </w:tcPr>
          <w:p>
            <w:pPr>
              <w:ind w:left="44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1,076,850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1,076,850</w:t>
            </w:r>
          </w:p>
        </w:tc>
      </w:tr>
      <w:tr>
        <w:trPr>
          <w:trHeight w:val="20"/>
        </w:trPr>
        <w:tc>
          <w:tcPr>
            <w:tcW w:w="3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On September 25, 2012, Lazard Group entered into a $150,000, three-year senior revolving credit facility with a group of lenders (the “Credit Facility”), which expires in September 2015. The Credit Facility replaced a similar revolving credit facility which was terminated as a condition to effectiveness of the Credit Facility. Interest rates under the Credit Facility vary and are based on either a Federal Funds rate or a Eurodollar rate, in each case plus an applicable margin. As of September 30, 2013, the annual interest rate for a loan accruing interest (based on the Federal Funds overnight rate), including the applicable margin, was 0.76%. At September 30, 2013 and December 31, 2012, no amounts were outstanding under the Credit Facility.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the supplemental indentures relating to Lazard Group’s senior notes, contain certain covenants, events of default and other customary provisions, including a customary make-whole provision in the event of early redemption, where applicable. As of September 30, 2013, the Company was in compliance with such provisions. All of the Company’s senior debt obligations are unsecured.</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September 30, 2013, the Company had approximately $264,000 in unused lines of credit available to it, including the Credit Facility, and unused lines of credit available to LFB of approximately $54,000 (at September 30, 2013 exchange rates) and Edgewater of $55,000. In addition, LFB has access to the Eurosystem Covered Bond Purchase Program of the Banque de France.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Company’s senior debt at September 30, 2013 and December 31, 2012 is carried at historical amounts. At those dates, the fair value of such senior debt outstanding was approximately $1,197,000 and $1,207,000, respectively, and exceeded the aggregate carrying value by approximately $120,000 and $130,000, respectively. The fair value of the Company’s senior debt was based on market quotations. The Company’s senior debt would be categorized within Level 2 of the hierarchy of fair value measurements if carried at fair value.</w:t>
      </w:r>
    </w:p>
    <w:p>
      <w:pPr>
        <w:spacing w:after="0" w:line="26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such commitments, in accordance with their terms, will not have a material adverse effect on the Company’s consolidated financial position or results of operations.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September 30, 2013, LFB had $4,337 of such indemnifications and held $3,572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43"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b w:val="1"/>
          <w:bCs w:val="1"/>
          <w:i w:val="1"/>
          <w:iCs w:val="1"/>
          <w:color w:val="auto"/>
        </w:rPr>
        <w:t>Certain Business Transactions</w:t>
      </w:r>
      <w:r>
        <w:rPr>
          <w:rFonts w:ascii="Arial" w:cs="Arial" w:eastAsia="Arial" w:hAnsi="Arial"/>
          <w:sz w:val="15"/>
          <w:szCs w:val="15"/>
          <w:color w:val="auto"/>
        </w:rPr>
        <w:t>—On July 15, 2009, the Company established a private equity business with Edgewater. Edgewater manages funds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9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As of September 30, 2013 and December 31, 2012, 1,371,992 and 1,209,154 shares, respectively, have been earned because applicable performance thresholds have been satisfied. Such shares are no longer subject to any contingencies. As of December 31, 2012, 686,004 of such shares have been settled, and no additional shares have been settled as of September 30, 2013.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b w:val="1"/>
          <w:bCs w:val="1"/>
          <w:i w:val="1"/>
          <w:iCs w:val="1"/>
          <w:color w:val="auto"/>
        </w:rPr>
        <w:t>Consideration Relating To Other Business Acquisitions</w:t>
      </w:r>
      <w:r>
        <w:rPr>
          <w:rFonts w:ascii="Arial" w:cs="Arial" w:eastAsia="Arial" w:hAnsi="Arial"/>
          <w:sz w:val="18"/>
          <w:szCs w:val="18"/>
          <w:color w:val="auto"/>
        </w:rPr>
        <w:t>—For a business acquired in 2013, the Company is obligated to issue a maximum of 107,617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Class A common stock if certain performance thresholds are achieved.</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a business acquired in 2012, at December 31, 2012, 170,988 shares of Class A common stock (including dividend equivalent shares) were issuable on a non-contingent basis. Such shares were delivered in the first quarter of 2013. The Company is obligated to issue a maximum of 202,650 additional shares of Class A common stock if certain performance thresholds are achieved.</w:t>
      </w:r>
    </w:p>
    <w:p>
      <w:pPr>
        <w:spacing w:after="0" w:line="14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For a business acquired in 2011, the Company is obligated to pay earnout consideration if certain performance thresholds are achieved. The maximum potential earnout consideration payable by the Company cannot exceed $7,000. Through September 30, 2013, no cash payments relating to the earnout consideration were required.</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have varying expiration dates, are fully collateralized and generally contain requirements for the counterparty to maintain a minimum collateral level. These commitments may not represent future cash requirements as they may expire without being drawn upon. At September 30, 2013, these commitments were not material.</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See Notes 5 and 13 of Notes to Condensed Consolidated Financial Statements for information regarding commitments relating to investment capital funding commitments and obligations to fund our pension plans, respectively.</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 At September 30, 2013, LFB had no such underwriting commitments.</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0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During the nine month periods ended September 30, 2013 and 2012, Lazard Group distributed the following amounts to LAZ-MD Holdings and the subsidiaries of Lazard Ltd (none of which related to tax distributions):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58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580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LAZ-MD Holdings</w:t>
            </w:r>
          </w:p>
        </w:tc>
        <w:tc>
          <w:tcPr>
            <w:tcW w:w="39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100" w:type="dxa"/>
            <w:vAlign w:val="bottom"/>
            <w:shd w:val="clear" w:color="auto" w:fill="CCEEFF"/>
          </w:tcPr>
          <w:p>
            <w:pPr>
              <w:spacing w:after="0"/>
              <w:rPr>
                <w:sz w:val="18"/>
                <w:szCs w:val="18"/>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Subsidiaries of Lazard Ltd</w:t>
            </w:r>
          </w:p>
        </w:tc>
        <w:tc>
          <w:tcPr>
            <w:tcW w:w="3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60,931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66,219</w:t>
            </w:r>
          </w:p>
        </w:tc>
        <w:tc>
          <w:tcPr>
            <w:tcW w:w="100" w:type="dxa"/>
            <w:vAlign w:val="bottom"/>
          </w:tcPr>
          <w:p>
            <w:pPr>
              <w:spacing w:after="0"/>
              <w:rPr>
                <w:sz w:val="19"/>
                <w:szCs w:val="19"/>
                <w:color w:val="auto"/>
              </w:rPr>
            </w:pPr>
          </w:p>
        </w:tc>
      </w:tr>
      <w:tr>
        <w:trPr>
          <w:trHeight w:val="216"/>
        </w:trPr>
        <w:tc>
          <w:tcPr>
            <w:tcW w:w="580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61,496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69,948</w:t>
            </w:r>
          </w:p>
        </w:tc>
        <w:tc>
          <w:tcPr>
            <w:tcW w:w="100" w:type="dxa"/>
            <w:vAlign w:val="bottom"/>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5"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b w:val="1"/>
          <w:bCs w:val="1"/>
          <w:i w:val="1"/>
          <w:iCs w:val="1"/>
          <w:color w:val="auto"/>
        </w:rPr>
        <w:t>Exchanges of Lazard Group Common Membership Interests</w:t>
      </w:r>
      <w:r>
        <w:rPr>
          <w:rFonts w:ascii="Arial" w:cs="Arial" w:eastAsia="Arial" w:hAnsi="Arial"/>
          <w:sz w:val="16"/>
          <w:szCs w:val="16"/>
          <w:color w:val="auto"/>
        </w:rPr>
        <w:t>—During the nine month periods ended September 30, 2013 and 2012, Lazard Ltd issued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839,658 and 191,701 shares of Class A common stock, respectively, in connection with the exchanges of a like number of Lazard Group common membership interests (received from members of LAZ-MD Holdings in exchange for a like number of LAZ-MD Holdings exchangeable interests).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“Noncontrolling Interests” below for additional information regarding Lazard Ltd’s and LAZ-MD Holdings’ ownership interests in Lazard Group.</w:t>
      </w:r>
    </w:p>
    <w:p>
      <w:pPr>
        <w:spacing w:after="0" w:line="19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Share Repurchase Program—</w:t>
      </w:r>
      <w:r>
        <w:rPr>
          <w:rFonts w:ascii="Arial" w:cs="Arial" w:eastAsia="Arial" w:hAnsi="Arial"/>
          <w:sz w:val="16"/>
          <w:szCs w:val="16"/>
          <w:color w:val="auto"/>
        </w:rPr>
        <w:t>In February 2011, October 2011, April 2012 and October 2012 the Board of Directors of Lazard Ltd authorized,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cumulative basis, the repurchase of up to $250,000, $125,000, $125,000 and $200,000, respectively, in aggregate cost of Class A common stock and Lazard Group common membership interests through December 31, 2012, December 31, 2013, December 31, 2013 and December 31, 2014, respectively. The Company’s prior share repurchase authorizations expired on December 31, 2009 and December 31, 2011. The Company expects that the share repurchase program, with respect to the Class A common stock, will continue to be used, among other ways, to offset a portion of the shares that have been or will be issued under the Lazard Ltd 2005 Equity Incentive Plan (the “2005 Plan”) and the Lazard Ltd 2008 Incentive Compensation Plan (the “2008 Plan”). Pursuant to such authorizations, purchases have been made in the open market or through privately negotiated transactions. During the nine month period ended September 30, 2013, the Company made purchases of 2,201,657 Class A common shares, at an aggregate cost of $77,934 (no Lazard Group common membership interests were purchased during such nine month period).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of September 30, 2013, $76,132 of the current share repurchase amount authorized as of such date remained available under the share repurchase program, all of which expires December 31, 2014. In addition, under the terms of the 2005 Plan and the 2008 Plan, upon the vesting of restricted stock units (“RSUs”), performance-based restricted stock units (“PRSUs”) and delivery of restricted Class A common stock, shares of Class A common stock may be withheld by the Company to cover its minimum statutory tax withholding requirements (see Note 12 of Notes to Condensed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October 2013, the Board of Directors of Lazard Ltd authorized the repurchase of up to an additional $100,000 in aggregate cost of Class A common stock and Lazard Group common membership interests through December 31, 2015.</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—Lazard Ltd has 15,000,000 authorized shares of preferred stock, par value $0.01 per share, inclusive of its Series A and Series 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stock. Series A and Series B preferred shares were issued in connection with certain prior year business acquisitions, are each non-participating securities convertible into Class A common stock and have no voting or dividend rights. As of both September 30, 2013 and December 31, 2012, 7,921 shares of Series A preferred stock were outstanding and no shares of Series B preferred stock were outstanding. At September 30, 2013, no shares of Series A preferred stock were convertible into shares of Class A common stock on a contingent or a non-contingent basis.</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Accumulated Other Comprehensive Income (Loss), Net of Tax (“AOCI”)</w:t>
      </w:r>
      <w:r>
        <w:rPr>
          <w:rFonts w:ascii="Arial" w:cs="Arial" w:eastAsia="Arial" w:hAnsi="Arial"/>
          <w:sz w:val="18"/>
          <w:szCs w:val="18"/>
          <w:color w:val="auto"/>
        </w:rPr>
        <w:t>—The table below reflects the components of AOCI at September 30, 2013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activity during the nine month period then ended: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7"/>
              </w:rPr>
              <w:t>Currency</w:t>
            </w:r>
          </w:p>
        </w:tc>
        <w:tc>
          <w:tcPr>
            <w:tcW w:w="180" w:type="dxa"/>
            <w:vAlign w:val="bottom"/>
          </w:tcPr>
          <w:p>
            <w:pPr>
              <w:spacing w:after="0"/>
              <w:rPr>
                <w:sz w:val="12"/>
                <w:szCs w:val="12"/>
                <w:color w:val="auto"/>
              </w:rPr>
            </w:pPr>
          </w:p>
        </w:tc>
        <w:tc>
          <w:tcPr>
            <w:tcW w:w="660" w:type="dxa"/>
            <w:vAlign w:val="bottom"/>
            <w:gridSpan w:val="2"/>
          </w:tcPr>
          <w:p>
            <w:pPr>
              <w:jc w:val="center"/>
              <w:ind w:right="38"/>
              <w:spacing w:after="0" w:line="149" w:lineRule="exact"/>
              <w:rPr>
                <w:sz w:val="20"/>
                <w:szCs w:val="20"/>
                <w:color w:val="auto"/>
              </w:rPr>
            </w:pPr>
            <w:r>
              <w:rPr>
                <w:rFonts w:ascii="Arial" w:cs="Arial" w:eastAsia="Arial" w:hAnsi="Arial"/>
                <w:sz w:val="14"/>
                <w:szCs w:val="14"/>
                <w:b w:val="1"/>
                <w:bCs w:val="1"/>
                <w:color w:val="auto"/>
                <w:w w:val="86"/>
              </w:rPr>
              <w:t>Interest</w:t>
            </w:r>
          </w:p>
        </w:tc>
        <w:tc>
          <w:tcPr>
            <w:tcW w:w="320" w:type="dxa"/>
            <w:vAlign w:val="bottom"/>
          </w:tcPr>
          <w:p>
            <w:pPr>
              <w:spacing w:after="0"/>
              <w:rPr>
                <w:sz w:val="12"/>
                <w:szCs w:val="12"/>
                <w:color w:val="auto"/>
              </w:rPr>
            </w:pPr>
          </w:p>
        </w:tc>
        <w:tc>
          <w:tcPr>
            <w:tcW w:w="1140" w:type="dxa"/>
            <w:vAlign w:val="bottom"/>
            <w:gridSpan w:val="2"/>
          </w:tcPr>
          <w:p>
            <w:pPr>
              <w:jc w:val="center"/>
              <w:ind w:right="355"/>
              <w:spacing w:after="0" w:line="149" w:lineRule="exact"/>
              <w:rPr>
                <w:sz w:val="20"/>
                <w:szCs w:val="20"/>
                <w:color w:val="auto"/>
              </w:rPr>
            </w:pPr>
            <w:r>
              <w:rPr>
                <w:rFonts w:ascii="Arial" w:cs="Arial" w:eastAsia="Arial" w:hAnsi="Arial"/>
                <w:sz w:val="14"/>
                <w:szCs w:val="14"/>
                <w:b w:val="1"/>
                <w:bCs w:val="1"/>
                <w:color w:val="auto"/>
                <w:w w:val="87"/>
              </w:rPr>
              <w:t>Employee</w:t>
            </w: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8"/>
              </w:rPr>
              <w:t>Attributable to</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2"/>
                <w:szCs w:val="12"/>
                <w:color w:val="auto"/>
              </w:rPr>
            </w:pPr>
          </w:p>
        </w:tc>
        <w:tc>
          <w:tcPr>
            <w:tcW w:w="660" w:type="dxa"/>
            <w:vAlign w:val="bottom"/>
            <w:gridSpan w:val="2"/>
          </w:tcPr>
          <w:p>
            <w:pPr>
              <w:jc w:val="center"/>
              <w:ind w:right="58"/>
              <w:spacing w:after="0" w:line="149" w:lineRule="exact"/>
              <w:rPr>
                <w:sz w:val="20"/>
                <w:szCs w:val="20"/>
                <w:color w:val="auto"/>
              </w:rPr>
            </w:pPr>
            <w:r>
              <w:rPr>
                <w:rFonts w:ascii="Arial" w:cs="Arial" w:eastAsia="Arial" w:hAnsi="Arial"/>
                <w:sz w:val="14"/>
                <w:szCs w:val="14"/>
                <w:b w:val="1"/>
                <w:bCs w:val="1"/>
                <w:color w:val="auto"/>
                <w:w w:val="85"/>
              </w:rPr>
              <w:t>Rate</w:t>
            </w:r>
          </w:p>
        </w:tc>
        <w:tc>
          <w:tcPr>
            <w:tcW w:w="320" w:type="dxa"/>
            <w:vAlign w:val="bottom"/>
          </w:tcPr>
          <w:p>
            <w:pPr>
              <w:spacing w:after="0"/>
              <w:rPr>
                <w:sz w:val="12"/>
                <w:szCs w:val="12"/>
                <w:color w:val="auto"/>
              </w:rPr>
            </w:pPr>
          </w:p>
        </w:tc>
        <w:tc>
          <w:tcPr>
            <w:tcW w:w="1140" w:type="dxa"/>
            <w:vAlign w:val="bottom"/>
            <w:gridSpan w:val="2"/>
          </w:tcPr>
          <w:p>
            <w:pPr>
              <w:jc w:val="center"/>
              <w:ind w:right="355"/>
              <w:spacing w:after="0" w:line="149" w:lineRule="exact"/>
              <w:rPr>
                <w:sz w:val="20"/>
                <w:szCs w:val="20"/>
                <w:color w:val="auto"/>
              </w:rPr>
            </w:pPr>
            <w:r>
              <w:rPr>
                <w:rFonts w:ascii="Arial" w:cs="Arial" w:eastAsia="Arial" w:hAnsi="Arial"/>
                <w:sz w:val="14"/>
                <w:szCs w:val="14"/>
                <w:b w:val="1"/>
                <w:bCs w:val="1"/>
                <w:color w:val="auto"/>
                <w:w w:val="88"/>
              </w:rPr>
              <w:t>Benefit</w:t>
            </w:r>
          </w:p>
        </w:tc>
        <w:tc>
          <w:tcPr>
            <w:tcW w:w="1140" w:type="dxa"/>
            <w:vAlign w:val="bottom"/>
            <w:gridSpan w:val="2"/>
          </w:tcPr>
          <w:p>
            <w:pPr>
              <w:jc w:val="right"/>
              <w:ind w:right="538"/>
              <w:spacing w:after="0" w:line="149" w:lineRule="exact"/>
              <w:rPr>
                <w:sz w:val="20"/>
                <w:szCs w:val="20"/>
                <w:color w:val="auto"/>
              </w:rPr>
            </w:pPr>
            <w:r>
              <w:rPr>
                <w:rFonts w:ascii="Arial" w:cs="Arial" w:eastAsia="Arial" w:hAnsi="Arial"/>
                <w:sz w:val="14"/>
                <w:szCs w:val="14"/>
                <w:b w:val="1"/>
                <w:bCs w:val="1"/>
                <w:color w:val="auto"/>
              </w:rPr>
              <w:t>Total</w:t>
            </w:r>
          </w:p>
        </w:tc>
        <w:tc>
          <w:tcPr>
            <w:tcW w:w="9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4"/>
              </w:rPr>
              <w:t>Noncontrolling</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Lazard Ltd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4"/>
                <w:szCs w:val="14"/>
                <w:color w:val="auto"/>
              </w:rPr>
            </w:pPr>
          </w:p>
        </w:tc>
        <w:tc>
          <w:tcPr>
            <w:tcW w:w="660" w:type="dxa"/>
            <w:vAlign w:val="bottom"/>
            <w:gridSpan w:val="2"/>
          </w:tcPr>
          <w:p>
            <w:pPr>
              <w:jc w:val="center"/>
              <w:ind w:right="38"/>
              <w:spacing w:after="0"/>
              <w:rPr>
                <w:sz w:val="20"/>
                <w:szCs w:val="20"/>
                <w:color w:val="auto"/>
              </w:rPr>
            </w:pPr>
            <w:r>
              <w:rPr>
                <w:rFonts w:ascii="Arial" w:cs="Arial" w:eastAsia="Arial" w:hAnsi="Arial"/>
                <w:sz w:val="14"/>
                <w:szCs w:val="14"/>
                <w:b w:val="1"/>
                <w:bCs w:val="1"/>
                <w:color w:val="auto"/>
                <w:w w:val="84"/>
              </w:rPr>
              <w:t>Hedge</w:t>
            </w:r>
          </w:p>
        </w:tc>
        <w:tc>
          <w:tcPr>
            <w:tcW w:w="320" w:type="dxa"/>
            <w:vAlign w:val="bottom"/>
          </w:tcPr>
          <w:p>
            <w:pPr>
              <w:spacing w:after="0"/>
              <w:rPr>
                <w:sz w:val="14"/>
                <w:szCs w:val="14"/>
                <w:color w:val="auto"/>
              </w:rPr>
            </w:pPr>
          </w:p>
        </w:tc>
        <w:tc>
          <w:tcPr>
            <w:tcW w:w="1140" w:type="dxa"/>
            <w:vAlign w:val="bottom"/>
            <w:gridSpan w:val="2"/>
          </w:tcPr>
          <w:p>
            <w:pPr>
              <w:jc w:val="center"/>
              <w:ind w:right="335"/>
              <w:spacing w:after="0"/>
              <w:rPr>
                <w:sz w:val="20"/>
                <w:szCs w:val="20"/>
                <w:color w:val="auto"/>
              </w:rPr>
            </w:pPr>
            <w:r>
              <w:rPr>
                <w:rFonts w:ascii="Arial" w:cs="Arial" w:eastAsia="Arial" w:hAnsi="Arial"/>
                <w:sz w:val="14"/>
                <w:szCs w:val="14"/>
                <w:b w:val="1"/>
                <w:bCs w:val="1"/>
                <w:color w:val="auto"/>
                <w:w w:val="85"/>
              </w:rPr>
              <w:t>Plans</w:t>
            </w:r>
          </w:p>
        </w:tc>
        <w:tc>
          <w:tcPr>
            <w:tcW w:w="1140" w:type="dxa"/>
            <w:vAlign w:val="bottom"/>
            <w:gridSpan w:val="2"/>
          </w:tcPr>
          <w:p>
            <w:pPr>
              <w:jc w:val="right"/>
              <w:ind w:right="518"/>
              <w:spacing w:after="0"/>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2"/>
              </w:rPr>
              <w:t>Interests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(2,502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(128,536</w:t>
            </w:r>
          </w:p>
        </w:tc>
        <w:tc>
          <w:tcPr>
            <w:tcW w:w="420" w:type="dxa"/>
            <w:vAlign w:val="bottom"/>
            <w:tcBorders>
              <w:top w:val="single" w:sz="8" w:color="CCEEFF"/>
              <w:left w:val="single" w:sz="8" w:color="CCEEFF"/>
            </w:tcBorders>
            <w:shd w:val="clear" w:color="auto" w:fill="CCEEFF"/>
          </w:tcPr>
          <w:p>
            <w:pPr>
              <w:jc w:val="right"/>
              <w:ind w:right="275"/>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 (111,633</w:t>
            </w:r>
          </w:p>
        </w:tc>
        <w:tc>
          <w:tcPr>
            <w:tcW w:w="420" w:type="dxa"/>
            <w:vAlign w:val="bottom"/>
            <w:tcBorders>
              <w:top w:val="single" w:sz="8" w:color="CCEEFF"/>
            </w:tcBorders>
            <w:shd w:val="clear" w:color="auto" w:fill="CCEEFF"/>
          </w:tcPr>
          <w:p>
            <w:pPr>
              <w:jc w:val="right"/>
              <w:ind w:right="278"/>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(110,541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4640" w:type="dxa"/>
            <w:vAlign w:val="bottom"/>
            <w:gridSpan w:val="3"/>
          </w:tcPr>
          <w:p>
            <w:pPr>
              <w:spacing w:after="0"/>
              <w:rPr>
                <w:sz w:val="20"/>
                <w:szCs w:val="20"/>
                <w:color w:val="auto"/>
              </w:rPr>
            </w:pPr>
            <w:r>
              <w:rPr>
                <w:rFonts w:ascii="Arial" w:cs="Arial" w:eastAsia="Arial" w:hAnsi="Arial"/>
                <w:sz w:val="18"/>
                <w:szCs w:val="18"/>
                <w:color w:val="auto"/>
              </w:rPr>
              <w:t>Activity January 1 to September 30, 2013: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Other comprehensive gain (loss) before reclassifications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(18,610)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75"/>
              <w:spacing w:after="0"/>
              <w:rPr>
                <w:sz w:val="20"/>
                <w:szCs w:val="20"/>
                <w:color w:val="auto"/>
              </w:rPr>
            </w:pPr>
            <w:r>
              <w:rPr>
                <w:rFonts w:ascii="Arial" w:cs="Arial" w:eastAsia="Arial" w:hAnsi="Arial"/>
                <w:sz w:val="18"/>
                <w:szCs w:val="18"/>
                <w:color w:val="auto"/>
              </w:rPr>
              <w:t>(2,669)</w:t>
            </w:r>
          </w:p>
        </w:tc>
        <w:tc>
          <w:tcPr>
            <w:tcW w:w="114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(21,279)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(21,730)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w w:val="93"/>
              </w:rPr>
              <w:t>Adjustments for items reclassified to earnings, net of tax</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38"/>
              <w:spacing w:after="0"/>
              <w:rPr>
                <w:sz w:val="20"/>
                <w:szCs w:val="20"/>
                <w:color w:val="auto"/>
              </w:rPr>
            </w:pPr>
            <w:r>
              <w:rPr>
                <w:rFonts w:ascii="Arial" w:cs="Arial" w:eastAsia="Arial" w:hAnsi="Arial"/>
                <w:sz w:val="18"/>
                <w:szCs w:val="18"/>
                <w:color w:val="auto"/>
              </w:rPr>
              <w:t>791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3,653</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3"/>
          </w:tcPr>
          <w:p>
            <w:pPr>
              <w:jc w:val="right"/>
              <w:ind w:right="18"/>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other comprehensive</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income (loss)</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(18,610)</w:t>
            </w:r>
          </w:p>
        </w:tc>
        <w:tc>
          <w:tcPr>
            <w:tcW w:w="84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791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420" w:type="dxa"/>
            <w:vAlign w:val="bottom"/>
            <w:tcBorders>
              <w:left w:val="single" w:sz="8" w:color="CCEEFF"/>
            </w:tcBorders>
            <w:shd w:val="clear" w:color="auto" w:fill="CCEEFF"/>
          </w:tcPr>
          <w:p>
            <w:pPr>
              <w:spacing w:after="0"/>
              <w:rPr>
                <w:sz w:val="19"/>
                <w:szCs w:val="19"/>
                <w:color w:val="auto"/>
              </w:rPr>
            </w:pPr>
          </w:p>
        </w:tc>
        <w:tc>
          <w:tcPr>
            <w:tcW w:w="114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(16,835)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(17,311)</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color w:val="auto"/>
              </w:rPr>
              <w:t>Balance, September 30, 2013</w:t>
            </w: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40" w:type="dxa"/>
            <w:vAlign w:val="bottom"/>
            <w:gridSpan w:val="3"/>
            <w:vMerge w:val="continue"/>
          </w:tcPr>
          <w:p>
            <w:pPr>
              <w:spacing w:after="0"/>
              <w:rPr>
                <w:sz w:val="19"/>
                <w:szCs w:val="19"/>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795</w:t>
            </w:r>
          </w:p>
        </w:tc>
        <w:tc>
          <w:tcPr>
            <w:tcW w:w="24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(1,711)</w:t>
            </w:r>
          </w:p>
        </w:tc>
        <w:tc>
          <w:tcPr>
            <w:tcW w:w="1460" w:type="dxa"/>
            <w:vAlign w:val="bottom"/>
            <w:gridSpan w:val="3"/>
          </w:tcPr>
          <w:p>
            <w:pPr>
              <w:jc w:val="right"/>
              <w:ind w:right="275"/>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(127,552)</w:t>
            </w:r>
          </w:p>
        </w:tc>
        <w:tc>
          <w:tcPr>
            <w:tcW w:w="1140" w:type="dxa"/>
            <w:vAlign w:val="bottom"/>
            <w:gridSpan w:val="2"/>
          </w:tcPr>
          <w:p>
            <w:pPr>
              <w:jc w:val="right"/>
              <w:ind w:right="278"/>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(128,468)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(127,852)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11400" w:type="dxa"/>
            <w:vAlign w:val="bottom"/>
            <w:gridSpan w:val="23"/>
          </w:tcPr>
          <w:p>
            <w:pPr>
              <w:jc w:val="right"/>
              <w:ind w:right="98"/>
              <w:spacing w:after="0"/>
              <w:rPr>
                <w:sz w:val="20"/>
                <w:szCs w:val="20"/>
                <w:color w:val="auto"/>
              </w:rPr>
            </w:pPr>
            <w:r>
              <w:rPr>
                <w:rFonts w:ascii="Arial" w:cs="Arial" w:eastAsia="Arial" w:hAnsi="Arial"/>
                <w:sz w:val="18"/>
                <w:szCs w:val="18"/>
                <w:color w:val="auto"/>
                <w:w w:val="92"/>
              </w:rPr>
              <w:t>The table below reflects adjustments for items reclassified out of AOCI, by component, for the three month and nine month periods ended September 30,</w:t>
            </w:r>
          </w:p>
        </w:tc>
        <w:tc>
          <w:tcPr>
            <w:tcW w:w="0" w:type="dxa"/>
            <w:vAlign w:val="bottom"/>
          </w:tcPr>
          <w:p>
            <w:pPr>
              <w:spacing w:after="0"/>
              <w:rPr>
                <w:sz w:val="1"/>
                <w:szCs w:val="1"/>
                <w:color w:val="auto"/>
              </w:rPr>
            </w:pPr>
          </w:p>
        </w:tc>
      </w:tr>
      <w:tr>
        <w:trPr>
          <w:trHeight w:val="222"/>
        </w:trPr>
        <w:tc>
          <w:tcPr>
            <w:tcW w:w="1160" w:type="dxa"/>
            <w:vAlign w:val="bottom"/>
            <w:gridSpan w:val="2"/>
          </w:tcPr>
          <w:p>
            <w:pPr>
              <w:spacing w:after="0"/>
              <w:rPr>
                <w:sz w:val="20"/>
                <w:szCs w:val="20"/>
                <w:color w:val="auto"/>
              </w:rPr>
            </w:pPr>
            <w:r>
              <w:rPr>
                <w:rFonts w:ascii="Arial" w:cs="Arial" w:eastAsia="Arial" w:hAnsi="Arial"/>
                <w:sz w:val="18"/>
                <w:szCs w:val="18"/>
                <w:color w:val="auto"/>
              </w:rPr>
              <w:t>2013:</w:t>
            </w:r>
          </w:p>
        </w:tc>
        <w:tc>
          <w:tcPr>
            <w:tcW w:w="3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gridSpan w:val="4"/>
          </w:tcPr>
          <w:p>
            <w:pPr>
              <w:jc w:val="center"/>
              <w:ind w:right="275"/>
              <w:spacing w:after="0"/>
              <w:rPr>
                <w:sz w:val="20"/>
                <w:szCs w:val="20"/>
                <w:color w:val="auto"/>
              </w:rPr>
            </w:pPr>
            <w:r>
              <w:rPr>
                <w:rFonts w:ascii="Arial" w:cs="Arial" w:eastAsia="Arial" w:hAnsi="Arial"/>
                <w:sz w:val="14"/>
                <w:szCs w:val="14"/>
                <w:b w:val="1"/>
                <w:bCs w:val="1"/>
                <w:color w:val="auto"/>
                <w:w w:val="86"/>
              </w:rPr>
              <w:t>Three Months Ended</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w w:val="88"/>
              </w:rPr>
              <w:t>Nine Months Ended</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right="415"/>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34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
              <w:spacing w:after="0"/>
              <w:rPr>
                <w:sz w:val="20"/>
                <w:szCs w:val="20"/>
                <w:color w:val="auto"/>
              </w:rPr>
            </w:pPr>
            <w:r>
              <w:rPr>
                <w:rFonts w:ascii="Arial" w:cs="Arial" w:eastAsia="Arial" w:hAnsi="Arial"/>
                <w:sz w:val="14"/>
                <w:szCs w:val="14"/>
                <w:b w:val="1"/>
                <w:bCs w:val="1"/>
                <w:color w:val="auto"/>
                <w:w w:val="89"/>
              </w:rPr>
              <w:t>2013</w:t>
            </w:r>
          </w:p>
        </w:tc>
        <w:tc>
          <w:tcPr>
            <w:tcW w:w="4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of interest rate hedge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20" w:type="dxa"/>
            <w:vAlign w:val="bottom"/>
            <w:tcBorders>
              <w:left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(a)</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791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1"/>
        </w:trPr>
        <w:tc>
          <w:tcPr>
            <w:tcW w:w="4640" w:type="dxa"/>
            <w:vAlign w:val="bottom"/>
            <w:gridSpan w:val="3"/>
          </w:tcPr>
          <w:p>
            <w:pPr>
              <w:spacing w:after="0"/>
              <w:rPr>
                <w:sz w:val="20"/>
                <w:szCs w:val="20"/>
                <w:color w:val="auto"/>
              </w:rPr>
            </w:pPr>
            <w:r>
              <w:rPr>
                <w:rFonts w:ascii="Arial" w:cs="Arial" w:eastAsia="Arial" w:hAnsi="Arial"/>
                <w:sz w:val="18"/>
                <w:szCs w:val="18"/>
                <w:color w:val="auto"/>
              </w:rPr>
              <w:t>Amortization relating to employee benefit plans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35"/>
              <w:spacing w:after="0"/>
              <w:rPr>
                <w:sz w:val="20"/>
                <w:szCs w:val="20"/>
                <w:color w:val="auto"/>
              </w:rPr>
            </w:pPr>
            <w:r>
              <w:rPr>
                <w:rFonts w:ascii="Arial" w:cs="Arial" w:eastAsia="Arial" w:hAnsi="Arial"/>
                <w:sz w:val="18"/>
                <w:szCs w:val="18"/>
                <w:color w:val="auto"/>
              </w:rPr>
              <w:t>1,627 (b)</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4,859</w:t>
            </w:r>
          </w:p>
        </w:tc>
        <w:tc>
          <w:tcPr>
            <w:tcW w:w="20" w:type="dxa"/>
            <w:vAlign w:val="bottom"/>
          </w:tcPr>
          <w:p>
            <w:pPr>
              <w:spacing w:after="0"/>
              <w:rPr>
                <w:sz w:val="19"/>
                <w:szCs w:val="19"/>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related income taxes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420" w:type="dxa"/>
            <w:vAlign w:val="bottom"/>
            <w:tcBorders>
              <w:lef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1,206</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color w:val="auto"/>
              </w:rPr>
              <w:t>Net of tax</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4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1,223</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3,653</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net of tax</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420" w:type="dxa"/>
            <w:vAlign w:val="bottom"/>
            <w:tcBorders>
              <w:lef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4,444</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“interest expense” on the condensed consolidated statements of operations.</w:t>
      </w:r>
    </w:p>
    <w:p>
      <w:pPr>
        <w:spacing w:after="0" w:line="15"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of Notes to Condensed Consolidated Financial Statements). Such amount is included in “compensation and benefits” expense on the condensed consolidated statement of operations.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(i) Lazard Group by LAZ-MD Holdings and (ii) Edgewater’s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vehicles that the Company is deemed to control, but does not own.</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tables summarize the changes in ownership interests in Lazard Group held by Lazard Ltd and LAZ-MD Holdings during the nine month periods ended September 30, 2013 and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540" w:type="dxa"/>
            <w:vAlign w:val="bottom"/>
            <w:gridSpan w:val="5"/>
            <w:vMerge w:val="restart"/>
          </w:tcPr>
          <w:p>
            <w:pPr>
              <w:jc w:val="right"/>
              <w:ind w:right="1260"/>
              <w:spacing w:after="0"/>
              <w:rPr>
                <w:sz w:val="20"/>
                <w:szCs w:val="20"/>
                <w:color w:val="auto"/>
              </w:rPr>
            </w:pPr>
            <w:r>
              <w:rPr>
                <w:rFonts w:ascii="Arial" w:cs="Arial" w:eastAsia="Arial" w:hAnsi="Arial"/>
                <w:sz w:val="14"/>
                <w:szCs w:val="14"/>
                <w:b w:val="1"/>
                <w:bCs w:val="1"/>
                <w:color w:val="auto"/>
              </w:rPr>
              <w:t>Lazard Ltd</w:t>
            </w:r>
          </w:p>
        </w:tc>
        <w:tc>
          <w:tcPr>
            <w:tcW w:w="220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LAZ-MD Holdings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5640" w:type="dxa"/>
            <w:vAlign w:val="bottom"/>
          </w:tcPr>
          <w:p>
            <w:pPr>
              <w:spacing w:after="0"/>
              <w:rPr>
                <w:sz w:val="6"/>
                <w:szCs w:val="6"/>
                <w:color w:val="auto"/>
              </w:rPr>
            </w:pPr>
          </w:p>
        </w:tc>
        <w:tc>
          <w:tcPr>
            <w:tcW w:w="2540" w:type="dxa"/>
            <w:vAlign w:val="bottom"/>
            <w:gridSpan w:val="5"/>
            <w:vMerge w:val="continue"/>
          </w:tcPr>
          <w:p>
            <w:pPr>
              <w:spacing w:after="0"/>
              <w:rPr>
                <w:sz w:val="6"/>
                <w:szCs w:val="6"/>
                <w:color w:val="auto"/>
              </w:rPr>
            </w:pPr>
          </w:p>
        </w:tc>
        <w:tc>
          <w:tcPr>
            <w:tcW w:w="2200" w:type="dxa"/>
            <w:vAlign w:val="bottom"/>
            <w:gridSpan w:val="4"/>
            <w:vMerge w:val="continue"/>
          </w:tcPr>
          <w:p>
            <w:pPr>
              <w:spacing w:after="0"/>
              <w:rPr>
                <w:sz w:val="6"/>
                <w:szCs w:val="6"/>
                <w:color w:val="auto"/>
              </w:rPr>
            </w:pPr>
          </w:p>
        </w:tc>
        <w:tc>
          <w:tcPr>
            <w:tcW w:w="10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Lazard</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4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Group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Common</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Membership</w:t>
            </w:r>
          </w:p>
        </w:tc>
        <w:tc>
          <w:tcPr>
            <w:tcW w:w="940" w:type="dxa"/>
            <w:vAlign w:val="bottom"/>
            <w:gridSpan w:val="2"/>
          </w:tcPr>
          <w:p>
            <w:pPr>
              <w:jc w:val="right"/>
              <w:ind w:right="182"/>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Membership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Interests</w:t>
            </w:r>
          </w:p>
        </w:tc>
        <w:tc>
          <w:tcPr>
            <w:tcW w:w="280" w:type="dxa"/>
            <w:vAlign w:val="bottom"/>
          </w:tcPr>
          <w:p>
            <w:pPr>
              <w:spacing w:after="0"/>
              <w:rPr>
                <w:sz w:val="14"/>
                <w:szCs w:val="1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8"/>
              </w:rPr>
              <w:t>Ownership</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Interests</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Ownership</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123,009,311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6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6,756,779</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5.2%</w:t>
            </w: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129,766,090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Activity January 1, 2012 to September 30, 2012:</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membership interest activity in connection with:</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Exchanges for Class A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191,701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(191,701)</w:t>
            </w: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123,201,012</w:t>
            </w:r>
          </w:p>
        </w:tc>
        <w:tc>
          <w:tcPr>
            <w:tcW w:w="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94.9%</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6,565,078</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5.1%</w:t>
            </w:r>
          </w:p>
        </w:tc>
        <w:tc>
          <w:tcPr>
            <w:tcW w:w="44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129,766,090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660" w:type="dxa"/>
            <w:vAlign w:val="bottom"/>
            <w:gridSpan w:val="2"/>
          </w:tcPr>
          <w:p>
            <w:pPr>
              <w:spacing w:after="0"/>
              <w:rPr>
                <w:sz w:val="20"/>
                <w:szCs w:val="20"/>
                <w:color w:val="auto"/>
              </w:rPr>
            </w:pPr>
            <w:r>
              <w:rPr>
                <w:rFonts w:ascii="Arial" w:cs="Arial" w:eastAsia="Arial" w:hAnsi="Arial"/>
                <w:sz w:val="18"/>
                <w:szCs w:val="18"/>
                <w:color w:val="auto"/>
              </w:rPr>
              <w:t>Balance, January 1, 2013</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128,216,423</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98.8%</w:t>
            </w:r>
          </w:p>
        </w:tc>
        <w:tc>
          <w:tcPr>
            <w:tcW w:w="900" w:type="dxa"/>
            <w:vAlign w:val="bottom"/>
          </w:tcPr>
          <w:p>
            <w:pPr>
              <w:jc w:val="right"/>
              <w:spacing w:after="0"/>
              <w:rPr>
                <w:sz w:val="20"/>
                <w:szCs w:val="20"/>
                <w:color w:val="auto"/>
              </w:rPr>
            </w:pPr>
            <w:r>
              <w:rPr>
                <w:rFonts w:ascii="Arial" w:cs="Arial" w:eastAsia="Arial" w:hAnsi="Arial"/>
                <w:sz w:val="18"/>
                <w:szCs w:val="18"/>
                <w:color w:val="auto"/>
              </w:rPr>
              <w:t>1,549,667</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129,766,090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Activity January 1, 2013 to September 30, 2013:</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Common membership interest activity in connection with:</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Exchanges for Class A common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839,658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(839,658)</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Balance, September 30, 2013</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129,056,081</w:t>
            </w:r>
          </w:p>
        </w:tc>
        <w:tc>
          <w:tcPr>
            <w:tcW w:w="20" w:type="dxa"/>
            <w:vAlign w:val="bottom"/>
            <w:tcBorders>
              <w:bottom w:val="single" w:sz="8" w:color="auto"/>
            </w:tcBorders>
          </w:tcPr>
          <w:p>
            <w:pPr>
              <w:spacing w:after="0"/>
              <w:rPr>
                <w:sz w:val="19"/>
                <w:szCs w:val="19"/>
                <w:color w:val="auto"/>
              </w:rPr>
            </w:pP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99.5%</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710,009</w:t>
            </w:r>
          </w:p>
        </w:tc>
        <w:tc>
          <w:tcPr>
            <w:tcW w:w="22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4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129,766,090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change in Lazard Ltd’s ownership in Lazard Group in the nine month periods ended September 30, 2013 and 2012 did not materially impact Lazard Ltd’s stockholders’ equity.</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nine month periods ended September 30, 2013 and 2012 and noncontrolling interests as of September 30, 2013 and December 31, 2012 in the Company’s condensed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2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rPr>
              <w:t>Net Income (Loss) Attributable To</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w w:val="90"/>
              </w:rPr>
              <w:t>Noncontrolling Interests</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60" w:type="dxa"/>
            <w:vAlign w:val="bottom"/>
            <w:gridSpan w:val="5"/>
          </w:tcPr>
          <w:p>
            <w:pPr>
              <w:ind w:left="280"/>
              <w:spacing w:after="0" w:line="129" w:lineRule="exact"/>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1"/>
                <w:szCs w:val="11"/>
                <w:color w:val="auto"/>
              </w:rPr>
            </w:pPr>
          </w:p>
        </w:tc>
        <w:tc>
          <w:tcPr>
            <w:tcW w:w="1820" w:type="dxa"/>
            <w:vAlign w:val="bottom"/>
            <w:gridSpan w:val="5"/>
          </w:tcPr>
          <w:p>
            <w:pPr>
              <w:jc w:val="right"/>
              <w:ind w:right="316"/>
              <w:spacing w:after="0" w:line="129" w:lineRule="exact"/>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w w:val="85"/>
              </w:rPr>
              <w:t>September 30,</w:t>
            </w:r>
          </w:p>
        </w:tc>
        <w:tc>
          <w:tcPr>
            <w:tcW w:w="5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Borders>
              <w:bottom w:val="single" w:sz="8" w:color="CCEEFF"/>
            </w:tcBorders>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89"/>
              </w:rPr>
              <w:t>2013</w:t>
            </w:r>
          </w:p>
        </w:tc>
        <w:tc>
          <w:tcPr>
            <w:tcW w:w="8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2012</w:t>
            </w:r>
          </w:p>
        </w:tc>
        <w:tc>
          <w:tcPr>
            <w:tcW w:w="4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89"/>
              </w:rPr>
              <w:t>2013</w:t>
            </w:r>
          </w:p>
        </w:tc>
        <w:tc>
          <w:tcPr>
            <w:tcW w:w="4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(1,704)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LAZ-MD Holdings</w:t>
            </w: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365</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1,937</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862</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00" w:type="dxa"/>
            <w:vAlign w:val="bottom"/>
            <w:vMerge w:val="continue"/>
          </w:tcPr>
          <w:p>
            <w:pPr>
              <w:spacing w:after="0"/>
              <w:rPr>
                <w:sz w:val="19"/>
                <w:szCs w:val="19"/>
                <w:color w:val="auto"/>
              </w:rPr>
            </w:pPr>
          </w:p>
        </w:tc>
        <w:tc>
          <w:tcPr>
            <w:tcW w:w="33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2,466</w:t>
            </w:r>
          </w:p>
        </w:tc>
        <w:tc>
          <w:tcPr>
            <w:tcW w:w="8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372</w:t>
            </w:r>
          </w:p>
        </w:tc>
        <w:tc>
          <w:tcPr>
            <w:tcW w:w="4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5,323</w:t>
            </w:r>
          </w:p>
        </w:tc>
        <w:tc>
          <w:tcPr>
            <w:tcW w:w="4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360" w:type="dxa"/>
            <w:vAlign w:val="bottom"/>
            <w:vMerge w:val="restart"/>
          </w:tcPr>
          <w:p>
            <w:pPr>
              <w:jc w:val="right"/>
              <w:ind w:right="972"/>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6"/>
          </w:tcPr>
          <w:p>
            <w:pPr>
              <w:ind w:left="340"/>
              <w:spacing w:after="0"/>
              <w:rPr>
                <w:sz w:val="20"/>
                <w:szCs w:val="20"/>
                <w:color w:val="auto"/>
              </w:rPr>
            </w:pPr>
            <w:r>
              <w:rPr>
                <w:rFonts w:ascii="Arial" w:cs="Arial" w:eastAsia="Arial" w:hAnsi="Arial"/>
                <w:sz w:val="14"/>
                <w:szCs w:val="14"/>
                <w:b w:val="1"/>
                <w:bCs w:val="1"/>
                <w:color w:val="auto"/>
              </w:rPr>
              <w:t>Noncontrolling Interests As Of</w:t>
            </w:r>
          </w:p>
        </w:tc>
      </w:tr>
      <w:tr>
        <w:trPr>
          <w:trHeight w:val="129"/>
        </w:trPr>
        <w:tc>
          <w:tcPr>
            <w:tcW w:w="8520" w:type="dxa"/>
            <w:vAlign w:val="bottom"/>
          </w:tcPr>
          <w:p>
            <w:pPr>
              <w:spacing w:after="0"/>
              <w:rPr>
                <w:sz w:val="11"/>
                <w:szCs w:val="11"/>
                <w:color w:val="auto"/>
              </w:rPr>
            </w:pPr>
          </w:p>
        </w:tc>
        <w:tc>
          <w:tcPr>
            <w:tcW w:w="8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75"/>
        </w:trPr>
        <w:tc>
          <w:tcPr>
            <w:tcW w:w="85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210"/>
        </w:trPr>
        <w:tc>
          <w:tcPr>
            <w:tcW w:w="8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71,075</w:t>
            </w: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75,262</w:t>
            </w:r>
          </w:p>
        </w:tc>
        <w:tc>
          <w:tcPr>
            <w:tcW w:w="10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LAZ-MD Holdings</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2,629</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8"/>
                <w:szCs w:val="18"/>
                <w:color w:val="auto"/>
              </w:rPr>
            </w:pPr>
          </w:p>
        </w:tc>
      </w:tr>
      <w:tr>
        <w:trPr>
          <w:trHeight w:val="222"/>
        </w:trPr>
        <w:tc>
          <w:tcPr>
            <w:tcW w:w="852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74,287</w:t>
            </w:r>
          </w:p>
        </w:tc>
        <w:tc>
          <w:tcPr>
            <w:tcW w:w="13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81,884</w:t>
            </w:r>
          </w:p>
        </w:tc>
        <w:tc>
          <w:tcPr>
            <w:tcW w:w="10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b w:val="1"/>
          <w:bCs w:val="1"/>
          <w:i w:val="1"/>
          <w:iCs w:val="1"/>
          <w:color w:val="auto"/>
        </w:rPr>
        <w:t>Dividend Declared, October 2013</w:t>
      </w:r>
      <w:r>
        <w:rPr>
          <w:rFonts w:ascii="Arial" w:cs="Arial" w:eastAsia="Arial" w:hAnsi="Arial"/>
          <w:sz w:val="18"/>
          <w:szCs w:val="18"/>
          <w:color w:val="auto"/>
        </w:rPr>
        <w:t>—On October 23, 2013, the Board of Directors of Lazard Ltd declared a quarterly dividend of $0.25 per share on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common stock, payable on November 22, 2013, to stockholders of record on November 4, 2013.</w:t>
      </w:r>
    </w:p>
    <w:p>
      <w:pPr>
        <w:spacing w:after="0" w:line="25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nine month periods ended September 30, 2013 and 2012,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RSUs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PRSUs and restricted stock awards) and “professional services” expense (with respect to deferred stock units (“DSUs”)) within the Company’s accompanying condensed consolidated statements of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0"/>
              </w:rPr>
              <w:t>Three Months Ended</w:t>
            </w:r>
          </w:p>
        </w:tc>
        <w:tc>
          <w:tcPr>
            <w:tcW w:w="18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5"/>
              </w:rPr>
              <w:t>September 30,</w:t>
            </w:r>
          </w:p>
        </w:tc>
        <w:tc>
          <w:tcPr>
            <w:tcW w:w="18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2013</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68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36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RSUs (a)</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$46,095</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$65,952</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$163,184</w:t>
            </w:r>
          </w:p>
        </w:tc>
        <w:tc>
          <w:tcPr>
            <w:tcW w:w="660" w:type="dxa"/>
            <w:vAlign w:val="bottom"/>
          </w:tcPr>
          <w:p>
            <w:pPr>
              <w:jc w:val="right"/>
              <w:spacing w:after="0"/>
              <w:rPr>
                <w:sz w:val="20"/>
                <w:szCs w:val="20"/>
                <w:color w:val="auto"/>
              </w:rPr>
            </w:pPr>
            <w:r>
              <w:rPr>
                <w:rFonts w:ascii="Arial" w:cs="Arial" w:eastAsia="Arial" w:hAnsi="Arial"/>
                <w:sz w:val="18"/>
                <w:szCs w:val="18"/>
                <w:color w:val="auto"/>
                <w:w w:val="79"/>
              </w:rPr>
              <w:t>$ 211,271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PRSUs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8,900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Restricted stock (b)</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2,627</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1,659</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9,712</w:t>
            </w:r>
          </w:p>
        </w:tc>
        <w:tc>
          <w:tcPr>
            <w:tcW w:w="660" w:type="dxa"/>
            <w:vAlign w:val="bottom"/>
          </w:tcPr>
          <w:p>
            <w:pPr>
              <w:jc w:val="right"/>
              <w:spacing w:after="0"/>
              <w:rPr>
                <w:sz w:val="20"/>
                <w:szCs w:val="20"/>
                <w:color w:val="auto"/>
              </w:rPr>
            </w:pPr>
            <w:r>
              <w:rPr>
                <w:rFonts w:ascii="Arial" w:cs="Arial" w:eastAsia="Arial" w:hAnsi="Arial"/>
                <w:sz w:val="18"/>
                <w:szCs w:val="18"/>
                <w:color w:val="auto"/>
              </w:rPr>
              <w:t>7,538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DSUs</w:t>
            </w:r>
          </w:p>
        </w:tc>
        <w:tc>
          <w:tcPr>
            <w:tcW w:w="36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44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80" w:type="dxa"/>
            <w:vAlign w:val="bottom"/>
          </w:tcPr>
          <w:p>
            <w:pPr>
              <w:ind w:left="440"/>
              <w:spacing w:after="0"/>
              <w:rPr>
                <w:sz w:val="20"/>
                <w:szCs w:val="20"/>
                <w:color w:val="auto"/>
              </w:rPr>
            </w:pPr>
            <w:r>
              <w:rPr>
                <w:rFonts w:ascii="Arial" w:cs="Arial" w:eastAsia="Arial" w:hAnsi="Arial"/>
                <w:sz w:val="18"/>
                <w:szCs w:val="18"/>
                <w:color w:val="auto"/>
              </w:rPr>
              <w:t>Total</w:t>
            </w:r>
          </w:p>
        </w:tc>
        <w:tc>
          <w:tcPr>
            <w:tcW w:w="4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55,260</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67,689</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183,341</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220,175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640" w:type="dxa"/>
            <w:vAlign w:val="bottom"/>
            <w:vMerge w:val="restart"/>
          </w:tcPr>
          <w:p>
            <w:pPr>
              <w:jc w:val="right"/>
              <w:ind w:right="1632"/>
              <w:spacing w:after="0"/>
              <w:rPr>
                <w:sz w:val="20"/>
                <w:szCs w:val="20"/>
                <w:color w:val="auto"/>
              </w:rPr>
            </w:pPr>
            <w:r>
              <w:rPr>
                <w:rFonts w:ascii="Arial" w:cs="Arial" w:eastAsia="Arial" w:hAnsi="Arial"/>
                <w:sz w:val="18"/>
                <w:szCs w:val="18"/>
                <w:color w:val="auto"/>
              </w:rPr>
              <w:t>27</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right="28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$0 and $9,099 during the three month and nine month periods ended September 30, 2013 relating to the Cost Saving Initiatives (see Note 14 of Notes to Condensed Consolidated Financial Statements).</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$0 and $247 during the three month and nine month periods ended September 30, 2013 relating to the Cost Saving Initiatives.</w:t>
      </w:r>
    </w:p>
    <w:p>
      <w:pPr>
        <w:spacing w:after="0" w:line="165"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The ultimate amount of compensation and benefits expense relating to share-based awards is dependent upon the actual number of shares of Class A common stock that vest. The Company periodically assesses the forfeiture rates used for such estimates.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1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For purposes of calculating diluted net income per share, RSU and restricted stock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incentive plans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RSUs and DSUs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PRSUs, which are a form of RSUs that are also subject to service-based vesting conditions, have additional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ordinary quarterly dividends paid on Class A common stock during such period. During the nine month periods ended September 30, 2013 and 2012, issuances of RSUs pertaining to such dividend participation rights and respective charges to “retained earnings”, net of estimated forfeitures (with corresponding credits to “additional paid-in-capital”),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94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9480" w:type="dxa"/>
            <w:vAlign w:val="bottom"/>
          </w:tcPr>
          <w:p>
            <w:pPr>
              <w:spacing w:after="0"/>
              <w:rPr>
                <w:sz w:val="14"/>
                <w:szCs w:val="14"/>
                <w:color w:val="auto"/>
              </w:rPr>
            </w:pPr>
          </w:p>
        </w:tc>
        <w:tc>
          <w:tcPr>
            <w:tcW w:w="194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4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2012</w:t>
            </w:r>
          </w:p>
        </w:tc>
      </w:tr>
      <w:tr>
        <w:trPr>
          <w:trHeight w:val="210"/>
        </w:trPr>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RSUs issued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250,834</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479,958</w:t>
            </w:r>
          </w:p>
        </w:tc>
      </w:tr>
      <w:tr>
        <w:trPr>
          <w:trHeight w:val="222"/>
        </w:trPr>
        <w:tc>
          <w:tcPr>
            <w:tcW w:w="948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780" w:type="dxa"/>
            <w:vAlign w:val="bottom"/>
          </w:tcPr>
          <w:p>
            <w:pPr>
              <w:jc w:val="right"/>
              <w:spacing w:after="0"/>
              <w:rPr>
                <w:sz w:val="20"/>
                <w:szCs w:val="20"/>
                <w:color w:val="auto"/>
              </w:rPr>
            </w:pPr>
            <w:r>
              <w:rPr>
                <w:rFonts w:ascii="Arial" w:cs="Arial" w:eastAsia="Arial" w:hAnsi="Arial"/>
                <w:sz w:val="18"/>
                <w:szCs w:val="18"/>
                <w:color w:val="auto"/>
              </w:rPr>
              <w:t>$  8,216</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5"/>
              </w:rPr>
              <w:t>$  11,770</w:t>
            </w:r>
          </w:p>
        </w:tc>
      </w:tr>
    </w:tbl>
    <w:p>
      <w:pPr>
        <w:spacing w:after="0" w:line="147"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Non-executive members of the Board of Directors receive approximately 55% of their annual compensation for service on the Board of Directors and its committees in the form of DSUs, which resulted in 39,315 and 49,982 DSUs granted during the nine month periods ended September 30, 2013 and 2012,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and, for purposes of calculating diluted net income per share, are included in the diluted weighted average shares of Class A common stock outstanding using the “treasury stock” method. DSUs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include a cash dividend participation right equivalent to any ordinary quarterly dividends paid on Class A common stock, and resulted in nominal cash payments for the nine month periods ended September 30, 2013 and 2012.</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Directors’ Fee Deferral Unit Plan permits its Non-Executive Directors to elect to receive additional DSUs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nine month periods ended September 30, 2013 and 2012, 5,880 and 7,988 DSUs, respectively, had been granted pursuant to such Plan.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nine month periods ended September 30, 2013 and 2012:</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RSUs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4"/>
                <w:szCs w:val="14"/>
                <w:b w:val="1"/>
                <w:bCs w:val="1"/>
                <w:color w:val="auto"/>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1240" w:type="dxa"/>
            <w:vAlign w:val="bottom"/>
            <w:gridSpan w:val="4"/>
          </w:tcPr>
          <w:p>
            <w:pPr>
              <w:jc w:val="center"/>
              <w:ind w:left="278"/>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4"/>
                <w:szCs w:val="14"/>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Fair Value</w:t>
            </w: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Units</w:t>
            </w:r>
          </w:p>
        </w:tc>
        <w:tc>
          <w:tcPr>
            <w:tcW w:w="48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21,481,131</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204,496</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Granted (including 250,834 RSUs relating to dividend participation)</w:t>
            </w:r>
          </w:p>
        </w:tc>
        <w:tc>
          <w:tcPr>
            <w:tcW w:w="840" w:type="dxa"/>
            <w:vAlign w:val="bottom"/>
          </w:tcPr>
          <w:p>
            <w:pPr>
              <w:jc w:val="right"/>
              <w:spacing w:after="0"/>
              <w:rPr>
                <w:sz w:val="20"/>
                <w:szCs w:val="20"/>
                <w:color w:val="auto"/>
              </w:rPr>
            </w:pPr>
            <w:r>
              <w:rPr>
                <w:rFonts w:ascii="Arial" w:cs="Arial" w:eastAsia="Arial" w:hAnsi="Arial"/>
                <w:sz w:val="18"/>
                <w:szCs w:val="18"/>
                <w:color w:val="auto"/>
              </w:rPr>
              <w:t>4,862,379</w:t>
            </w:r>
          </w:p>
        </w:tc>
        <w:tc>
          <w:tcPr>
            <w:tcW w:w="4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36.92</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45,195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(239,117)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(9,363,792)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34.78</w:t>
            </w: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16,740,601</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5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249,691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100" w:type="dxa"/>
            <w:vAlign w:val="bottom"/>
            <w:shd w:val="clear" w:color="auto" w:fill="CCEEFF"/>
          </w:tcPr>
          <w:p>
            <w:pPr>
              <w:spacing w:after="0"/>
              <w:rPr>
                <w:sz w:val="18"/>
                <w:szCs w:val="18"/>
                <w:color w:val="auto"/>
              </w:rPr>
            </w:pPr>
          </w:p>
        </w:tc>
      </w:tr>
      <w:tr>
        <w:trPr>
          <w:trHeight w:val="20"/>
        </w:trPr>
        <w:tc>
          <w:tcPr>
            <w:tcW w:w="590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5900" w:type="dxa"/>
            <w:vAlign w:val="bottom"/>
            <w:gridSpan w:val="2"/>
          </w:tcPr>
          <w:p>
            <w:pPr>
              <w:spacing w:after="0"/>
              <w:rPr>
                <w:sz w:val="20"/>
                <w:szCs w:val="20"/>
                <w:color w:val="auto"/>
              </w:rPr>
            </w:pPr>
            <w:r>
              <w:rPr>
                <w:rFonts w:ascii="Arial" w:cs="Arial" w:eastAsia="Arial" w:hAnsi="Arial"/>
                <w:sz w:val="18"/>
                <w:szCs w:val="18"/>
                <w:color w:val="auto"/>
              </w:rPr>
              <w:t>Balance, January 1, 2012</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20,751,829</w:t>
            </w:r>
          </w:p>
        </w:tc>
        <w:tc>
          <w:tcPr>
            <w:tcW w:w="400" w:type="dxa"/>
            <w:vAlign w:val="bottom"/>
          </w:tcPr>
          <w:p>
            <w:pPr>
              <w:spacing w:after="0"/>
              <w:rPr>
                <w:sz w:val="24"/>
                <w:szCs w:val="24"/>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36.84</w:t>
            </w:r>
          </w:p>
        </w:tc>
        <w:tc>
          <w:tcPr>
            <w:tcW w:w="5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140,660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Granted (including 479,958 RSUs relating to dividend participation)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8,121,632</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(401,065)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35.49</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(4,425,534)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5900" w:type="dxa"/>
            <w:vAlign w:val="bottom"/>
            <w:gridSpan w:val="2"/>
          </w:tcPr>
          <w:p>
            <w:pPr>
              <w:spacing w:after="0"/>
              <w:rPr>
                <w:sz w:val="20"/>
                <w:szCs w:val="20"/>
                <w:color w:val="auto"/>
              </w:rPr>
            </w:pPr>
            <w:r>
              <w:rPr>
                <w:rFonts w:ascii="Arial" w:cs="Arial" w:eastAsia="Arial" w:hAnsi="Arial"/>
                <w:sz w:val="18"/>
                <w:szCs w:val="18"/>
                <w:color w:val="auto"/>
              </w:rPr>
              <w:t>Balance, September 30, 2012</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24,046,862</w:t>
            </w:r>
          </w:p>
        </w:tc>
        <w:tc>
          <w:tcPr>
            <w:tcW w:w="40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34.16</w:t>
            </w:r>
          </w:p>
        </w:tc>
        <w:tc>
          <w:tcPr>
            <w:tcW w:w="5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198,630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connection with RSUs which vested during the nine month periods ended September 30, 2013 and 2012, the Company satisfied its minimum statutory tax withholding requirements in lieu of issuing 3,471,813 and 1,331,812 shares of Class A common stock in the respective nine month periods. Accordingly, 5,891,979 and 3,093,722 shares of Class A common stock held by the Company were delivered during the nine month periods ended September 30, 2013 and 2012, respectively. In addition, during the nine month period ended September 30, 2012, 42,432 shares of previously delivered Class A common stock were forfeited by certain former employees and returned to the Company.</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the fourth quarter of 2012, 958,213 RSUs were modified through forward purchase agreements into liability awards. Such liability awards were settled on March 1, 2013 for $28,612. During the nine month period ended September 30, 2013, compensation expense of $1,690 was recorded for such liability awards.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center"/>
        <w:ind w:right="300"/>
        <w:spacing w:after="0" w:line="370" w:lineRule="auto"/>
        <w:rPr>
          <w:sz w:val="20"/>
          <w:szCs w:val="20"/>
          <w:color w:val="auto"/>
        </w:rPr>
      </w:pPr>
      <w:r>
        <w:rPr>
          <w:rFonts w:ascii="Arial" w:cs="Arial" w:eastAsia="Arial" w:hAnsi="Arial"/>
          <w:sz w:val="15"/>
          <w:szCs w:val="15"/>
          <w:color w:val="auto"/>
        </w:rPr>
        <w:t>As of September 30, 2013, unrecognized RSU compensation expense, adjusted for estimated forfeitures, was approximately $196,000, with such unrecognized compensation expense expected to be recognized over a weighted average period of approximately 1.2 years subsequent to September 30, 2013.</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nine month periods ended September 30, 2013 and 2012:</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1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9"/>
              </w:rPr>
              <w:t>Restricted</w:t>
            </w:r>
          </w:p>
        </w:tc>
        <w:tc>
          <w:tcPr>
            <w:tcW w:w="104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1,972,609</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368,736</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36.74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(35,794)</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(1,728,509)</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577,042</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80" w:type="dxa"/>
            <w:vAlign w:val="bottom"/>
            <w:shd w:val="clear" w:color="auto" w:fill="CCEEFF"/>
          </w:tcPr>
          <w:p>
            <w:pPr>
              <w:spacing w:after="0"/>
              <w:rPr>
                <w:sz w:val="18"/>
                <w:szCs w:val="18"/>
                <w:color w:val="auto"/>
              </w:rPr>
            </w:pPr>
          </w:p>
        </w:tc>
      </w:tr>
      <w:tr>
        <w:trPr>
          <w:trHeight w:val="20"/>
        </w:trPr>
        <w:tc>
          <w:tcPr>
            <w:tcW w:w="694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6"/>
        </w:trPr>
        <w:tc>
          <w:tcPr>
            <w:tcW w:w="6940" w:type="dxa"/>
            <w:vAlign w:val="bottom"/>
            <w:gridSpan w:val="2"/>
          </w:tcPr>
          <w:p>
            <w:pPr>
              <w:spacing w:after="0"/>
              <w:rPr>
                <w:sz w:val="20"/>
                <w:szCs w:val="20"/>
                <w:color w:val="auto"/>
              </w:rPr>
            </w:pPr>
            <w:r>
              <w:rPr>
                <w:rFonts w:ascii="Arial" w:cs="Arial" w:eastAsia="Arial" w:hAnsi="Arial"/>
                <w:sz w:val="18"/>
                <w:szCs w:val="18"/>
                <w:color w:val="auto"/>
              </w:rPr>
              <w:t>Balance, January 1, 2012</w:t>
            </w:r>
          </w:p>
        </w:tc>
        <w:tc>
          <w:tcPr>
            <w:tcW w:w="820" w:type="dxa"/>
            <w:vAlign w:val="bottom"/>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Pr>
          <w:p>
            <w:pPr>
              <w:spacing w:after="0"/>
              <w:rPr>
                <w:sz w:val="24"/>
                <w:szCs w:val="24"/>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Granted/Exchanged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577,323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(21,178)</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29.51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(186,180)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80" w:type="dxa"/>
            <w:vAlign w:val="bottom"/>
            <w:shd w:val="clear" w:color="auto" w:fill="CCEEFF"/>
          </w:tcPr>
          <w:p>
            <w:pPr>
              <w:spacing w:after="0"/>
              <w:rPr>
                <w:sz w:val="18"/>
                <w:szCs w:val="18"/>
                <w:color w:val="auto"/>
              </w:rPr>
            </w:pPr>
          </w:p>
        </w:tc>
      </w:tr>
      <w:tr>
        <w:trPr>
          <w:trHeight w:val="222"/>
        </w:trPr>
        <w:tc>
          <w:tcPr>
            <w:tcW w:w="6940" w:type="dxa"/>
            <w:vAlign w:val="bottom"/>
            <w:gridSpan w:val="2"/>
          </w:tcPr>
          <w:p>
            <w:pPr>
              <w:spacing w:after="0"/>
              <w:rPr>
                <w:sz w:val="20"/>
                <w:szCs w:val="20"/>
                <w:color w:val="auto"/>
              </w:rPr>
            </w:pPr>
            <w:r>
              <w:rPr>
                <w:rFonts w:ascii="Arial" w:cs="Arial" w:eastAsia="Arial" w:hAnsi="Arial"/>
                <w:sz w:val="18"/>
                <w:szCs w:val="18"/>
                <w:color w:val="auto"/>
              </w:rPr>
              <w:t>Balance, September 30, 2012</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465,297</w:t>
            </w:r>
          </w:p>
        </w:tc>
        <w:tc>
          <w:tcPr>
            <w:tcW w:w="34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30.02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nine month periods ended September 30, 2013 and 2012, the Company satisfied its minimum statutory tax withholding requirements in lieu of delivering 18,631 and 28,129 shares of Class A common stock during the respective periods. Accordingly, 1,709,878 and 158,051 shares of Class A common stock held by the Company were delivered during the nine month periods ended September 30, 2013 and 2012, respectively.</w:t>
      </w:r>
    </w:p>
    <w:p>
      <w:pPr>
        <w:spacing w:after="0" w:line="14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awards include a cash dividend participation right equivalent to any ordinary quarterly dividends paid on Class A common stock during the period, which will vest concurrently with the underlying restricted stock award. At September 30, 2013, unrecognized restricted stock expense was approximately $9,000, with such expense to be recognized over a weighted average period of approximately 1.5 years subsequent to September 30, 2013.</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PRSUs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During the nine month period ended September 30, 2013, the Company granted 448,128 PRSUs. The PRSUs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the three-year period beginning on January 1, 2012 and ending on December 31, 2014. The target number of shares of Class A common stock subject to each PRSU is one; however, based on the achievement of the performance criteria, the number of shares of Class A common stock that may be received in connection with each PRSU can range from zero to three times the target number. The PRSUs granted in 2013 will vest 33% in March 2015 and 67% in March 2016, provided the applicable service and performance conditions are satisfied. In addition, the performance metrics applicable to each PRSU will be evaluated on an annual basis at the end of each fiscal year during the performance period and, if the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has achieved a threshold level of performance with respect to the fiscal year, 25% of the target number of shares of Class A common stock subject to each PRSU will no longer be at risk of forfeiture based on the achievement of performance criteria. PRSUs generally include dividend participation rights.</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of $36.11 per share. As of September 30, 2013, the total estimated unrecognized compensation expense for PRSUs granted in 2013 was approximately $23,000, and the Company expects to amortize such expense over a weighted-average period of approximately 1.7 years.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Fund Interests and Other Similar Deferred Compensation Arrangements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Commencing in February 2011, the Company granted Lazard Fund Interests to eligible employees. In connection with the Lazard Fund Interests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Lazard Fund Interests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is a summary of activity relating to Lazard Fund Interests and other similar deferred compensation arrangements during the nine month periods ended September 30, 2013 and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93"/>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3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47,445</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Granted</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72,217</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72,217</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3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(22,903)</w:t>
            </w:r>
          </w:p>
        </w:tc>
        <w:tc>
          <w:tcPr>
            <w:tcW w:w="0" w:type="dxa"/>
            <w:vAlign w:val="bottom"/>
          </w:tcPr>
          <w:p>
            <w:pPr>
              <w:spacing w:after="0"/>
              <w:rPr>
                <w:sz w:val="1"/>
                <w:szCs w:val="1"/>
                <w:color w:val="auto"/>
              </w:rPr>
            </w:pPr>
          </w:p>
        </w:tc>
      </w:tr>
      <w:tr>
        <w:trPr>
          <w:trHeight w:val="229"/>
        </w:trPr>
        <w:tc>
          <w:tcPr>
            <w:tcW w:w="458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3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(765)</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(44,195)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7,767</w:t>
            </w:r>
          </w:p>
        </w:tc>
        <w:tc>
          <w:tcPr>
            <w:tcW w:w="0" w:type="dxa"/>
            <w:vAlign w:val="bottom"/>
          </w:tcPr>
          <w:p>
            <w:pPr>
              <w:spacing w:after="0"/>
              <w:rPr>
                <w:sz w:val="1"/>
                <w:szCs w:val="1"/>
                <w:color w:val="auto"/>
              </w:rPr>
            </w:pPr>
          </w:p>
        </w:tc>
      </w:tr>
      <w:tr>
        <w:trPr>
          <w:trHeight w:val="216"/>
        </w:trPr>
        <w:tc>
          <w:tcPr>
            <w:tcW w:w="458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Balance, September 30, 2013</w:t>
            </w:r>
          </w:p>
        </w:tc>
        <w:tc>
          <w:tcPr>
            <w:tcW w:w="3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80" w:type="dxa"/>
            <w:vAlign w:val="bottom"/>
            <w:vMerge w:val="continue"/>
          </w:tcPr>
          <w:p>
            <w:pPr>
              <w:spacing w:after="0"/>
              <w:rPr>
                <w:sz w:val="19"/>
                <w:szCs w:val="19"/>
                <w:color w:val="auto"/>
              </w:rPr>
            </w:pPr>
          </w:p>
        </w:tc>
        <w:tc>
          <w:tcPr>
            <w:tcW w:w="3360" w:type="dxa"/>
            <w:vAlign w:val="bottom"/>
            <w:gridSpan w:val="2"/>
          </w:tcPr>
          <w:p>
            <w:pPr>
              <w:ind w:left="3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74,485</w:t>
            </w:r>
          </w:p>
        </w:tc>
        <w:tc>
          <w:tcPr>
            <w:tcW w:w="78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156,306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20" w:type="dxa"/>
            <w:vAlign w:val="bottom"/>
            <w:vMerge w:val="restart"/>
          </w:tcPr>
          <w:p>
            <w:pPr>
              <w:jc w:val="right"/>
              <w:ind w:right="2372"/>
              <w:spacing w:after="0"/>
              <w:rPr>
                <w:sz w:val="20"/>
                <w:szCs w:val="20"/>
                <w:color w:val="auto"/>
              </w:rPr>
            </w:pPr>
            <w:r>
              <w:rPr>
                <w:rFonts w:ascii="Arial" w:cs="Arial" w:eastAsia="Arial" w:hAnsi="Arial"/>
                <w:sz w:val="18"/>
                <w:szCs w:val="18"/>
                <w:color w:val="auto"/>
              </w:rPr>
              <w:t>31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8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w w:val="93"/>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Compensation</w:t>
            </w:r>
          </w:p>
        </w:tc>
      </w:tr>
      <w:tr>
        <w:trPr>
          <w:trHeight w:val="161"/>
        </w:trPr>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Liability</w:t>
            </w:r>
          </w:p>
        </w:tc>
      </w:tr>
      <w:tr>
        <w:trPr>
          <w:trHeight w:val="210"/>
        </w:trPr>
        <w:tc>
          <w:tcPr>
            <w:tcW w:w="7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17,782</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64,658</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64,658</w:t>
            </w:r>
          </w:p>
        </w:tc>
      </w:tr>
      <w:tr>
        <w:trPr>
          <w:trHeight w:val="230"/>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(8,640)</w:t>
            </w: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720"/>
              <w:spacing w:after="0"/>
              <w:rPr>
                <w:sz w:val="20"/>
                <w:szCs w:val="20"/>
                <w:color w:val="auto"/>
              </w:rPr>
            </w:pPr>
            <w:r>
              <w:rPr>
                <w:rFonts w:ascii="Arial" w:cs="Arial" w:eastAsia="Arial" w:hAnsi="Arial"/>
                <w:sz w:val="18"/>
                <w:szCs w:val="18"/>
                <w:color w:val="auto"/>
              </w:rPr>
              <w:t>(1,607)</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(1,706)</w:t>
            </w:r>
          </w:p>
        </w:tc>
      </w:tr>
      <w:tr>
        <w:trPr>
          <w:trHeight w:val="216"/>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(24,508)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w:t>
            </w:r>
          </w:p>
        </w:tc>
      </w:tr>
      <w:tr>
        <w:trPr>
          <w:trHeight w:val="216"/>
        </w:trPr>
        <w:tc>
          <w:tcPr>
            <w:tcW w:w="782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2,202</w:t>
            </w:r>
          </w:p>
        </w:tc>
      </w:tr>
      <w:tr>
        <w:trPr>
          <w:trHeight w:val="230"/>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22"/>
        </w:trPr>
        <w:tc>
          <w:tcPr>
            <w:tcW w:w="7820" w:type="dxa"/>
            <w:vAlign w:val="bottom"/>
          </w:tcPr>
          <w:p>
            <w:pPr>
              <w:spacing w:after="0"/>
              <w:rPr>
                <w:sz w:val="20"/>
                <w:szCs w:val="20"/>
                <w:color w:val="auto"/>
              </w:rPr>
            </w:pPr>
            <w:r>
              <w:rPr>
                <w:rFonts w:ascii="Arial" w:cs="Arial" w:eastAsia="Arial" w:hAnsi="Arial"/>
                <w:sz w:val="18"/>
                <w:szCs w:val="18"/>
                <w:color w:val="auto"/>
              </w:rPr>
              <w:t>Balance, September 30, 2012</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56,426</w:t>
            </w:r>
          </w:p>
        </w:tc>
        <w:tc>
          <w:tcPr>
            <w:tcW w:w="74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91,053</w:t>
            </w:r>
          </w:p>
        </w:tc>
      </w:tr>
      <w:tr>
        <w:trPr>
          <w:trHeight w:val="20"/>
        </w:trPr>
        <w:tc>
          <w:tcPr>
            <w:tcW w:w="7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1.7 years subsequent to September 30, 2013.</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is a summary of the impact of Lazard Fund Interests and other similar deferred compensation arrangements on “compensation and benefits” expense within the accompanying condensed consolidated statements of operations for the three month and nine month periods ended September 30, 2013 and 2012: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2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9"/>
              </w:rPr>
              <w:t>Three Months Ended</w:t>
            </w: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2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7"/>
              </w:rPr>
              <w:t>September 30,</w:t>
            </w: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460" w:type="dxa"/>
            <w:vAlign w:val="bottom"/>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2012</w:t>
            </w:r>
          </w:p>
        </w:tc>
        <w:tc>
          <w:tcPr>
            <w:tcW w:w="5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460" w:type="dxa"/>
            <w:vAlign w:val="bottom"/>
          </w:tcPr>
          <w:p>
            <w:pPr>
              <w:spacing w:after="0"/>
              <w:rPr>
                <w:sz w:val="17"/>
                <w:szCs w:val="17"/>
                <w:color w:val="auto"/>
              </w:rPr>
            </w:pPr>
          </w:p>
        </w:tc>
        <w:tc>
          <w:tcPr>
            <w:tcW w:w="6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Compensation expense:</w:t>
            </w: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6540" w:type="dxa"/>
            <w:vAlign w:val="bottom"/>
            <w:gridSpan w:val="2"/>
          </w:tcPr>
          <w:p>
            <w:pPr>
              <w:ind w:left="440"/>
              <w:spacing w:after="0"/>
              <w:rPr>
                <w:sz w:val="20"/>
                <w:szCs w:val="20"/>
                <w:color w:val="auto"/>
              </w:rPr>
            </w:pPr>
            <w:r>
              <w:rPr>
                <w:rFonts w:ascii="Arial" w:cs="Arial" w:eastAsia="Arial" w:hAnsi="Arial"/>
                <w:sz w:val="18"/>
                <w:szCs w:val="18"/>
                <w:color w:val="auto"/>
              </w:rPr>
              <w:t>Amortization, net of forfeitures (a)</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$15,049</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9,626</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$47,150</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$26,611</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Change in fair value of underlying investments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5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00" w:type="dxa"/>
            <w:vAlign w:val="bottom"/>
            <w:shd w:val="clear" w:color="auto" w:fill="CCEEFF"/>
          </w:tcPr>
          <w:p>
            <w:pPr>
              <w:spacing w:after="0"/>
              <w:rPr>
                <w:sz w:val="18"/>
                <w:szCs w:val="18"/>
                <w:color w:val="auto"/>
              </w:rPr>
            </w:pPr>
          </w:p>
        </w:tc>
      </w:tr>
      <w:tr>
        <w:trPr>
          <w:trHeight w:val="222"/>
        </w:trPr>
        <w:tc>
          <w:tcPr>
            <w:tcW w:w="7000" w:type="dxa"/>
            <w:vAlign w:val="bottom"/>
            <w:gridSpan w:val="3"/>
          </w:tcPr>
          <w:p>
            <w:pPr>
              <w:ind w:left="460"/>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22,568</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14,354</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54,917</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31,250</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$0 and $2,665 during the three month and nine month periods ended September 30, 2013 relating to the Cost Saving Initiatives.</w:t>
      </w:r>
    </w:p>
    <w:p>
      <w:pPr>
        <w:spacing w:after="0" w:line="31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The post-retirement plans generally provide benefits to participants based on average levels of compensation. Expenses related to the Company’s employee benefit plans are included in “compensation and benefits” expense on the consolidated statements of operations.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 The Company did not make a contribution to the U.S. pension plans during the nine month period ended September 30, 2013.</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April 30, 2012, the Company and the Trustees of the U.K. pension plans concluded the December 31, 2010 triennial valuations of the plans. In connection with such valuations and a previously negotiated agreement with the Trustees, the Company and the Trustees agreed upon pension funding terms (the “agreement”) (which</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superseded the terms of an agreement reached in June 2009 with respect to the previous triennial valuation as of December 31, 2007) whereby the Company: (i) made a contribution in December 2011 to the plans of 2.3 million British pounds ($3,687 at December 31, 2011 exchange rates) from a previously established escrow account, (ii) agreed to make contributions of 1 million British pounds during each year from 2012 through 2020 inclusive, and (iii) amended the previous escrow arrangement into an account security arrangement covering 10.2 million British pounds, committing to make annual contributions of 1 million British pounds into such account security arrangement during each year from 2014 through 2020, inclusive. It was further agreed that, to the extent that the value of the plans’ assets falls short of the funding target for June 1, 2020 that has been agreed upon with the Trustees, the assets from the account security arrangement would be released into the plans at that date. Additionally, the Company agreed to fund the expenses of administering the plans, including certain regulator levies and the cost of other professional advisors to the plans. The terms of the agreement are subject to adjustment based on the results of subsequent triennial valuations. The aggregate amount in the account security arrangement was approximately $16,500 at both September 30, 2013 and December 31, 2012 and has been recorded in “cash deposited with clearing organizations and other segregated cash” on the accompanying condensed consolidated statements of financial condition. Income on the account security arrangement accretes to the Company and is recorded in interest income.</w:t>
      </w:r>
    </w:p>
    <w:p>
      <w:pPr>
        <w:spacing w:after="0" w:line="12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the nine month period ended September 30, 2013, the Company contributed 1 million British pounds ($1,545 at September 30, 2013 exchange rates) to these U.K. pension plans, and no contributions were required to be made to other non-U.S. pension plans.</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summarizes the components of net periodic benefit cost related to the Company’s post-retirement plans for the three month and nine month periods ended September 30, 2013 and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Pension Plans</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7"/>
              </w:rPr>
              <w:t>Medical Plan</w:t>
            </w: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520" w:type="dxa"/>
            <w:vAlign w:val="bottom"/>
            <w:tcBorders>
              <w:top w:val="single" w:sz="8" w:color="auto"/>
              <w:bottom w:val="single" w:sz="8" w:color="auto"/>
            </w:tcBorders>
            <w:gridSpan w:val="7"/>
          </w:tcPr>
          <w:p>
            <w:pPr>
              <w:ind w:left="140"/>
              <w:spacing w:after="0" w:line="142" w:lineRule="exact"/>
              <w:rPr>
                <w:sz w:val="20"/>
                <w:szCs w:val="20"/>
                <w:color w:val="auto"/>
              </w:rPr>
            </w:pPr>
            <w:r>
              <w:rPr>
                <w:rFonts w:ascii="Arial" w:cs="Arial" w:eastAsia="Arial" w:hAnsi="Arial"/>
                <w:sz w:val="14"/>
                <w:szCs w:val="14"/>
                <w:b w:val="1"/>
                <w:bCs w:val="1"/>
                <w:color w:val="auto"/>
                <w:w w:val="99"/>
              </w:rPr>
              <w:t>Three Months Ended September 30,</w:t>
            </w:r>
          </w:p>
        </w:tc>
        <w:tc>
          <w:tcPr>
            <w:tcW w:w="3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Benefit Cost (Credit):</w:t>
            </w:r>
          </w:p>
        </w:tc>
        <w:tc>
          <w:tcPr>
            <w:tcW w:w="3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166</w:t>
            </w:r>
          </w:p>
        </w:tc>
        <w:tc>
          <w:tcPr>
            <w:tcW w:w="4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$ 12</w:t>
            </w:r>
          </w:p>
        </w:tc>
        <w:tc>
          <w:tcPr>
            <w:tcW w:w="4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6,744</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6,862</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(6,701)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(6,637)</w:t>
            </w:r>
          </w:p>
        </w:tc>
        <w:tc>
          <w:tcPr>
            <w:tcW w:w="340" w:type="dxa"/>
            <w:vAlign w:val="bottom"/>
          </w:tcPr>
          <w:p>
            <w:pPr>
              <w:spacing w:after="0"/>
              <w:rPr>
                <w:sz w:val="18"/>
                <w:szCs w:val="18"/>
                <w:color w:val="auto"/>
              </w:rPr>
            </w:pPr>
          </w:p>
        </w:tc>
        <w:tc>
          <w:tcPr>
            <w:tcW w:w="72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708</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668</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220"/>
              <w:spacing w:after="0"/>
              <w:rPr>
                <w:sz w:val="20"/>
                <w:szCs w:val="20"/>
                <w:color w:val="auto"/>
              </w:rPr>
            </w:pPr>
            <w:r>
              <w:rPr>
                <w:rFonts w:ascii="Arial" w:cs="Arial" w:eastAsia="Arial" w:hAnsi="Arial"/>
                <w:sz w:val="18"/>
                <w:szCs w:val="18"/>
                <w:color w:val="auto"/>
              </w:rPr>
              <w:t>Net benefit cost</w:t>
            </w: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80" w:type="dxa"/>
            <w:vAlign w:val="bottom"/>
            <w:vMerge w:val="continue"/>
          </w:tcPr>
          <w:p>
            <w:pPr>
              <w:spacing w:after="0"/>
              <w:rPr>
                <w:sz w:val="19"/>
                <w:szCs w:val="19"/>
                <w:color w:val="auto"/>
              </w:rPr>
            </w:pPr>
          </w:p>
        </w:tc>
        <w:tc>
          <w:tcPr>
            <w:tcW w:w="30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1,985</w:t>
            </w:r>
          </w:p>
        </w:tc>
        <w:tc>
          <w:tcPr>
            <w:tcW w:w="2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1,471</w:t>
            </w:r>
          </w:p>
        </w:tc>
        <w:tc>
          <w:tcPr>
            <w:tcW w:w="4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58</w:t>
            </w:r>
          </w:p>
        </w:tc>
        <w:tc>
          <w:tcPr>
            <w:tcW w:w="4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020" w:type="dxa"/>
            <w:vAlign w:val="bottom"/>
            <w:vMerge w:val="restart"/>
          </w:tcPr>
          <w:p>
            <w:pPr>
              <w:jc w:val="right"/>
              <w:ind w:right="1512"/>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Pension Plans</w:t>
            </w: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Medical Plan</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8"/>
          </w:tcPr>
          <w:p>
            <w:pPr>
              <w:ind w:left="120"/>
              <w:spacing w:after="0" w:line="142" w:lineRule="exact"/>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2"/>
                <w:szCs w:val="12"/>
                <w:color w:val="auto"/>
              </w:rPr>
            </w:pPr>
          </w:p>
        </w:tc>
        <w:tc>
          <w:tcPr>
            <w:tcW w:w="6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r>
      <w:tr>
        <w:trPr>
          <w:trHeight w:val="196"/>
        </w:trPr>
        <w:tc>
          <w:tcPr>
            <w:tcW w:w="7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Benefit Cost (Credit):</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938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504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20,193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20,649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137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158</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(20,090)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(19,931)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2,114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2,056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Settlement loss (a)</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886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benefit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176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203</w:t>
            </w:r>
          </w:p>
        </w:tc>
        <w:tc>
          <w:tcPr>
            <w:tcW w:w="100" w:type="dxa"/>
            <w:vAlign w:val="bottom"/>
            <w:shd w:val="clear" w:color="auto" w:fill="CCEEFF"/>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98"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During the nine month period ended September 30, 2012, the Company’s pension plans in the U.S. made lump sum benefit payments in excess of the plans’ annual service and interest costs, which, under U.S. GAAP, requires that the plans’ obligations and assets be remeasured. The remeasurement of the plans resulted in the recognition of actuarial losses totaling $1,935 recorded in “other comprehensive income (loss), net of tax” (“OCI”), which, combined with a settlement loss of $886 recognized in “compensation and benefits” expense, resulted in a net charge to OCI of $1,049.</w:t>
      </w:r>
    </w:p>
    <w:p>
      <w:pPr>
        <w:spacing w:after="0" w:line="23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SAVING INITIATIVES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October 2012, the Company announced cost saving initiatives (the “Cost Saving Initiatives”) relating to the Company’s operations. These initiatives include streamlining our corporate structure and consolidating support functions; realigning our investments into areas with potential for the greatest long-term return; the settlement of certain contractual obligations; occupancy cost reduction; and creating greater flexibility to retain and attract the best people and invest in new growth areas.</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Expenses associated with the implementation of the Cost Saving Initiatives were completed during the second quarter of 2013. The Company incurred these expenses, by segment, as reflected in the tables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Financial</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9"/>
              </w:rPr>
              <w:t>Asset</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Advisory</w:t>
            </w:r>
          </w:p>
        </w:tc>
        <w:tc>
          <w:tcPr>
            <w:tcW w:w="32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Management</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6"/>
              </w:rPr>
              <w:t>Corporate</w:t>
            </w:r>
          </w:p>
        </w:tc>
        <w:tc>
          <w:tcPr>
            <w:tcW w:w="8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Nine Month Period Ended September 30, 2013:</w:t>
            </w:r>
          </w:p>
        </w:tc>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right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$45,746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4"/>
          </w:tcPr>
          <w:p>
            <w:pPr>
              <w:jc w:val="right"/>
              <w:ind w:right="580"/>
              <w:spacing w:after="0"/>
              <w:rPr>
                <w:sz w:val="20"/>
                <w:szCs w:val="20"/>
                <w:color w:val="auto"/>
              </w:rPr>
            </w:pPr>
            <w:r>
              <w:rPr>
                <w:rFonts w:ascii="Arial" w:cs="Arial" w:eastAsia="Arial" w:hAnsi="Arial"/>
                <w:sz w:val="18"/>
                <w:szCs w:val="18"/>
                <w:color w:val="auto"/>
              </w:rPr>
              <w:t>$  5,417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$51,399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5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11,272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47,779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4"/>
          </w:tcPr>
          <w:p>
            <w:pPr>
              <w:jc w:val="right"/>
              <w:ind w:right="580"/>
              <w:spacing w:after="0"/>
              <w:rPr>
                <w:sz w:val="20"/>
                <w:szCs w:val="20"/>
                <w:color w:val="auto"/>
              </w:rPr>
            </w:pPr>
            <w:r>
              <w:rPr>
                <w:rFonts w:ascii="Arial" w:cs="Arial" w:eastAsia="Arial" w:hAnsi="Arial"/>
                <w:sz w:val="18"/>
                <w:szCs w:val="18"/>
                <w:color w:val="auto"/>
              </w:rPr>
              <w:t>$ 16,689</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64,703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gridSpan w:val="4"/>
          </w:tcPr>
          <w:p>
            <w:pPr>
              <w:ind w:left="60"/>
              <w:spacing w:after="0"/>
              <w:rPr>
                <w:sz w:val="20"/>
                <w:szCs w:val="20"/>
                <w:color w:val="auto"/>
              </w:rPr>
            </w:pPr>
            <w:r>
              <w:rPr>
                <w:rFonts w:ascii="Arial" w:cs="Arial" w:eastAsia="Arial" w:hAnsi="Arial"/>
                <w:sz w:val="14"/>
                <w:szCs w:val="14"/>
                <w:b w:val="1"/>
                <w:bCs w:val="1"/>
                <w:color w:val="auto"/>
              </w:rPr>
              <w:t>Financial</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9"/>
              </w:rPr>
              <w:t>Asset</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gridSpan w:val="4"/>
          </w:tcPr>
          <w:p>
            <w:pPr>
              <w:ind w:left="80"/>
              <w:spacing w:after="0"/>
              <w:rPr>
                <w:sz w:val="20"/>
                <w:szCs w:val="20"/>
                <w:color w:val="auto"/>
              </w:rPr>
            </w:pPr>
            <w:r>
              <w:rPr>
                <w:rFonts w:ascii="Arial" w:cs="Arial" w:eastAsia="Arial" w:hAnsi="Arial"/>
                <w:sz w:val="14"/>
                <w:szCs w:val="14"/>
                <w:b w:val="1"/>
                <w:bCs w:val="1"/>
                <w:color w:val="auto"/>
              </w:rPr>
              <w:t>Advisory</w:t>
            </w:r>
          </w:p>
        </w:tc>
        <w:tc>
          <w:tcPr>
            <w:tcW w:w="32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Management</w:t>
            </w:r>
          </w:p>
        </w:tc>
        <w:tc>
          <w:tcPr>
            <w:tcW w:w="280" w:type="dxa"/>
            <w:vAlign w:val="bottom"/>
          </w:tcPr>
          <w:p>
            <w:pPr>
              <w:spacing w:after="0"/>
              <w:rPr>
                <w:sz w:val="14"/>
                <w:szCs w:val="14"/>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8"/>
              </w:rPr>
              <w:t>Cumulative October 2012 Through September 30, 2013:</w:t>
            </w:r>
          </w:p>
        </w:tc>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right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160" w:type="dxa"/>
            <w:vAlign w:val="bottom"/>
            <w:gridSpan w:val="5"/>
          </w:tcPr>
          <w:p>
            <w:pPr>
              <w:jc w:val="right"/>
              <w:ind w:right="260"/>
              <w:spacing w:after="0"/>
              <w:rPr>
                <w:sz w:val="20"/>
                <w:szCs w:val="20"/>
                <w:color w:val="auto"/>
              </w:rPr>
            </w:pPr>
            <w:r>
              <w:rPr>
                <w:rFonts w:ascii="Arial" w:cs="Arial" w:eastAsia="Arial" w:hAnsi="Arial"/>
                <w:sz w:val="18"/>
                <w:szCs w:val="18"/>
                <w:color w:val="auto"/>
              </w:rPr>
              <w:t>$121,879</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12,292</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$ 17,215</w:t>
            </w:r>
          </w:p>
        </w:tc>
        <w:tc>
          <w:tcPr>
            <w:tcW w:w="5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5"/>
              </w:rPr>
              <w:t>$151,386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2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2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11,729</w:t>
            </w:r>
          </w:p>
        </w:tc>
        <w:tc>
          <w:tcPr>
            <w:tcW w:w="58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2160" w:type="dxa"/>
            <w:vAlign w:val="bottom"/>
            <w:gridSpan w:val="5"/>
          </w:tcPr>
          <w:p>
            <w:pPr>
              <w:jc w:val="right"/>
              <w:ind w:right="260"/>
              <w:spacing w:after="0"/>
              <w:rPr>
                <w:sz w:val="20"/>
                <w:szCs w:val="20"/>
                <w:color w:val="auto"/>
              </w:rPr>
            </w:pPr>
            <w:r>
              <w:rPr>
                <w:rFonts w:ascii="Arial" w:cs="Arial" w:eastAsia="Arial" w:hAnsi="Arial"/>
                <w:sz w:val="18"/>
                <w:szCs w:val="18"/>
                <w:color w:val="auto"/>
              </w:rPr>
              <w:t>$ 125,311</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13,024</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$ 28,944</w:t>
            </w:r>
          </w:p>
        </w:tc>
        <w:tc>
          <w:tcPr>
            <w:tcW w:w="5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167,279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20" w:type="dxa"/>
            <w:vAlign w:val="bottom"/>
            <w:vMerge w:val="restart"/>
          </w:tcPr>
          <w:p>
            <w:pPr>
              <w:jc w:val="right"/>
              <w:ind w:right="472"/>
              <w:spacing w:after="0"/>
              <w:rPr>
                <w:sz w:val="20"/>
                <w:szCs w:val="20"/>
                <w:color w:val="auto"/>
              </w:rPr>
            </w:pPr>
            <w:r>
              <w:rPr>
                <w:rFonts w:ascii="Arial" w:cs="Arial" w:eastAsia="Arial" w:hAnsi="Arial"/>
                <w:sz w:val="18"/>
                <w:szCs w:val="18"/>
                <w:color w:val="auto"/>
              </w:rPr>
              <w:t>34</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Activity related to the obligations pursuant to the Cost Saving Initiatives during the nine month period ended September 30, 2013 was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2"/>
              </w:rPr>
              <w:t>Accrued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w w:val="90"/>
              </w:rPr>
              <w:t>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4"/>
                <w:szCs w:val="14"/>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Benefits</w:t>
            </w:r>
          </w:p>
        </w:tc>
        <w:tc>
          <w:tcPr>
            <w:tcW w:w="44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46,128</w:t>
            </w: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9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$ 47,842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New charges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51,399</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940"/>
              <w:spacing w:after="0"/>
              <w:rPr>
                <w:sz w:val="20"/>
                <w:szCs w:val="20"/>
                <w:color w:val="auto"/>
              </w:rPr>
            </w:pPr>
            <w:r>
              <w:rPr>
                <w:rFonts w:ascii="Arial" w:cs="Arial" w:eastAsia="Arial" w:hAnsi="Arial"/>
                <w:sz w:val="18"/>
                <w:szCs w:val="18"/>
                <w:color w:val="auto"/>
                <w:w w:val="83"/>
              </w:rPr>
              <w:t>13,304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64,703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Non-cash charges</w:t>
            </w:r>
          </w:p>
        </w:tc>
        <w:tc>
          <w:tcPr>
            <w:tcW w:w="12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(12,007)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8"/>
                <w:szCs w:val="18"/>
                <w:color w:val="auto"/>
                <w:w w:val="91"/>
              </w:rPr>
              <w:t>(3,387)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(15,394)</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(68,813)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91"/>
              </w:rPr>
              <w:t>(2,299)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(71,112)</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Balance, September 30, 2013</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16,707</w:t>
            </w:r>
          </w:p>
        </w:tc>
        <w:tc>
          <w:tcPr>
            <w:tcW w:w="500" w:type="dxa"/>
            <w:vAlign w:val="bottom"/>
          </w:tcPr>
          <w:p>
            <w:pPr>
              <w:spacing w:after="0"/>
              <w:rPr>
                <w:sz w:val="19"/>
                <w:szCs w:val="19"/>
                <w:color w:val="auto"/>
              </w:rPr>
            </w:pP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940"/>
              <w:spacing w:after="0"/>
              <w:rPr>
                <w:sz w:val="20"/>
                <w:szCs w:val="20"/>
                <w:color w:val="auto"/>
              </w:rPr>
            </w:pPr>
            <w:r>
              <w:rPr>
                <w:rFonts w:ascii="Arial" w:cs="Arial" w:eastAsia="Arial" w:hAnsi="Arial"/>
                <w:sz w:val="18"/>
                <w:szCs w:val="18"/>
                <w:color w:val="auto"/>
              </w:rPr>
              <w:t>9,332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$ 26,039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a result of its indirect investment in Lazard Group, Lazard Ltd, through certain of its subsidiaries, is subject to U.S. federal income taxes on its portion of Lazard Group’s operating income. 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2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Company recorded income tax provisions of $18,370 and $31,335 for the three month and nine month periods ended September 30, 2013, respectively, and $13,053 and $32,191 for the three month and nine month periods ended September 30, 2012, respectively, representing effective tax rates of 22.6%, 21.8%, 27.9% and 24.9%, respectively. The difference between the U.S. federal statutory rate of 35.0% and the effective tax rates reflected above principally relates to (i) Lazard Group primarily operating as a limited liability company in the U.S., (ii) taxes payable to foreign jurisdictions that are not offset against U.S. income taxes, (iii) foreign source income (loss) not subject to U.S. income taxes (including interest on intercompany financings), (iv) Lazard Group’s income from U.S. operations attributable to noncontrolling interests, and (v) U.S. state and local taxes (primarily UBT), which are incremental to the U.S. federal statutory tax rate.</w:t>
      </w:r>
    </w:p>
    <w:p>
      <w:pPr>
        <w:spacing w:after="0" w:line="10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Substantially all of Lazard’s foreign operations are conducted in “pass-through” entities for U.S. income tax purposes and the Company provides for U.S. income taxes on a current basis for substantially all of those earnings. The repatriation of prior earnings attributable to “non-pass-through” entities would not result in the recognition of a material amount of additional U.S. income taxes.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redemption of historical partner interests in connection with the Company’s separation and recapitalization that occurred in May 2005 and subsequent exchanges of LAZ-MD Holdings exchangeable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interests for shares of Class A common stock have resulted, and future exchanges of LAZ-MD Holdings exchangeable interests for shares of Class A common stock may result, in increases in the tax basis of the tangible and intangible assets of Lazard Group. The tax receivable agreement dated as of May 10, 2005 with LFCM Holdings LLC (“LFCM Holdings”, see Note 17 below) requires the Company to pay LFCM Holdings 85% of the cash savings, if any, in U.S. federal, state and local income tax or franchise tax that the Company actually realizes as a result of the above-mentioned increases in tax basis. The Company calculates this provision annually and includes such amounts in operating expenses on its consolidated statements of operations once the results of operations for the full year are known. Based on the financial results for the applicable annual periods, there is no provision for such payments in the nine month periods ended September 30, 2013 and 2012. If any provision is required pursuant to the tax receivable agreement, such amount would be fully offset by a reduction in the Company’s income tax expense.</w:t>
      </w:r>
    </w:p>
    <w:p>
      <w:pPr>
        <w:spacing w:after="0" w:line="24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Company’s basic and diluted net income per share calculations for the three month and nine month periods ended September 30, 2013 and 2012 are computed as described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periods, plus applicable adjustments to such net income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of shares of Class A common stock issuable on a non-contingent basis.</w:t>
      </w:r>
    </w:p>
    <w:p>
      <w:pPr>
        <w:spacing w:after="0" w:line="132" w:lineRule="exact"/>
        <w:rPr>
          <w:sz w:val="20"/>
          <w:szCs w:val="20"/>
          <w:color w:val="auto"/>
        </w:rPr>
      </w:pPr>
    </w:p>
    <w:p>
      <w:pPr>
        <w:ind w:right="840" w:firstLine="456"/>
        <w:spacing w:after="0" w:line="332" w:lineRule="auto"/>
        <w:rPr>
          <w:sz w:val="20"/>
          <w:szCs w:val="20"/>
          <w:color w:val="auto"/>
        </w:rPr>
      </w:pPr>
      <w:r>
        <w:rPr>
          <w:rFonts w:ascii="Arial" w:cs="Arial" w:eastAsia="Arial" w:hAnsi="Arial"/>
          <w:sz w:val="16"/>
          <w:szCs w:val="16"/>
          <w:i w:val="1"/>
          <w:iCs w:val="1"/>
          <w:color w:val="auto"/>
        </w:rPr>
        <w:t>Denominator</w:t>
      </w:r>
      <w:r>
        <w:rPr>
          <w:rFonts w:ascii="Arial" w:cs="Arial" w:eastAsia="Arial" w:hAnsi="Arial"/>
          <w:sz w:val="16"/>
          <w:szCs w:val="16"/>
          <w:color w:val="auto"/>
        </w:rPr>
        <w:t>—utilizes the weighted average number of shares of Class A common stock outstanding for the respective periods, plus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to such shares associated with shares of Class A common stock issuable on a non-contingent basis.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periods, as in the basic net income per share calculation described above, plus,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applicable and dilutive, (i) changes in net income attributable to noncontrolling interests resulting from assumed Class A common stock issuances in connection with share-based incentive compensation and, on an “as-if-exchanged” basis, amounts applicable to LAZ-MD Holdings exchangeable interests and (ii) income tax related to (i) above.</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Denominator</w:t>
      </w:r>
      <w:r>
        <w:rPr>
          <w:rFonts w:ascii="Arial" w:cs="Arial" w:eastAsia="Arial" w:hAnsi="Arial"/>
          <w:sz w:val="16"/>
          <w:szCs w:val="16"/>
          <w:color w:val="auto"/>
        </w:rPr>
        <w:t>—utilizes the weighted average number of shares of Class A common stock outstanding for the respective periods, as in the basic net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per share calculation described above, plus, to the extent dilutive, the incremental number of shares of Class A common stock to settle share-based incentive compensation and LAZ-MD Holdings exchangeable interests, using the “treasury stock” method or the “as-if-exchanged” basis, as applicable.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calculations of the Company’s basic and diluted net income per share and weighted average shares outstanding for the three month and nine month periods ended September 30, 2013 and 2012 are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78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89"/>
              </w:rPr>
              <w:t>Three Months Ended</w:t>
            </w:r>
          </w:p>
        </w:tc>
        <w:tc>
          <w:tcPr>
            <w:tcW w:w="24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gridSpan w:val="2"/>
          </w:tcPr>
          <w:p>
            <w:pPr>
              <w:jc w:val="center"/>
              <w:ind w:left="376"/>
              <w:spacing w:after="0"/>
              <w:rPr>
                <w:sz w:val="20"/>
                <w:szCs w:val="20"/>
                <w:color w:val="auto"/>
              </w:rPr>
            </w:pPr>
            <w:r>
              <w:rPr>
                <w:rFonts w:ascii="Arial" w:cs="Arial" w:eastAsia="Arial" w:hAnsi="Arial"/>
                <w:sz w:val="14"/>
                <w:szCs w:val="14"/>
                <w:b w:val="1"/>
                <w:bCs w:val="1"/>
                <w:color w:val="auto"/>
                <w:w w:val="85"/>
              </w:rPr>
              <w:t>September 30,</w:t>
            </w: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Lazard Ltd</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60,282</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$33,301</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$106,995</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0"/>
              </w:rPr>
              <w:t>Add - adjustment associated with Class A common stock issuable on a non-</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contingent basis</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 basic</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60,282</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33,304</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106,995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Adjustments to income relating to interest expense and changes in net</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attributable to noncontrolling interests resulting from</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assumed Class A common stock issuances in connection with</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share-based incentive compensation and exchangeable interests,</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of tax</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4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1,804</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Lazard Ltd - diluted</w:t>
            </w: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$60,598</w:t>
            </w:r>
          </w:p>
        </w:tc>
        <w:tc>
          <w:tcPr>
            <w:tcW w:w="480" w:type="dxa"/>
            <w:vAlign w:val="bottom"/>
          </w:tcPr>
          <w:p>
            <w:pPr>
              <w:spacing w:after="0"/>
              <w:rPr>
                <w:sz w:val="19"/>
                <w:szCs w:val="19"/>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$35,108</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$107,782</w:t>
            </w:r>
          </w:p>
        </w:tc>
        <w:tc>
          <w:tcPr>
            <w:tcW w:w="920" w:type="dxa"/>
            <w:vAlign w:val="bottom"/>
          </w:tcPr>
          <w:p>
            <w:pPr>
              <w:jc w:val="right"/>
              <w:spacing w:after="0"/>
              <w:rPr>
                <w:sz w:val="20"/>
                <w:szCs w:val="20"/>
                <w:color w:val="auto"/>
              </w:rPr>
            </w:pPr>
            <w:r>
              <w:rPr>
                <w:rFonts w:ascii="Arial" w:cs="Arial" w:eastAsia="Arial" w:hAnsi="Arial"/>
                <w:sz w:val="18"/>
                <w:szCs w:val="18"/>
                <w:color w:val="auto"/>
              </w:rPr>
              <w:t>$94,360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5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number of shares of Class A common stock outstanding</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121,441,956</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114,689,712</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119,797,545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116,949,317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3"/>
              </w:rPr>
              <w:t>Add - adjustment for shares of Class A common stock issuable on a non-</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contingent basis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757,998</w:t>
            </w:r>
          </w:p>
        </w:tc>
        <w:tc>
          <w:tcPr>
            <w:tcW w:w="480" w:type="dxa"/>
            <w:vAlign w:val="bottom"/>
          </w:tcPr>
          <w:p>
            <w:pPr>
              <w:spacing w:after="0"/>
              <w:rPr>
                <w:sz w:val="20"/>
                <w:szCs w:val="20"/>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913,639</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758,502</w:t>
            </w:r>
          </w:p>
        </w:tc>
        <w:tc>
          <w:tcPr>
            <w:tcW w:w="920" w:type="dxa"/>
            <w:vAlign w:val="bottom"/>
          </w:tcPr>
          <w:p>
            <w:pPr>
              <w:jc w:val="right"/>
              <w:spacing w:after="0"/>
              <w:rPr>
                <w:sz w:val="20"/>
                <w:szCs w:val="20"/>
                <w:color w:val="auto"/>
              </w:rPr>
            </w:pPr>
            <w:r>
              <w:rPr>
                <w:rFonts w:ascii="Arial" w:cs="Arial" w:eastAsia="Arial" w:hAnsi="Arial"/>
                <w:sz w:val="18"/>
                <w:szCs w:val="18"/>
                <w:color w:val="auto"/>
              </w:rPr>
              <w:t>740,087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 average number of shares of Class A common stock outstanding -</w:t>
            </w: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122,199,954</w:t>
            </w:r>
          </w:p>
        </w:tc>
        <w:tc>
          <w:tcPr>
            <w:tcW w:w="4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115,603,351</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120,556,047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117,689,404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Weighted average number of incremental shares of Class A common</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stock issuable from share-based incentive compensation and</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exchangeable interests</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12,042,190</w:t>
            </w:r>
          </w:p>
        </w:tc>
        <w:tc>
          <w:tcPr>
            <w:tcW w:w="4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19,776,685</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12,617,953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17,847,646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80" w:type="dxa"/>
            <w:vAlign w:val="bottom"/>
            <w:gridSpan w:val="2"/>
          </w:tcPr>
          <w:p>
            <w:pPr>
              <w:spacing w:after="0"/>
              <w:rPr>
                <w:sz w:val="20"/>
                <w:szCs w:val="20"/>
                <w:color w:val="auto"/>
              </w:rPr>
            </w:pPr>
            <w:r>
              <w:rPr>
                <w:rFonts w:ascii="Arial" w:cs="Arial" w:eastAsia="Arial" w:hAnsi="Arial"/>
                <w:sz w:val="18"/>
                <w:szCs w:val="18"/>
                <w:color w:val="auto"/>
                <w:w w:val="89"/>
              </w:rPr>
              <w:t>Weighted average number of shares of Class A common stock outstanding -</w:t>
            </w:r>
          </w:p>
        </w:tc>
        <w:tc>
          <w:tcPr>
            <w:tcW w:w="2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134,242,144</w:t>
            </w:r>
          </w:p>
        </w:tc>
        <w:tc>
          <w:tcPr>
            <w:tcW w:w="480" w:type="dxa"/>
            <w:vAlign w:val="bottom"/>
          </w:tcPr>
          <w:p>
            <w:pPr>
              <w:spacing w:after="0"/>
              <w:rPr>
                <w:sz w:val="19"/>
                <w:szCs w:val="19"/>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135,380,036</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133,174,000</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135,537,050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income attributable to Lazard Ltd per share of Class A common stock:</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$0.49</w:t>
            </w:r>
          </w:p>
        </w:tc>
        <w:tc>
          <w:tcPr>
            <w:tcW w:w="4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$0.29</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$0.89</w:t>
            </w:r>
          </w:p>
        </w:tc>
        <w:tc>
          <w:tcPr>
            <w:tcW w:w="920" w:type="dxa"/>
            <w:vAlign w:val="bottom"/>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$0.26</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$0.81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rPr>
              <w:t>37</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are set forth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84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8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LFCM Holdings</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13,015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20,529</w:t>
            </w: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0" w:type="dxa"/>
            <w:vAlign w:val="bottom"/>
            <w:shd w:val="clear" w:color="auto" w:fill="CCEEFF"/>
          </w:tcPr>
          <w:p>
            <w:pPr>
              <w:spacing w:after="0"/>
              <w:rPr>
                <w:sz w:val="18"/>
                <w:szCs w:val="18"/>
                <w:color w:val="auto"/>
              </w:rPr>
            </w:pPr>
          </w:p>
        </w:tc>
      </w:tr>
      <w:tr>
        <w:trPr>
          <w:trHeight w:val="222"/>
        </w:trPr>
        <w:tc>
          <w:tcPr>
            <w:tcW w:w="8460" w:type="dxa"/>
            <w:vAlign w:val="bottom"/>
          </w:tcPr>
          <w:p>
            <w:pPr>
              <w:ind w:left="44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14,276</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23,801</w:t>
            </w:r>
          </w:p>
        </w:tc>
        <w:tc>
          <w:tcPr>
            <w:tcW w:w="100" w:type="dxa"/>
            <w:vAlign w:val="bottom"/>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LFCM Holdings</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4,335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8"/>
                <w:szCs w:val="18"/>
                <w:color w:val="auto"/>
              </w:rPr>
            </w:pPr>
          </w:p>
        </w:tc>
      </w:tr>
      <w:tr>
        <w:trPr>
          <w:trHeight w:val="222"/>
        </w:trPr>
        <w:tc>
          <w:tcPr>
            <w:tcW w:w="8460" w:type="dxa"/>
            <w:vAlign w:val="bottom"/>
          </w:tcPr>
          <w:p>
            <w:pPr>
              <w:ind w:left="44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4,695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former and current working members, including certain of Lazard’s former and current managing directors (which also include the Company’s executive officers) who were or are also members of LAZ-MD Holdings. In addition to the master separation agreement, dated as of May 10, 2005, by and among Lazard Ltd, Lazard Group, LAZ-MD Holdings and LFCM Holdings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(the “business alliance agreement”). Certain of these agreements are described in more detail in the Company’s Form 10-K.</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For the three month and nine month periods ended September 30, 2013, amounts recorded by Lazard Group relating to the administrative services agreement amounted to $534 and $1,466, respectively, and net referral fees for underwriting, private placement, M&amp;A and restructuring transactions under the business alliance agreement amounted to $1,633 and $1,163, respectively. For the three month and nine month periods ended September 30, 2012, amounts recorded by Lazard Group relating to the administrative services agreement amounted to $666 and $2,181, respectively, and net referral fees for underwriting, private placement, M&amp;A and restructuring transactions under the business alliance agreement amounted to $182 and $4,548,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Receivables from LFCM Holdings and its subsidiaries as of September 30, 2013 and December 31, 2012 include $5,038 and $14,299, respectively, related to administrative and support services and other receivables, which include sublease income and reimbursement of expenses incurred on behalf of LFCM Holdings, and $7,977 and $6,230, respectively, related to referral fees for underwriting and private placement transactions. Payables to LFCM Holdings and its subsidiaries at September 30, 2013 and December 31, 2012 include $4,335 and $2,943, respectively, primarily relating to referral fees for Financial Advisory transactions.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Other receivables and payables at September 30, 2013 and December 31, 2012 primarily relate to referral fees for M&amp;A transactions with MBA Lazard Holdings S.A. and its affiliates, an Argentina-based group in which the Company has a 50% ownership interest, and, at December 31, 2012, a related party loan.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Lazard Group provides certain administrative and support services to LAZ-MD Holdings through an administrative services agreement, with such services generally to be provided until December 31, 2014 unless terminated earlier because of a change in control of either party. Lazard Group charges LAZ-MD Holdings for these services based on Lazard Group’s cost allocation methodology and, for the three month and nine month periods ended September 30, 2013, such charges amounted to $250 and $750, respectively. For the three month and nine month periods ended September 30, 2012, such charges amounted to $188 and $563, respectively.</w:t>
      </w:r>
    </w:p>
    <w:p>
      <w:pPr>
        <w:spacing w:after="0" w:line="26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total aggregate indebtedness recorded in LFNY’s Financial and Operational Combined Uniform Single (“FOCUS”) report filed with the Financial Industry Regulatory Authority (“FINRA”), or $100, whichever is greater. At September 30, 2013, LFNY’s regulatory net capital was $84,678, which exceeded the minimum requirement by $81,181.</w:t>
      </w:r>
    </w:p>
    <w:p>
      <w:pPr>
        <w:spacing w:after="0" w:line="113"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Conduct Authority. At September 30, 2013, the aggregate regulatory net capital of the U.K. Subsidiaries was $66,007, which exceeded the minimum requirement by $51,404.</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ACPR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September 30, 2013, the consolidated regulatory net capital of CFLF was $192,042, which exceeded the minimum requirement set for regulatory capital levels by $158,224.</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September 30, 2013, for those subsidiaries with regulatory capital requirements, their aggregate net capital was $113,317, which exceeded the minimum required capital by $75,584.</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2013, each of these subsidiaries individually was in compliance with its regulatory capital requirements.</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Lazard Ltd had been subject to supervision by the SEC as a Supervised Investment Bank Holding Company (“SIBHC”). As a SIBHC, Lazard Ltd was subject to group-wide supervision, which required it to compute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allowable capital and risk allowances on a consolidated basis. However, pursuant to Section 617 of the Dodd-Frank Wall Street Reform and Consumer Protection Act (the “Dodd-Frank Act”), the SEC’s SIBHC program was eliminated on July 21, 2011.</w:t>
      </w:r>
    </w:p>
    <w:p>
      <w:pPr>
        <w:spacing w:after="0" w:line="13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new supervision, the combined European regulated group will be required to comply with periodic financial, regulatory net capital and other reporting obligations. Additionally, the combined European regulated group, together with our European financial advisory entities, will be required to perform an annual risk assessment and provide certain other information on a periodic basis, including financial reports and information relating to financial performance, balance sheet data and capital structure (which is similar to the information that we have already been providing informally). This new supervision under, and provision of information to, the ACPR is expected to become effective on December 31, 2013.</w:t>
      </w:r>
    </w:p>
    <w:p>
      <w:pPr>
        <w:spacing w:after="0" w:line="11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Dodd-Frank Act and rules and regulations that may be adopted in countries in which we operate (including regulations that have not yet been proposed) could affect us in other ways.</w:t>
      </w:r>
    </w:p>
    <w:p>
      <w:pPr>
        <w:spacing w:after="0" w:line="254"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 Advisory and Asset Management. In addition, as described in Note 1 above, the Company records selected other activities in its Corporate segment.</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Company’s segment information for the three month and nine month periods ended September 30, 2013 and 2012 was prepared using the following methodology:</w:t>
      </w:r>
    </w:p>
    <w:p>
      <w:pPr>
        <w:spacing w:after="0" w:line="51"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2013(a)</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4540" w:type="dxa"/>
            <w:vAlign w:val="bottom"/>
            <w:tcBorders>
              <w:top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Net 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233,842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219,973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665,611</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739,793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540" w:type="dxa"/>
            <w:vAlign w:val="bottom"/>
          </w:tcPr>
          <w:p>
            <w:pPr>
              <w:ind w:left="108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218,015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212,449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674,689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693,546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5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15,827</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46,247</w:t>
            </w:r>
          </w:p>
        </w:tc>
        <w:tc>
          <w:tcPr>
            <w:tcW w:w="0" w:type="dxa"/>
            <w:vAlign w:val="bottom"/>
          </w:tcPr>
          <w:p>
            <w:pPr>
              <w:spacing w:after="0"/>
              <w:rPr>
                <w:sz w:val="1"/>
                <w:szCs w:val="1"/>
                <w:color w:val="auto"/>
              </w:rPr>
            </w:pPr>
          </w:p>
        </w:tc>
      </w:tr>
      <w:tr>
        <w:trPr>
          <w:trHeight w:val="20"/>
        </w:trPr>
        <w:tc>
          <w:tcPr>
            <w:tcW w:w="2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4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500" w:type="dxa"/>
            <w:vAlign w:val="bottom"/>
            <w:gridSpan w:val="3"/>
            <w:vMerge w:val="continue"/>
          </w:tcPr>
          <w:p>
            <w:pPr>
              <w:spacing w:after="0"/>
              <w:rPr>
                <w:sz w:val="24"/>
                <w:szCs w:val="24"/>
                <w:color w:val="auto"/>
              </w:rPr>
            </w:pPr>
          </w:p>
        </w:tc>
        <w:tc>
          <w:tcPr>
            <w:tcW w:w="4540" w:type="dxa"/>
            <w:vAlign w:val="bottom"/>
          </w:tcPr>
          <w:p>
            <w:pPr>
              <w:ind w:left="1080"/>
              <w:spacing w:after="0"/>
              <w:rPr>
                <w:sz w:val="20"/>
                <w:szCs w:val="20"/>
                <w:color w:val="auto"/>
              </w:rPr>
            </w:pPr>
            <w:r>
              <w:rPr>
                <w:rFonts w:ascii="Arial" w:cs="Arial" w:eastAsia="Arial" w:hAnsi="Arial"/>
                <w:sz w:val="18"/>
                <w:szCs w:val="18"/>
                <w:color w:val="auto"/>
              </w:rPr>
              <w:t>Net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252,094</w:t>
            </w:r>
          </w:p>
        </w:tc>
        <w:tc>
          <w:tcPr>
            <w:tcW w:w="2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221,516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741,618</w:t>
            </w:r>
          </w:p>
        </w:tc>
        <w:tc>
          <w:tcPr>
            <w:tcW w:w="4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647,096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5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168,895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160,869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511,526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540" w:type="dxa"/>
            <w:vAlign w:val="bottom"/>
            <w:vMerge w:val="restart"/>
          </w:tcPr>
          <w:p>
            <w:pPr>
              <w:ind w:left="1080"/>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5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83,199</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60,647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230,092</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169,107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45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Revenue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(12,683)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(34,567)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540" w:type="dxa"/>
            <w:vAlign w:val="bottom"/>
          </w:tcPr>
          <w:p>
            <w:pPr>
              <w:ind w:left="108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8,762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42,794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51,138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5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(17,908)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(21,445)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(77,361)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(86,272)</w:t>
            </w:r>
          </w:p>
        </w:tc>
        <w:tc>
          <w:tcPr>
            <w:tcW w:w="0" w:type="dxa"/>
            <w:vAlign w:val="bottom"/>
          </w:tcPr>
          <w:p>
            <w:pPr>
              <w:spacing w:after="0"/>
              <w:rPr>
                <w:sz w:val="1"/>
                <w:szCs w:val="1"/>
                <w:color w:val="auto"/>
              </w:rPr>
            </w:pPr>
          </w:p>
        </w:tc>
      </w:tr>
      <w:tr>
        <w:trPr>
          <w:trHeight w:val="20"/>
        </w:trPr>
        <w:tc>
          <w:tcPr>
            <w:tcW w:w="2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4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500" w:type="dxa"/>
            <w:vAlign w:val="bottom"/>
            <w:gridSpan w:val="3"/>
            <w:vMerge w:val="continue"/>
          </w:tcPr>
          <w:p>
            <w:pPr>
              <w:spacing w:after="0"/>
              <w:rPr>
                <w:sz w:val="24"/>
                <w:szCs w:val="24"/>
                <w:color w:val="auto"/>
              </w:rPr>
            </w:pPr>
          </w:p>
        </w:tc>
        <w:tc>
          <w:tcPr>
            <w:tcW w:w="4540" w:type="dxa"/>
            <w:vAlign w:val="bottom"/>
          </w:tcPr>
          <w:p>
            <w:pPr>
              <w:ind w:left="1080"/>
              <w:spacing w:after="0"/>
              <w:rPr>
                <w:sz w:val="20"/>
                <w:szCs w:val="20"/>
                <w:color w:val="auto"/>
              </w:rPr>
            </w:pPr>
            <w:r>
              <w:rPr>
                <w:rFonts w:ascii="Arial" w:cs="Arial" w:eastAsia="Arial" w:hAnsi="Arial"/>
                <w:sz w:val="18"/>
                <w:szCs w:val="18"/>
                <w:color w:val="auto"/>
              </w:rPr>
              <w:t>Net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480,354</w:t>
            </w:r>
          </w:p>
        </w:tc>
        <w:tc>
          <w:tcPr>
            <w:tcW w:w="2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428,806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1,372,662</w:t>
            </w:r>
          </w:p>
        </w:tc>
        <w:tc>
          <w:tcPr>
            <w:tcW w:w="4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1,351,755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5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399,236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382,080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1,229,009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1,222,673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540" w:type="dxa"/>
            <w:vAlign w:val="bottom"/>
            <w:vMerge w:val="restart"/>
          </w:tcPr>
          <w:p>
            <w:pPr>
              <w:ind w:left="1080"/>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5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81,118</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46,726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143,653</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129,082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4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Note 14 of Notes to Condensed Consolidated Financial Statements for information regarding the Cost Saving Initiatives, and the impact on each of the Company’s business segments during the nine month period ended September 30, 2013.</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180" w:type="dxa"/>
            <w:vAlign w:val="bottom"/>
            <w:gridSpan w:val="3"/>
          </w:tcPr>
          <w:p>
            <w:pPr>
              <w:ind w:left="3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4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4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Financial Advisory</w:t>
            </w:r>
          </w:p>
        </w:tc>
        <w:tc>
          <w:tcPr>
            <w:tcW w:w="4560" w:type="dxa"/>
            <w:vAlign w:val="bottom"/>
            <w:gridSpan w:val="2"/>
          </w:tcPr>
          <w:p>
            <w:pPr>
              <w:ind w:left="44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697,183</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793,007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Management</w:t>
            </w:r>
          </w:p>
        </w:tc>
        <w:tc>
          <w:tcPr>
            <w:tcW w:w="4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632,526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4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1,626,747</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1,627,209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560" w:type="dxa"/>
            <w:vAlign w:val="bottom"/>
            <w:gridSpan w:val="2"/>
            <w:shd w:val="clear" w:color="auto" w:fill="CCEEFF"/>
          </w:tcPr>
          <w:p>
            <w:pPr>
              <w:ind w:left="44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2,956,456</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2,986,893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60" w:type="dxa"/>
            <w:vAlign w:val="bottom"/>
            <w:vMerge w:val="restart"/>
          </w:tcPr>
          <w:p>
            <w:pPr>
              <w:jc w:val="right"/>
              <w:ind w:right="2592"/>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2012 (the “Form 10-K”). All references to “2013”, “2012”, “third quarter”, “nine months” or “the period” refer to, as the context requires, the three month and nine month periods ended September 30, 2013 and September 30,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37"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decline in overall mergers and acquisitions (“M&amp;A”) activity, our share of the M&amp;A market or our assets under management (“AUM”),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These risks and uncertainties are not exhaustive. Other sections of the Form 10-K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13"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ability to deploy surplus cash through dividends, share repurchases and debt repurchases,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ability to offset stockholder dilution through share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levels of 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and its subsidiaries (collectively referred to as “LAM”). Investors can link to Lazard Ltd, Lazard Group and their operating company websites through </w:t>
      </w:r>
      <w:r>
        <w:rPr>
          <w:rFonts w:ascii="Arial" w:cs="Arial" w:eastAsia="Arial" w:hAnsi="Arial"/>
          <w:sz w:val="18"/>
          <w:szCs w:val="18"/>
          <w:i w:val="1"/>
          <w:iCs w:val="1"/>
          <w:color w:val="auto"/>
        </w:rPr>
        <w:t>http://www.lazard.com.</w:t>
      </w:r>
      <w:r>
        <w:rPr>
          <w:rFonts w:ascii="Arial" w:cs="Arial" w:eastAsia="Arial" w:hAnsi="Arial"/>
          <w:sz w:val="18"/>
          <w:szCs w:val="18"/>
          <w:color w:val="auto"/>
        </w:rPr>
        <w:t xml:space="preserve"> Our websites and the information contained therein or connected thereto shall not be deemed to be incorporated into this Form 10-Q.</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40 cities in key business and financial centers across 26 countries throughout Europe, North America, Asia, Australia, the Middle East and Central and South America.</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operate in cyclical businesses across multiple geographies, industries and asset classes. In recent years, we have expanded our geographic reach, bolstered our industry expertise and continued to build in growth areas.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00"/>
          </w:cols>
          <w:pgMar w:left="24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ind w:left="900" w:right="16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820" w:type="dxa"/>
            <w:vAlign w:val="bottom"/>
            <w:gridSpan w:val="4"/>
          </w:tcPr>
          <w:p>
            <w:pPr>
              <w:jc w:val="right"/>
              <w:ind w:right="124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8"/>
              </w:rPr>
              <w:t>Nine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5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September 30,</w:t>
            </w:r>
          </w:p>
        </w:tc>
        <w:tc>
          <w:tcPr>
            <w:tcW w:w="54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2012</w:t>
            </w:r>
          </w:p>
        </w:tc>
        <w:tc>
          <w:tcPr>
            <w:tcW w:w="8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9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76"/>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140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49%</w:t>
            </w: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51%</w:t>
            </w:r>
          </w:p>
        </w:tc>
        <w:tc>
          <w:tcPr>
            <w:tcW w:w="144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Asset Management</w:t>
            </w:r>
          </w:p>
        </w:tc>
        <w:tc>
          <w:tcPr>
            <w:tcW w:w="1400" w:type="dxa"/>
            <w:vAlign w:val="bottom"/>
            <w:gridSpan w:val="2"/>
          </w:tcPr>
          <w:p>
            <w:pPr>
              <w:jc w:val="right"/>
              <w:ind w:right="792"/>
              <w:spacing w:after="0"/>
              <w:rPr>
                <w:sz w:val="20"/>
                <w:szCs w:val="20"/>
                <w:color w:val="auto"/>
              </w:rPr>
            </w:pPr>
            <w:r>
              <w:rPr>
                <w:rFonts w:ascii="Arial" w:cs="Arial" w:eastAsia="Arial" w:hAnsi="Arial"/>
                <w:sz w:val="18"/>
                <w:szCs w:val="18"/>
                <w:color w:val="auto"/>
              </w:rPr>
              <w:t>52</w:t>
            </w:r>
          </w:p>
        </w:tc>
        <w:tc>
          <w:tcPr>
            <w:tcW w:w="1420" w:type="dxa"/>
            <w:vAlign w:val="bottom"/>
            <w:gridSpan w:val="2"/>
          </w:tcPr>
          <w:p>
            <w:pPr>
              <w:jc w:val="right"/>
              <w:ind w:right="880"/>
              <w:spacing w:after="0"/>
              <w:rPr>
                <w:sz w:val="20"/>
                <w:szCs w:val="20"/>
                <w:color w:val="auto"/>
              </w:rPr>
            </w:pPr>
            <w:r>
              <w:rPr>
                <w:rFonts w:ascii="Arial" w:cs="Arial" w:eastAsia="Arial" w:hAnsi="Arial"/>
                <w:sz w:val="18"/>
                <w:szCs w:val="18"/>
                <w:color w:val="auto"/>
              </w:rPr>
              <w:t>52</w:t>
            </w: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40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(1)</w:t>
            </w:r>
          </w:p>
        </w:tc>
        <w:tc>
          <w:tcPr>
            <w:tcW w:w="14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w:t>
            </w:r>
          </w:p>
        </w:tc>
        <w:tc>
          <w:tcPr>
            <w:tcW w:w="144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vMerge w:val="continue"/>
          </w:tcPr>
          <w:p>
            <w:pPr>
              <w:spacing w:after="0"/>
              <w:rPr>
                <w:sz w:val="19"/>
                <w:szCs w:val="19"/>
                <w:color w:val="auto"/>
              </w:rPr>
            </w:pPr>
          </w:p>
        </w:tc>
        <w:tc>
          <w:tcPr>
            <w:tcW w:w="1400" w:type="dxa"/>
            <w:vAlign w:val="bottom"/>
            <w:gridSpan w:val="2"/>
          </w:tcPr>
          <w:p>
            <w:pPr>
              <w:jc w:val="right"/>
              <w:ind w:right="652"/>
              <w:spacing w:after="0"/>
              <w:rPr>
                <w:sz w:val="20"/>
                <w:szCs w:val="20"/>
                <w:color w:val="auto"/>
              </w:rPr>
            </w:pPr>
            <w:r>
              <w:rPr>
                <w:rFonts w:ascii="Arial" w:cs="Arial" w:eastAsia="Arial" w:hAnsi="Arial"/>
                <w:sz w:val="18"/>
                <w:szCs w:val="18"/>
                <w:color w:val="auto"/>
              </w:rPr>
              <w:t>100%</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672"/>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ind w:right="260" w:firstLine="8"/>
        <w:spacing w:after="0" w:line="281" w:lineRule="auto"/>
        <w:tabs>
          <w:tab w:leader="none" w:pos="21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Edgewater Funds (“Edgewater”), our Chicago-based private equity firm (see Note 10 of Notes to Condensed Consolidated Financial Statements), (ii) Lazard Australia Corporate Opportunities Fund 2 (“COF2”), a Lazard-managed Australian private equity fund targeting Australasian mid-market investments,</w:t>
      </w:r>
    </w:p>
    <w:p>
      <w:pPr>
        <w:spacing w:after="0" w:line="1" w:lineRule="exact"/>
        <w:rPr>
          <w:rFonts w:ascii="Arial" w:cs="Arial" w:eastAsia="Arial" w:hAnsi="Arial"/>
          <w:sz w:val="16"/>
          <w:szCs w:val="16"/>
          <w:color w:val="auto"/>
        </w:rPr>
      </w:pPr>
    </w:p>
    <w:p>
      <w:pPr>
        <w:ind w:firstLine="8"/>
        <w:spacing w:after="0" w:line="292" w:lineRule="auto"/>
        <w:tabs>
          <w:tab w:leader="none" w:pos="307"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mezzanine fund, which invests in mezzanine debt of a diversified selection of small-to mid-cap European companies and (iv) a private equity fund targeting significant noncontrolling-stake investments in established private companies. We may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any obligations to LFCM Holdings LLC (“LFCM Holdings”), we may explore discrete capital markets opportunities.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Economic and global financial market conditions can materially affect our financial performance. As described above, our principal sources of revenue are derived from activities in our Financial Advisory and Asset Management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4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Equity market indices for developed markets at September 30, 2013 increased when compared to such indices at September 30, 2012, December 31, 2012 and June 30, 2013. Emerging market indices at September 30, 2013 generally decreased as compared to September 30, 2012 and December 31, 2012, but have increased as compared to June 30, 2013. On an industry-wide basis, during the first nine months of 2013, the value and number of completed M&amp;A transactions decreased, as compared to the corresponding prior year period. Global restructuring activity, as measured by the number of corporate defaults, increased in the first nine months of 2013 as compared to the corresponding period last year, but the aggregate value of debt defaults remains low, consistent with the last several years.</w:t>
      </w:r>
    </w:p>
    <w:p>
      <w:pPr>
        <w:spacing w:after="0" w:line="14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Entering the fourth quarter of 2013, interest rates remain low relative to historical levels and corporate cash balances remain high. Global macroeconomic conditions appear to be improving but remain uncertain, especially with respect to Europe. The breadth of our businesses has mitigated the impact of the European financial crisis. Although the number of completed European M&amp;A transactions declined in the first nine months of 2013 and contributed to the revenue decrease in our Financial Advisory business, we believe other advisory opportunities, including opportunities for our Sovereign Advisory and Capital Advisory businesses, may offset the slowdown. In our Asset Management business, most of LAM’s European clients are invested with LAM primarily outside of Europe. Many of those who are invested in Europe are invested in European fixed income, which has not had a significant impact on our Asset Management business. Nonetheless, the business situation in Europe remains challenging. Despite volatility in emerging markets during the third quarter of 2013, we have experienced positive flows in our Emerging Markets debt and Emerging Market and Multi-Regional equity platforms.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intend to leverage our existing infrastructure to capitalize on any global macroeconomic recovery, any upturn in the M&amp;A cycle, and any momentum in the global equity markets. We expect to generate revenue growth by remaining adequately staffed to capitalize on any macroeconomic recovery and deploying our intellectual capital to generate new revenue streams. We also remain focused on expense management, and in October 2012 we announced a number of cost saving initiatives (the “cost saving initiatives”) relating to our operations. See “Cost Saving Initiatives” below and Note 14 of Notes to Condensed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20" w:right="20" w:hanging="345"/>
        <w:spacing w:after="0" w:line="289" w:lineRule="auto"/>
        <w:tabs>
          <w:tab w:leader="none" w:pos="92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In the near- to mid-term, we expect that the U.S. macroeconomic environment will likely be the strongest of the developed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economies. Certain legal decisions in the U.S. reinforce the importance of independent advice, and the global scale and breadth of our Financial Advisory business allows us to advise on large, complex cross-border transactions across a variety of industries. We continue to develop our range of advisory capabilities, in particular in Europe, with our Sovereign Advisory, Restructuring and Capital Advisory businesses. In addition, we believe our businesses throughout the emerging markets, Japan and Australia position us for growth in these markets, while strengthening and distinguishing our relationships with clients in developed economies. We recently integrated our Brazilian operations based in São Paulo. We also established the Lazard Africa initiative, to leverage our sovereign and corporate expertise in this rapidly growing region, for our clients in both developed and developing countries.</w:t>
      </w:r>
    </w:p>
    <w:p>
      <w:pPr>
        <w:spacing w:after="0" w:line="37" w:lineRule="exact"/>
        <w:rPr>
          <w:rFonts w:ascii="Arial" w:cs="Arial" w:eastAsia="Arial" w:hAnsi="Arial"/>
          <w:sz w:val="16"/>
          <w:szCs w:val="16"/>
          <w:color w:val="auto"/>
        </w:rPr>
      </w:pPr>
    </w:p>
    <w:p>
      <w:pPr>
        <w:ind w:left="920" w:hanging="345"/>
        <w:spacing w:after="0" w:line="256"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Asset Management </w:t>
      </w:r>
      <w:r>
        <w:rPr>
          <w:rFonts w:ascii="Arial" w:cs="Arial" w:eastAsia="Arial" w:hAnsi="Arial"/>
          <w:sz w:val="18"/>
          <w:szCs w:val="18"/>
          <w:color w:val="auto"/>
        </w:rPr>
        <w:t>– Generally, we have seen increased investor demand across regions and investment platforms. In the short to intermediate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spacing w:after="0" w:line="290" w:lineRule="auto"/>
        <w:rPr>
          <w:sz w:val="20"/>
          <w:szCs w:val="20"/>
          <w:color w:val="auto"/>
        </w:rPr>
      </w:pPr>
      <w:r>
        <w:rPr>
          <w:rFonts w:ascii="Arial" w:cs="Arial" w:eastAsia="Arial" w:hAnsi="Arial"/>
          <w:sz w:val="16"/>
          <w:szCs w:val="16"/>
          <w:color w:val="auto"/>
        </w:rPr>
        <w:t>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We recently extended the global footprint of our Asset Management business by opening new offices in Zurich and Singapore. We are continually developing and seeding new investment strategies that extend our existing platforms. Recent examples of growth initiatives include the following investment strategies: Emerging Markets Debt, Core Emerging Markets Equity, Emerging Markets Small Cap Equity, Real Estate, Managed Volatility Strategies and Asian Equities.</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the section entitled “Risk Factors” in our Form 10-K. Furthermore, net income and revenue in any period may not be indicative of full-year results or the results of any other period and may vary significantly from year to year and quarter to quarter.</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and earnings growth and stockholder returns, the prudent management of our costs and expenses, the efficient use of our assets and the return of capital to our stockholders.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As reflected in the following table, which sets forth global industry statistics for the third quarter and first nine months of 2013 and 2012, the value and number of completed M&amp;A transactions in the 2013 periods decreased compared to the corresponding periods in 2012. With respect to announced M&amp;A transactions, the increase in value was primarily driven by one large transaction, while the number decreased compared to the corresponding periods in 2012.</w:t>
      </w:r>
    </w:p>
    <w:p>
      <w:pPr>
        <w:spacing w:after="0" w:line="11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60" w:type="dxa"/>
            <w:vAlign w:val="bottom"/>
            <w:gridSpan w:val="4"/>
          </w:tcPr>
          <w:p>
            <w:pPr>
              <w:jc w:val="right"/>
              <w:ind w:right="1272"/>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Nine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2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2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jc w:val="right"/>
              <w:ind w:right="219"/>
              <w:spacing w:after="0" w:line="129" w:lineRule="exact"/>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jc w:val="right"/>
              <w:ind w:right="219"/>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2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36"/>
              <w:spacing w:after="0"/>
              <w:rPr>
                <w:sz w:val="20"/>
                <w:szCs w:val="20"/>
                <w:color w:val="auto"/>
              </w:rPr>
            </w:pPr>
            <w:r>
              <w:rPr>
                <w:rFonts w:ascii="Arial" w:cs="Arial" w:eastAsia="Arial" w:hAnsi="Arial"/>
                <w:sz w:val="14"/>
                <w:szCs w:val="14"/>
                <w:b w:val="1"/>
                <w:bCs w:val="1"/>
                <w:color w:val="auto"/>
                <w:w w:val="89"/>
              </w:rPr>
              <w:t>2013</w:t>
            </w:r>
          </w:p>
        </w:tc>
        <w:tc>
          <w:tcPr>
            <w:tcW w:w="440" w:type="dxa"/>
            <w:vAlign w:val="bottom"/>
          </w:tcPr>
          <w:p>
            <w:pPr>
              <w:spacing w:after="0"/>
              <w:rPr>
                <w:sz w:val="14"/>
                <w:szCs w:val="14"/>
                <w:color w:val="auto"/>
              </w:rPr>
            </w:pPr>
          </w:p>
        </w:tc>
        <w:tc>
          <w:tcPr>
            <w:tcW w:w="780" w:type="dxa"/>
            <w:vAlign w:val="bottom"/>
          </w:tcPr>
          <w:p>
            <w:pPr>
              <w:jc w:val="right"/>
              <w:ind w:right="396"/>
              <w:spacing w:after="0"/>
              <w:rPr>
                <w:sz w:val="20"/>
                <w:szCs w:val="20"/>
                <w:color w:val="auto"/>
              </w:rPr>
            </w:pPr>
            <w:r>
              <w:rPr>
                <w:rFonts w:ascii="Arial" w:cs="Arial" w:eastAsia="Arial" w:hAnsi="Arial"/>
                <w:sz w:val="14"/>
                <w:szCs w:val="14"/>
                <w:b w:val="1"/>
                <w:bCs w:val="1"/>
                <w:color w:val="auto"/>
                <w:w w:val="89"/>
              </w:rPr>
              <w:t>2012</w:t>
            </w:r>
          </w:p>
        </w:tc>
        <w:tc>
          <w:tcPr>
            <w:tcW w:w="1440" w:type="dxa"/>
            <w:vAlign w:val="bottom"/>
            <w:gridSpan w:val="2"/>
          </w:tcPr>
          <w:p>
            <w:pPr>
              <w:jc w:val="right"/>
              <w:ind w:right="572"/>
              <w:spacing w:after="0"/>
              <w:rPr>
                <w:sz w:val="20"/>
                <w:szCs w:val="20"/>
                <w:color w:val="auto"/>
              </w:rPr>
            </w:pPr>
            <w:r>
              <w:rPr>
                <w:rFonts w:ascii="Arial" w:cs="Arial" w:eastAsia="Arial" w:hAnsi="Arial"/>
                <w:sz w:val="14"/>
                <w:szCs w:val="14"/>
                <w:b w:val="1"/>
                <w:bCs w:val="1"/>
                <w:color w:val="auto"/>
              </w:rPr>
              <w:t>Incr / (Decr)</w:t>
            </w:r>
          </w:p>
        </w:tc>
        <w:tc>
          <w:tcPr>
            <w:tcW w:w="8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4"/>
                <w:szCs w:val="14"/>
                <w:color w:val="auto"/>
              </w:rPr>
            </w:pPr>
          </w:p>
        </w:tc>
        <w:tc>
          <w:tcPr>
            <w:tcW w:w="920" w:type="dxa"/>
            <w:vAlign w:val="bottom"/>
          </w:tcPr>
          <w:p>
            <w:pPr>
              <w:jc w:val="right"/>
              <w:ind w:right="496"/>
              <w:spacing w:after="0"/>
              <w:rPr>
                <w:sz w:val="20"/>
                <w:szCs w:val="20"/>
                <w:color w:val="auto"/>
              </w:rPr>
            </w:pPr>
            <w:r>
              <w:rPr>
                <w:rFonts w:ascii="Arial" w:cs="Arial" w:eastAsia="Arial" w:hAnsi="Arial"/>
                <w:sz w:val="14"/>
                <w:szCs w:val="14"/>
                <w:b w:val="1"/>
                <w:bCs w:val="1"/>
                <w:color w:val="auto"/>
              </w:rPr>
              <w:t>2012</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Incr / (Decr)</w:t>
            </w:r>
          </w:p>
        </w:tc>
      </w:tr>
      <w:tr>
        <w:trPr>
          <w:trHeight w:val="142"/>
        </w:trPr>
        <w:tc>
          <w:tcPr>
            <w:tcW w:w="2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right"/>
              <w:ind w:right="476"/>
              <w:spacing w:after="0" w:line="142" w:lineRule="exact"/>
              <w:rPr>
                <w:sz w:val="20"/>
                <w:szCs w:val="20"/>
                <w:color w:val="auto"/>
              </w:rPr>
            </w:pPr>
            <w:r>
              <w:rPr>
                <w:rFonts w:ascii="Arial" w:cs="Arial" w:eastAsia="Arial" w:hAnsi="Arial"/>
                <w:sz w:val="14"/>
                <w:szCs w:val="14"/>
                <w:b w:val="1"/>
                <w:bCs w:val="1"/>
                <w:color w:val="auto"/>
                <w:w w:val="85"/>
              </w:rPr>
              <w:t>($ in billions)</w:t>
            </w:r>
          </w:p>
        </w:tc>
        <w:tc>
          <w:tcPr>
            <w:tcW w:w="4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840" w:type="dxa"/>
            <w:vAlign w:val="bottom"/>
          </w:tcPr>
          <w:p>
            <w:pPr>
              <w:ind w:left="880"/>
              <w:spacing w:after="0"/>
              <w:rPr>
                <w:sz w:val="20"/>
                <w:szCs w:val="20"/>
                <w:color w:val="auto"/>
              </w:rPr>
            </w:pPr>
            <w:r>
              <w:rPr>
                <w:rFonts w:ascii="Arial" w:cs="Arial" w:eastAsia="Arial" w:hAnsi="Arial"/>
                <w:sz w:val="18"/>
                <w:szCs w:val="18"/>
                <w:color w:val="auto"/>
              </w:rPr>
              <w:t>Value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6"/>
              <w:spacing w:after="0"/>
              <w:rPr>
                <w:sz w:val="20"/>
                <w:szCs w:val="20"/>
                <w:color w:val="auto"/>
              </w:rPr>
            </w:pPr>
            <w:r>
              <w:rPr>
                <w:rFonts w:ascii="Arial" w:cs="Arial" w:eastAsia="Arial" w:hAnsi="Arial"/>
                <w:sz w:val="18"/>
                <w:szCs w:val="18"/>
                <w:color w:val="auto"/>
              </w:rPr>
              <w:t>364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96"/>
              <w:spacing w:after="0"/>
              <w:rPr>
                <w:sz w:val="20"/>
                <w:szCs w:val="20"/>
                <w:color w:val="auto"/>
              </w:rPr>
            </w:pPr>
            <w:r>
              <w:rPr>
                <w:rFonts w:ascii="Arial" w:cs="Arial" w:eastAsia="Arial" w:hAnsi="Arial"/>
                <w:sz w:val="18"/>
                <w:szCs w:val="18"/>
                <w:color w:val="auto"/>
              </w:rPr>
              <w:t>478</w:t>
            </w:r>
          </w:p>
        </w:tc>
        <w:tc>
          <w:tcPr>
            <w:tcW w:w="1440" w:type="dxa"/>
            <w:vAlign w:val="bottom"/>
            <w:gridSpan w:val="2"/>
          </w:tcPr>
          <w:p>
            <w:pPr>
              <w:jc w:val="right"/>
              <w:ind w:right="352"/>
              <w:spacing w:after="0"/>
              <w:rPr>
                <w:sz w:val="20"/>
                <w:szCs w:val="20"/>
                <w:color w:val="auto"/>
              </w:rPr>
            </w:pPr>
            <w:r>
              <w:rPr>
                <w:rFonts w:ascii="Arial" w:cs="Arial" w:eastAsia="Arial" w:hAnsi="Arial"/>
                <w:sz w:val="18"/>
                <w:szCs w:val="18"/>
                <w:color w:val="auto"/>
              </w:rPr>
              <w:t>(24)%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1,425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6"/>
              <w:spacing w:after="0"/>
              <w:rPr>
                <w:sz w:val="20"/>
                <w:szCs w:val="20"/>
                <w:color w:val="auto"/>
              </w:rPr>
            </w:pPr>
            <w:r>
              <w:rPr>
                <w:rFonts w:ascii="Arial" w:cs="Arial" w:eastAsia="Arial" w:hAnsi="Arial"/>
                <w:sz w:val="18"/>
                <w:szCs w:val="18"/>
                <w:color w:val="auto"/>
              </w:rPr>
              <w:t>1,454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2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84"/>
              </w:rPr>
              <w:t>6,220</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84"/>
              </w:rPr>
              <w:t>7,201</w:t>
            </w:r>
          </w:p>
        </w:tc>
        <w:tc>
          <w:tcPr>
            <w:tcW w:w="14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87"/>
              </w:rPr>
              <w:t>19,632</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87"/>
              </w:rPr>
              <w:t>22,304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284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709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553</w:t>
            </w:r>
          </w:p>
        </w:tc>
        <w:tc>
          <w:tcPr>
            <w:tcW w:w="14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1,701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1,665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22"/>
        </w:trPr>
        <w:tc>
          <w:tcPr>
            <w:tcW w:w="2840" w:type="dxa"/>
            <w:vAlign w:val="bottom"/>
          </w:tcPr>
          <w:p>
            <w:pPr>
              <w:ind w:left="880"/>
              <w:spacing w:after="0"/>
              <w:rPr>
                <w:sz w:val="20"/>
                <w:szCs w:val="20"/>
                <w:color w:val="auto"/>
              </w:rPr>
            </w:pPr>
            <w:r>
              <w:rPr>
                <w:rFonts w:ascii="Arial" w:cs="Arial" w:eastAsia="Arial" w:hAnsi="Arial"/>
                <w:sz w:val="18"/>
                <w:szCs w:val="18"/>
                <w:color w:val="auto"/>
              </w:rPr>
              <w:t>Number</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36"/>
              <w:spacing w:after="0"/>
              <w:rPr>
                <w:sz w:val="20"/>
                <w:szCs w:val="20"/>
                <w:color w:val="auto"/>
              </w:rPr>
            </w:pPr>
            <w:r>
              <w:rPr>
                <w:rFonts w:ascii="Arial" w:cs="Arial" w:eastAsia="Arial" w:hAnsi="Arial"/>
                <w:sz w:val="18"/>
                <w:szCs w:val="18"/>
                <w:color w:val="auto"/>
                <w:w w:val="84"/>
              </w:rPr>
              <w:t>8,748</w:t>
            </w:r>
          </w:p>
        </w:tc>
        <w:tc>
          <w:tcPr>
            <w:tcW w:w="440" w:type="dxa"/>
            <w:vAlign w:val="bottom"/>
          </w:tcPr>
          <w:p>
            <w:pPr>
              <w:spacing w:after="0"/>
              <w:rPr>
                <w:sz w:val="19"/>
                <w:szCs w:val="19"/>
                <w:color w:val="auto"/>
              </w:rPr>
            </w:pPr>
          </w:p>
        </w:tc>
        <w:tc>
          <w:tcPr>
            <w:tcW w:w="780" w:type="dxa"/>
            <w:vAlign w:val="bottom"/>
          </w:tcPr>
          <w:p>
            <w:pPr>
              <w:jc w:val="right"/>
              <w:ind w:right="296"/>
              <w:spacing w:after="0"/>
              <w:rPr>
                <w:sz w:val="20"/>
                <w:szCs w:val="20"/>
                <w:color w:val="auto"/>
              </w:rPr>
            </w:pPr>
            <w:r>
              <w:rPr>
                <w:rFonts w:ascii="Arial" w:cs="Arial" w:eastAsia="Arial" w:hAnsi="Arial"/>
                <w:sz w:val="18"/>
                <w:szCs w:val="18"/>
                <w:color w:val="auto"/>
                <w:w w:val="84"/>
              </w:rPr>
              <w:t>9,364</w:t>
            </w:r>
          </w:p>
        </w:tc>
        <w:tc>
          <w:tcPr>
            <w:tcW w:w="1440" w:type="dxa"/>
            <w:vAlign w:val="bottom"/>
            <w:gridSpan w:val="2"/>
          </w:tcPr>
          <w:p>
            <w:pPr>
              <w:jc w:val="right"/>
              <w:ind w:right="352"/>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Arial" w:cs="Arial" w:eastAsia="Arial" w:hAnsi="Arial"/>
                <w:sz w:val="18"/>
                <w:szCs w:val="18"/>
                <w:color w:val="auto"/>
                <w:w w:val="87"/>
              </w:rPr>
              <w:t>26,448</w:t>
            </w:r>
          </w:p>
        </w:tc>
        <w:tc>
          <w:tcPr>
            <w:tcW w:w="420" w:type="dxa"/>
            <w:vAlign w:val="bottom"/>
          </w:tcPr>
          <w:p>
            <w:pPr>
              <w:spacing w:after="0"/>
              <w:rPr>
                <w:sz w:val="19"/>
                <w:szCs w:val="19"/>
                <w:color w:val="auto"/>
              </w:rPr>
            </w:pPr>
          </w:p>
        </w:tc>
        <w:tc>
          <w:tcPr>
            <w:tcW w:w="920" w:type="dxa"/>
            <w:vAlign w:val="bottom"/>
          </w:tcPr>
          <w:p>
            <w:pPr>
              <w:jc w:val="right"/>
              <w:ind w:right="336"/>
              <w:spacing w:after="0"/>
              <w:rPr>
                <w:sz w:val="20"/>
                <w:szCs w:val="20"/>
                <w:color w:val="auto"/>
              </w:rPr>
            </w:pPr>
            <w:r>
              <w:rPr>
                <w:rFonts w:ascii="Arial" w:cs="Arial" w:eastAsia="Arial" w:hAnsi="Arial"/>
                <w:sz w:val="18"/>
                <w:szCs w:val="18"/>
                <w:color w:val="auto"/>
                <w:w w:val="87"/>
              </w:rPr>
              <w:t>28,599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Source:Thomson Reuters as of October 7, 2013.</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Global restructuring activity, as measured by the number of corporate defaults, increased in the first nine months of 2013 as compared to the corresponding period last year, but the aggregate value of debt defaults remains low, consistent with the last several years. The number of defaulting issuers increased to 51 in the first nine months of 2013, according to Moody’s Investors Service, Inc., as compared to 46 in the corresponding period of 2012.</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comparison of major equity market indices at September 30, 2013, to such indices at June 30, 2013, December 31, 2012 and September 30, 2012, is shown in the table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 Changes</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48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rPr>
              <w:t>September 30, 2013 vs.</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4860" w:type="dxa"/>
            <w:vAlign w:val="bottom"/>
          </w:tcPr>
          <w:p>
            <w:pPr>
              <w:spacing w:after="0"/>
              <w:rPr>
                <w:sz w:val="11"/>
                <w:szCs w:val="11"/>
                <w:color w:val="auto"/>
              </w:rPr>
            </w:pPr>
          </w:p>
        </w:tc>
        <w:tc>
          <w:tcPr>
            <w:tcW w:w="110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1"/>
                <w:szCs w:val="11"/>
                <w:color w:val="auto"/>
              </w:rPr>
            </w:pPr>
          </w:p>
        </w:tc>
        <w:tc>
          <w:tcPr>
            <w:tcW w:w="20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1"/>
                <w:szCs w:val="11"/>
                <w:color w:val="auto"/>
              </w:rPr>
            </w:pPr>
          </w:p>
        </w:tc>
      </w:tr>
      <w:tr>
        <w:trPr>
          <w:trHeight w:val="161"/>
        </w:trPr>
        <w:tc>
          <w:tcPr>
            <w:tcW w:w="48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2012</w:t>
            </w:r>
          </w:p>
        </w:tc>
        <w:tc>
          <w:tcPr>
            <w:tcW w:w="12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r>
      <w:tr>
        <w:trPr>
          <w:trHeight w:val="210"/>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Euro Stoxx</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2540" w:type="dxa"/>
            <w:vAlign w:val="bottom"/>
            <w:gridSpan w:val="3"/>
          </w:tcPr>
          <w:p>
            <w:pPr>
              <w:jc w:val="right"/>
              <w:ind w:right="1060"/>
              <w:spacing w:after="0"/>
              <w:rPr>
                <w:sz w:val="20"/>
                <w:szCs w:val="20"/>
                <w:color w:val="auto"/>
              </w:rPr>
            </w:pPr>
            <w:r>
              <w:rPr>
                <w:rFonts w:ascii="Arial" w:cs="Arial" w:eastAsia="Arial" w:hAnsi="Arial"/>
                <w:sz w:val="18"/>
                <w:szCs w:val="18"/>
                <w:color w:val="auto"/>
              </w:rPr>
              <w:t>10%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MSCI Emerging Market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254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(7)%</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S&amp;P 500</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2540" w:type="dxa"/>
            <w:vAlign w:val="bottom"/>
            <w:gridSpan w:val="3"/>
          </w:tcPr>
          <w:p>
            <w:pPr>
              <w:jc w:val="right"/>
              <w:ind w:right="1060"/>
              <w:spacing w:after="0"/>
              <w:rPr>
                <w:sz w:val="20"/>
                <w:szCs w:val="20"/>
                <w:color w:val="auto"/>
              </w:rPr>
            </w:pPr>
            <w:r>
              <w:rPr>
                <w:rFonts w:ascii="Arial" w:cs="Arial" w:eastAsia="Arial" w:hAnsi="Arial"/>
                <w:sz w:val="18"/>
                <w:szCs w:val="18"/>
                <w:color w:val="auto"/>
              </w:rPr>
              <w:t>19%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bl>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AUM product mix. Accordingly, market movements, foreign currency volatility and changes in our AUM product mix will impact the level of revenues we receive from our Asset Management business when comparing periodic results. A substantial portion of our AUM is invested in equities, and market movements reflected in the changes in Lazard’s AUM during the period reflect the changes in global equity market indices. Our AUM at September 30, 2013 increased 6% versus AUM at December 31, 2012, primarily due to market appreciation. Average AUM for the first nine months of 2013 increased 11% as compared to average AUM for the corresponding period of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Saving Initiatives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October 2012, we announced cost saving initiatives which, at that time, were expected to result in approximately $125 million in annual savings from our compensation and non-compensation cost base. We currently expect total annual savings related to the cost saving initiatives to be approximately $160 million, partially offset by investment in our business.</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Approximately $120 million of the expected annual savings relate to compensation expense associated with our headcount, and approximately $40 million to non-compensation expense. We anticipate that more than two-thirds of these savings will be realized in 2013, with the full impact of all the savings reflected in our 2014 results.</w:t>
      </w:r>
    </w:p>
    <w:p>
      <w:pPr>
        <w:spacing w:after="0" w:line="14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Expenses associated with implementation of the cost saving initiatives were completed in the second quarter of 2013 and have been reflected in our financial results. These implementation expenses were approximately: $38 million in the second quarter of 2013; $26 million in the first quarter of 2013; and $103 million in the fourth quarter of 2012, for a total of approximately $167 million.</w:t>
      </w:r>
    </w:p>
    <w:p>
      <w:pPr>
        <w:spacing w:after="0" w:line="140"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The cost saving initiatives are intended to improve our profitability with minimal impact on revenue growth. The initiatives include: streamlining our corporate structure and consolidating support functions; realigning our investments into areas with potential for the greatest long-term return; the settlement of certain contractual obligations; occupancy cost reduction; and creating greater flexibility to retain and attract the best people and invest in new growth areas.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14 of Notes to Condensed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majority of Lazard’s Financial Advisory net revenue historically has been earned from the successful completion of M&amp;A transactions, strategic advisory matters, restructuring and capital structure advisory services,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and for referring opportunities to LFCM Holdings for underwriting, distribution and placement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 funds, such as hedge funds and private equity funds, and lower fees earned on fixed income and cash management products.</w:t>
      </w:r>
    </w:p>
    <w:p>
      <w:pPr>
        <w:spacing w:after="0" w:line="12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principal investments in private equity funds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“equity method” investments, net hedging activities, as well as gains and losses on investments held in connection with Lazard Fund Interests and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 The Company holds no “available-for-sale” or “held-to-maturity” investments.</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Although Corporate segment net revenue during the first nine months of 2013 represented (2)% of Lazard’s net revenue, total assets in the Corporate segment represented 55% of Lazard’s consolidated total assets as of September 30, 2013, which are attributable to investments in government bonds and money market funds, fixed income funds, alternative investment funds and other securities, private equity investments, cash and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2005 Equity Incentive Plan (the “2005 Plan”) and the Lazard Ltd 2008 Incentive Compensation Plan (the “2008 Plan”) and (b) Lazard Fund Interests awards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competitive pay conditions and the nature of revenues earned, as well as the mix between current and deferred compensation.</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actual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as modified by the following items:</w:t>
      </w:r>
    </w:p>
    <w:p>
      <w:pPr>
        <w:spacing w:after="0" w:line="32" w:lineRule="exact"/>
        <w:rPr>
          <w:sz w:val="20"/>
          <w:szCs w:val="20"/>
          <w:color w:val="auto"/>
        </w:rPr>
      </w:pPr>
    </w:p>
    <w:p>
      <w:pPr>
        <w:ind w:left="9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deduct amortization expense recorded for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add (i) the grant date fair value of the deferred incentive compensation awards granted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grant date fair value of deferred incentive awards granted in 2013, 2012 and 2011 related to the 2012, 2011 and 2010 year-end compensation processes, respectively) and (ii) investments in people (</w:t>
      </w:r>
      <w:r>
        <w:rPr>
          <w:rFonts w:ascii="Arial" w:cs="Arial" w:eastAsia="Arial" w:hAnsi="Arial"/>
          <w:sz w:val="16"/>
          <w:szCs w:val="16"/>
          <w:i w:val="1"/>
          <w:iCs w:val="1"/>
          <w:color w:val="auto"/>
        </w:rPr>
        <w:t>e.g</w:t>
      </w:r>
      <w:r>
        <w:rPr>
          <w:rFonts w:ascii="Arial" w:cs="Arial" w:eastAsia="Arial" w:hAnsi="Arial"/>
          <w:sz w:val="16"/>
          <w:szCs w:val="16"/>
          <w:color w:val="auto"/>
        </w:rPr>
        <w:t>. “sign-on” bonuses) and other special deferred incentive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Compensation and benefits expense is the largest component of our operating expenses. Our goal is for awarded compensation and benefits expense to rise at a slower rate than operating revenue growth, and if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operating revenue declines, awarded compensation and benefits expense should also decline. In addition, we seek to maintain discipline with respect to the rate at which we award deferred compensation. Based on a similar level and mix of revenues from our business as in 2012 and a gradual improvement in the macroeconomic environment, we believe that over the cycle we can attain a ratio of awarded compensation and benefits expense to operating revenue in the mid-to-high-50s percentage range, which compares to 59.4% for the year ended December 31, 2012. While we have implemented initiatives, including the cost saving initiatives announced in October 2012 (see “Cost Saving Initiatives” above),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changes in the mix of revenues from our businesses or various other factors could prevent us from attaining this goal.</w:t>
      </w:r>
    </w:p>
    <w:p>
      <w:pPr>
        <w:spacing w:after="0" w:line="12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amortization of intangible assets related to acquisitions and, in the 2012 and 2013 periods, the relevant portions of the expense relating to the first quarter 2012 staff reductions and the implementation of the cost saving initiatives. Amortization of intangible assets relates primarily to the acquisition of Edgewater.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a result of its indirect investment in Lazard Group, Lazard Ltd, through certain of its subsidiaries, is subject to U.S. federal income taxes on its portion of Lazard Group’s operating income. 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principally related to foreign taxes from non-U.S. entities and to New York City Unincorporated Business Tax (“UBT”) attributable to Lazard’s operations apportioned to New York City.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Noncontrolling interests primarily consist of amounts related to Edgewater’s management vehicles that the Company is deemed to control but not own and the amount attributable to LAZ-MD Holdings’ ownership interest in the net income of Lazard Group. See Note 11 of Notes to Condensed Consolidated Financial Statements for information regarding the Company’s noncontrolling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condensed consolidated financial statements are prepared in conformity with accounting principles generally accepted in the United States of America (“U.S. GAAP”). Selected financial data from the Company’s reported condensed consolidated results of operations is set forth below, followed by a more detailed discussion of both the consolidated and business segment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right"/>
              <w:ind w:right="752"/>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0" w:type="dxa"/>
            <w:vAlign w:val="bottom"/>
            <w:gridSpan w:val="5"/>
          </w:tcPr>
          <w:p>
            <w:pPr>
              <w:jc w:val="right"/>
              <w:ind w:right="126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480,354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428,806</w:t>
            </w:r>
          </w:p>
        </w:tc>
        <w:tc>
          <w:tcPr>
            <w:tcW w:w="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1,372,662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1,351,755</w:t>
            </w:r>
          </w:p>
        </w:tc>
        <w:tc>
          <w:tcPr>
            <w:tcW w:w="0" w:type="dxa"/>
            <w:vAlign w:val="bottom"/>
          </w:tcPr>
          <w:p>
            <w:pPr>
              <w:spacing w:after="0"/>
              <w:rPr>
                <w:sz w:val="1"/>
                <w:szCs w:val="1"/>
                <w:color w:val="auto"/>
              </w:rPr>
            </w:pPr>
          </w:p>
        </w:tc>
      </w:tr>
      <w:tr>
        <w:trPr>
          <w:trHeight w:val="330"/>
        </w:trPr>
        <w:tc>
          <w:tcPr>
            <w:tcW w:w="5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9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301,809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283,818</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910,679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905,527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96,550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95,768</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315,572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310,974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399,236</w:t>
            </w: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382,080</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1,229,009</w:t>
            </w: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1,222,673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81,118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46,726</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143,653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129,082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18,370</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13,053</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31,335</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33,673</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112,318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96,891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Less – Net Income Attributable to</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24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Noncontrolling Interests</w:t>
            </w:r>
          </w:p>
        </w:tc>
        <w:tc>
          <w:tcPr>
            <w:tcW w:w="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w:t>
            </w: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60,282</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33,301</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106,995</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1000" w:type="dxa"/>
            <w:vAlign w:val="bottom"/>
            <w:gridSpan w:val="2"/>
          </w:tcPr>
          <w:p>
            <w:pPr>
              <w:jc w:val="right"/>
              <w:ind w:right="212"/>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6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88"/>
              </w:rPr>
              <w:t>Three Months Ended</w:t>
            </w:r>
          </w:p>
        </w:tc>
        <w:tc>
          <w:tcPr>
            <w:tcW w:w="22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6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85"/>
              </w:rPr>
              <w:t>September 30,</w:t>
            </w:r>
          </w:p>
        </w:tc>
        <w:tc>
          <w:tcPr>
            <w:tcW w:w="22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320" w:type="dxa"/>
            <w:vAlign w:val="bottom"/>
            <w:gridSpan w:val="6"/>
          </w:tcPr>
          <w:p>
            <w:pPr>
              <w:jc w:val="right"/>
              <w:ind w:right="780"/>
              <w:spacing w:after="0" w:line="142" w:lineRule="exact"/>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Net revenue</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$480,354</w:t>
            </w:r>
          </w:p>
        </w:tc>
        <w:tc>
          <w:tcPr>
            <w:tcW w:w="5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$428,806</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$1,372,662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$1,351,755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(deduct):</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ind w:left="420"/>
              <w:spacing w:after="0"/>
              <w:rPr>
                <w:sz w:val="20"/>
                <w:szCs w:val="20"/>
                <w:color w:val="auto"/>
              </w:rPr>
            </w:pPr>
            <w:r>
              <w:rPr>
                <w:rFonts w:ascii="Arial" w:cs="Arial" w:eastAsia="Arial" w:hAnsi="Arial"/>
                <w:sz w:val="18"/>
                <w:szCs w:val="18"/>
                <w:color w:val="auto"/>
              </w:rPr>
              <w:t>Other interest expense (a)</w:t>
            </w:r>
          </w:p>
        </w:tc>
        <w:tc>
          <w:tcPr>
            <w:tcW w:w="680" w:type="dxa"/>
            <w:vAlign w:val="bottom"/>
          </w:tcPr>
          <w:p>
            <w:pPr>
              <w:jc w:val="right"/>
              <w:spacing w:after="0"/>
              <w:rPr>
                <w:sz w:val="20"/>
                <w:szCs w:val="20"/>
                <w:color w:val="auto"/>
              </w:rPr>
            </w:pPr>
            <w:r>
              <w:rPr>
                <w:rFonts w:ascii="Arial" w:cs="Arial" w:eastAsia="Arial" w:hAnsi="Arial"/>
                <w:sz w:val="18"/>
                <w:szCs w:val="18"/>
                <w:color w:val="auto"/>
              </w:rPr>
              <w:t>19,895</w:t>
            </w:r>
          </w:p>
        </w:tc>
        <w:tc>
          <w:tcPr>
            <w:tcW w:w="5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20,326</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59,680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60,194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Revenue related to noncontrolling interests (b)</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(3,994)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(1,193)</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(10,774)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ind w:left="420"/>
              <w:spacing w:after="0"/>
              <w:rPr>
                <w:sz w:val="20"/>
                <w:szCs w:val="20"/>
                <w:color w:val="auto"/>
              </w:rPr>
            </w:pPr>
            <w:r>
              <w:rPr>
                <w:rFonts w:ascii="Arial" w:cs="Arial" w:eastAsia="Arial" w:hAnsi="Arial"/>
                <w:sz w:val="18"/>
                <w:szCs w:val="18"/>
                <w:color w:val="auto"/>
              </w:rPr>
              <w:t>(Gains) losses on investments pertaining to Lazard Fund Interests (c)</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(7,519)</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(4,728)</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(7,767)</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488,736</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$ 443,211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1,413,801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1,397,169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is not considered to be a cost directly related to the revenue of our business.</w:t>
      </w:r>
    </w:p>
    <w:p>
      <w:pPr>
        <w:ind w:left="460" w:right="6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460" w:right="580" w:hanging="452"/>
        <w:spacing w:after="0" w:line="361" w:lineRule="auto"/>
        <w:tabs>
          <w:tab w:leader="none" w:pos="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Changes in the fair value of investments held in connection with Lazard Fund Interests and other similar deferred compensation arrangements that correspond to changes in the value of the related compensation liability, which is recorded within compensation and benefits expense, are excluded.</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23"/>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w w:val="83"/>
              </w:rPr>
              <w:t>2012</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w w:val="83"/>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 in thousands)</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301,809</w:t>
            </w:r>
          </w:p>
        </w:tc>
        <w:tc>
          <w:tcPr>
            <w:tcW w:w="380" w:type="dxa"/>
            <w:vAlign w:val="bottom"/>
          </w:tcPr>
          <w:p>
            <w:pPr>
              <w:spacing w:after="0"/>
              <w:rPr>
                <w:sz w:val="18"/>
                <w:szCs w:val="18"/>
                <w:color w:val="auto"/>
              </w:rPr>
            </w:pPr>
          </w:p>
        </w:tc>
        <w:tc>
          <w:tcPr>
            <w:tcW w:w="54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283,818</w:t>
            </w:r>
          </w:p>
        </w:tc>
        <w:tc>
          <w:tcPr>
            <w:tcW w:w="3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910,679</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905,527</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(1,112)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(3,296)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08"/>
        </w:trPr>
        <w:tc>
          <w:tcPr>
            <w:tcW w:w="5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credits pertaining to Lazard Fund</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Interests (b)</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(7,519)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(4,728)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(7,767)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16"/>
        </w:trPr>
        <w:tc>
          <w:tcPr>
            <w:tcW w:w="5540" w:type="dxa"/>
            <w:vAlign w:val="bottom"/>
            <w:gridSpan w:val="2"/>
          </w:tcPr>
          <w:p>
            <w:pPr>
              <w:ind w:left="440"/>
              <w:spacing w:after="0"/>
              <w:rPr>
                <w:sz w:val="20"/>
                <w:szCs w:val="20"/>
                <w:color w:val="auto"/>
              </w:rPr>
            </w:pPr>
            <w:r>
              <w:rPr>
                <w:rFonts w:ascii="Arial" w:cs="Arial" w:eastAsia="Arial" w:hAnsi="Arial"/>
                <w:sz w:val="18"/>
                <w:szCs w:val="18"/>
                <w:color w:val="auto"/>
              </w:rPr>
              <w:t>Costs related to staff reductions (c)</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(21,754)</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saving initiatives (c)</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(51,399)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Adjusted compensation and benefits expense</w:t>
            </w: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293,178</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278,070</w:t>
            </w:r>
          </w:p>
        </w:tc>
        <w:tc>
          <w:tcPr>
            <w:tcW w:w="38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848,217</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876,024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Adjusted compensation and benefits expense, as a % of Operating Revenue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60" w:hanging="452"/>
        <w:spacing w:after="0" w:line="254"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Lazard has no economic interest in such amounts.</w:t>
      </w:r>
    </w:p>
    <w:p>
      <w:pPr>
        <w:ind w:left="460" w:right="20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fair value of the derivative compensation liability recorded in connection with Lazard Fund Interests and other similar deferred compensation arrangements are excluded because such amounts correspond to the changes in the fair value of the underlying investments, which are excluded from operating revenue.</w:t>
      </w:r>
    </w:p>
    <w:p>
      <w:pPr>
        <w:spacing w:after="0" w:line="1" w:lineRule="exact"/>
        <w:rPr>
          <w:rFonts w:ascii="Arial" w:cs="Arial" w:eastAsia="Arial" w:hAnsi="Arial"/>
          <w:sz w:val="18"/>
          <w:szCs w:val="18"/>
          <w:color w:val="auto"/>
        </w:rPr>
      </w:pPr>
    </w:p>
    <w:p>
      <w:pPr>
        <w:jc w:val="both"/>
        <w:ind w:left="460" w:right="340" w:hanging="452"/>
        <w:spacing w:after="0" w:line="25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expenses related to the first quarter 2012 staff reductions and the cost saving initiatives for (i) severance costs and benefit payments; (ii) the acceleration of unrecognized amortization expense of deferred incentive compensation previously granted to individuals whose employment was being terminated and (iii) the settlement of certain contractual obligations.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w w:val="76"/>
              </w:rPr>
              <w:t>2012</w:t>
            </w: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w w:val="83"/>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 in thousands)</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96,550</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95,768</w:t>
            </w:r>
          </w:p>
        </w:tc>
        <w:tc>
          <w:tcPr>
            <w:tcW w:w="6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315,572</w:t>
            </w:r>
          </w:p>
        </w:tc>
        <w:tc>
          <w:tcPr>
            <w:tcW w:w="3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310,974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(a)</w:t>
            </w: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(655)</w:t>
            </w:r>
          </w:p>
        </w:tc>
        <w:tc>
          <w:tcPr>
            <w:tcW w:w="2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(1,626)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Costs related to staff reductions (b)</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420"/>
              <w:spacing w:after="0"/>
              <w:rPr>
                <w:sz w:val="20"/>
                <w:szCs w:val="20"/>
                <w:color w:val="auto"/>
              </w:rPr>
            </w:pPr>
            <w:r>
              <w:rPr>
                <w:rFonts w:ascii="Arial" w:cs="Arial" w:eastAsia="Arial" w:hAnsi="Arial"/>
                <w:sz w:val="18"/>
                <w:szCs w:val="18"/>
                <w:color w:val="auto"/>
              </w:rPr>
              <w:t>Cost saving initiatives (b)</w:t>
            </w:r>
          </w:p>
        </w:tc>
        <w:tc>
          <w:tcPr>
            <w:tcW w:w="2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(13,304)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96,063</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95,113</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300,642</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306,115</w:t>
            </w: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the Company has no economic interest in such amounts.</w:t>
      </w:r>
    </w:p>
    <w:p>
      <w:pPr>
        <w:ind w:left="460" w:right="400" w:hanging="452"/>
        <w:spacing w:after="0" w:line="261"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Non-compensation costs associated with the first quarter 2012 staff reductions and the cost saving initiatives are excluded to enhance comparability of adjusted non-compensation expense between present, historical and future periods.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1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11"/>
          </w:tcPr>
          <w:p>
            <w:pPr>
              <w:jc w:val="center"/>
              <w:ind w:right="76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87"/>
              </w:rPr>
              <w:t>September 30,</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4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gridSpan w:val="9"/>
          </w:tcPr>
          <w:p>
            <w:pPr>
              <w:jc w:val="right"/>
              <w:ind w:right="772"/>
              <w:spacing w:after="0" w:line="142" w:lineRule="exact"/>
              <w:rPr>
                <w:sz w:val="20"/>
                <w:szCs w:val="20"/>
                <w:color w:val="auto"/>
              </w:rPr>
            </w:pPr>
            <w:r>
              <w:rPr>
                <w:rFonts w:ascii="Arial" w:cs="Arial" w:eastAsia="Arial" w:hAnsi="Arial"/>
                <w:sz w:val="14"/>
                <w:szCs w:val="14"/>
                <w:b w:val="1"/>
                <w:bCs w:val="1"/>
                <w:color w:val="auto"/>
                <w:w w:val="86"/>
              </w:rPr>
              <w:t>($ in thousands)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1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Operating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488,736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w w:val="95"/>
              </w:rPr>
              <w:t>443,211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4"/>
          </w:tcPr>
          <w:p>
            <w:pPr>
              <w:jc w:val="right"/>
              <w:ind w:right="12"/>
              <w:spacing w:after="0"/>
              <w:rPr>
                <w:sz w:val="20"/>
                <w:szCs w:val="20"/>
                <w:color w:val="auto"/>
              </w:rPr>
            </w:pPr>
            <w:r>
              <w:rPr>
                <w:rFonts w:ascii="Arial" w:cs="Arial" w:eastAsia="Arial" w:hAnsi="Arial"/>
                <w:sz w:val="18"/>
                <w:szCs w:val="18"/>
                <w:color w:val="auto"/>
                <w:w w:val="84"/>
              </w:rPr>
              <w:t>1,413,801</w:t>
            </w:r>
          </w:p>
        </w:tc>
        <w:tc>
          <w:tcPr>
            <w:tcW w:w="16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w w:val="87"/>
              </w:rPr>
              <w:t>1,397,169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Deduct:</w:t>
            </w:r>
          </w:p>
        </w:tc>
        <w:tc>
          <w:tcPr>
            <w:tcW w:w="1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3"/>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100" w:type="dxa"/>
            <w:vAlign w:val="bottom"/>
          </w:tcPr>
          <w:p>
            <w:pPr>
              <w:spacing w:after="0"/>
              <w:rPr>
                <w:sz w:val="18"/>
                <w:szCs w:val="18"/>
                <w:color w:val="auto"/>
              </w:rPr>
            </w:pPr>
          </w:p>
        </w:tc>
        <w:tc>
          <w:tcPr>
            <w:tcW w:w="1080" w:type="dxa"/>
            <w:vAlign w:val="bottom"/>
            <w:gridSpan w:val="5"/>
          </w:tcPr>
          <w:p>
            <w:pPr>
              <w:jc w:val="right"/>
              <w:ind w:right="332"/>
              <w:spacing w:after="0"/>
              <w:rPr>
                <w:sz w:val="20"/>
                <w:szCs w:val="20"/>
                <w:color w:val="auto"/>
              </w:rPr>
            </w:pPr>
            <w:r>
              <w:rPr>
                <w:rFonts w:ascii="Arial" w:cs="Arial" w:eastAsia="Arial" w:hAnsi="Arial"/>
                <w:sz w:val="18"/>
                <w:szCs w:val="18"/>
                <w:color w:val="auto"/>
                <w:w w:val="85"/>
              </w:rPr>
              <w:t>(293,178)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6"/>
          </w:tcPr>
          <w:p>
            <w:pPr>
              <w:jc w:val="right"/>
              <w:ind w:right="32"/>
              <w:spacing w:after="0"/>
              <w:rPr>
                <w:sz w:val="20"/>
                <w:szCs w:val="20"/>
                <w:color w:val="auto"/>
              </w:rPr>
            </w:pPr>
            <w:r>
              <w:rPr>
                <w:rFonts w:ascii="Arial" w:cs="Arial" w:eastAsia="Arial" w:hAnsi="Arial"/>
                <w:sz w:val="18"/>
                <w:szCs w:val="18"/>
                <w:color w:val="auto"/>
                <w:w w:val="88"/>
              </w:rPr>
              <w:t>(278,070)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95"/>
              </w:rPr>
              <w:t>(848,217)</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5"/>
          </w:tcPr>
          <w:p>
            <w:pPr>
              <w:jc w:val="right"/>
              <w:ind w:right="140"/>
              <w:spacing w:after="0"/>
              <w:rPr>
                <w:sz w:val="20"/>
                <w:szCs w:val="20"/>
                <w:color w:val="auto"/>
              </w:rPr>
            </w:pPr>
            <w:r>
              <w:rPr>
                <w:rFonts w:ascii="Arial" w:cs="Arial" w:eastAsia="Arial" w:hAnsi="Arial"/>
                <w:sz w:val="18"/>
                <w:szCs w:val="18"/>
                <w:color w:val="auto"/>
                <w:w w:val="98"/>
              </w:rPr>
              <w:t>(876,024)</w:t>
            </w:r>
          </w:p>
        </w:tc>
        <w:tc>
          <w:tcPr>
            <w:tcW w:w="0" w:type="dxa"/>
            <w:vAlign w:val="bottom"/>
          </w:tcPr>
          <w:p>
            <w:pPr>
              <w:spacing w:after="0"/>
              <w:rPr>
                <w:sz w:val="1"/>
                <w:szCs w:val="1"/>
                <w:color w:val="auto"/>
              </w:rPr>
            </w:pPr>
          </w:p>
        </w:tc>
      </w:tr>
      <w:tr>
        <w:trPr>
          <w:trHeight w:val="216"/>
        </w:trPr>
        <w:tc>
          <w:tcPr>
            <w:tcW w:w="5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1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332"/>
              <w:spacing w:after="0"/>
              <w:rPr>
                <w:sz w:val="20"/>
                <w:szCs w:val="20"/>
                <w:color w:val="auto"/>
              </w:rPr>
            </w:pPr>
            <w:r>
              <w:rPr>
                <w:rFonts w:ascii="Arial" w:cs="Arial" w:eastAsia="Arial" w:hAnsi="Arial"/>
                <w:sz w:val="18"/>
                <w:szCs w:val="18"/>
                <w:color w:val="auto"/>
                <w:w w:val="98"/>
              </w:rPr>
              <w:t>(96,063)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ind w:right="32"/>
              <w:spacing w:after="0"/>
              <w:rPr>
                <w:sz w:val="20"/>
                <w:szCs w:val="20"/>
                <w:color w:val="auto"/>
              </w:rPr>
            </w:pPr>
            <w:r>
              <w:rPr>
                <w:rFonts w:ascii="Arial" w:cs="Arial" w:eastAsia="Arial" w:hAnsi="Arial"/>
                <w:sz w:val="18"/>
                <w:szCs w:val="18"/>
                <w:color w:val="auto"/>
              </w:rPr>
              <w:t>(95,113)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5"/>
              </w:rPr>
              <w:t>(300,642)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8"/>
              </w:rPr>
              <w:t>(306,115)</w:t>
            </w: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spacing w:after="0"/>
              <w:rPr>
                <w:sz w:val="20"/>
                <w:szCs w:val="20"/>
                <w:color w:val="auto"/>
              </w:rPr>
            </w:pPr>
            <w:r>
              <w:rPr>
                <w:rFonts w:ascii="Arial" w:cs="Arial" w:eastAsia="Arial" w:hAnsi="Arial"/>
                <w:sz w:val="18"/>
                <w:szCs w:val="18"/>
                <w:color w:val="auto"/>
              </w:rPr>
              <w:t>Earnings from operations</w:t>
            </w:r>
          </w:p>
        </w:tc>
        <w:tc>
          <w:tcPr>
            <w:tcW w:w="1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2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99,495</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70,028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4"/>
          </w:tcPr>
          <w:p>
            <w:pPr>
              <w:jc w:val="right"/>
              <w:ind w:right="12"/>
              <w:spacing w:after="0"/>
              <w:rPr>
                <w:sz w:val="20"/>
                <w:szCs w:val="20"/>
                <w:color w:val="auto"/>
              </w:rPr>
            </w:pPr>
            <w:r>
              <w:rPr>
                <w:rFonts w:ascii="Arial" w:cs="Arial" w:eastAsia="Arial" w:hAnsi="Arial"/>
                <w:sz w:val="18"/>
                <w:szCs w:val="18"/>
                <w:color w:val="auto"/>
              </w:rPr>
              <w:t>264,942</w:t>
            </w:r>
          </w:p>
        </w:tc>
        <w:tc>
          <w:tcPr>
            <w:tcW w:w="160" w:type="dxa"/>
            <w:vAlign w:val="bottom"/>
          </w:tcPr>
          <w:p>
            <w:pPr>
              <w:spacing w:after="0"/>
              <w:rPr>
                <w:sz w:val="19"/>
                <w:szCs w:val="19"/>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215,030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1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32"/>
              <w:spacing w:after="0"/>
              <w:rPr>
                <w:sz w:val="20"/>
                <w:szCs w:val="20"/>
                <w:color w:val="auto"/>
              </w:rPr>
            </w:pPr>
            <w:r>
              <w:rPr>
                <w:rFonts w:ascii="Arial" w:cs="Arial" w:eastAsia="Arial" w:hAnsi="Arial"/>
                <w:sz w:val="18"/>
                <w:szCs w:val="18"/>
                <w:color w:val="auto"/>
              </w:rPr>
              <w:t>20.3%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18.7%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820" w:type="dxa"/>
            <w:vAlign w:val="bottom"/>
            <w:gridSpan w:val="4"/>
          </w:tcPr>
          <w:p>
            <w:pPr>
              <w:ind w:left="460"/>
              <w:spacing w:after="0"/>
              <w:rPr>
                <w:sz w:val="20"/>
                <w:szCs w:val="20"/>
                <w:color w:val="auto"/>
              </w:rPr>
            </w:pPr>
            <w:r>
              <w:rPr>
                <w:rFonts w:ascii="Arial" w:cs="Arial" w:eastAsia="Arial" w:hAnsi="Arial"/>
                <w:sz w:val="18"/>
                <w:szCs w:val="18"/>
                <w:color w:val="auto"/>
                <w:w w:val="89"/>
              </w:rPr>
              <w:t>Certain additional key ratios and headcount information are set forth below:</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14"/>
          </w:tcPr>
          <w:p>
            <w:pPr>
              <w:jc w:val="center"/>
              <w:ind w:right="88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gridSpan w:val="11"/>
          </w:tcPr>
          <w:p>
            <w:pPr>
              <w:jc w:val="center"/>
              <w:ind w:right="130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5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100" w:type="dxa"/>
            <w:vAlign w:val="bottom"/>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7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720" w:type="dxa"/>
            <w:vAlign w:val="bottom"/>
            <w:gridSpan w:val="3"/>
          </w:tcPr>
          <w:p>
            <w:pPr>
              <w:ind w:left="220"/>
              <w:spacing w:after="0"/>
              <w:rPr>
                <w:sz w:val="20"/>
                <w:szCs w:val="20"/>
                <w:color w:val="auto"/>
              </w:rPr>
            </w:pPr>
            <w:r>
              <w:rPr>
                <w:rFonts w:ascii="Arial" w:cs="Arial" w:eastAsia="Arial" w:hAnsi="Arial"/>
                <w:sz w:val="18"/>
                <w:szCs w:val="18"/>
                <w:color w:val="auto"/>
              </w:rPr>
              <w:t>Money management fees</w:t>
            </w:r>
          </w:p>
        </w:tc>
        <w:tc>
          <w:tcPr>
            <w:tcW w:w="100" w:type="dxa"/>
            <w:vAlign w:val="bottom"/>
          </w:tcPr>
          <w:p>
            <w:pPr>
              <w:spacing w:after="0"/>
              <w:rPr>
                <w:sz w:val="18"/>
                <w:szCs w:val="18"/>
                <w:color w:val="auto"/>
              </w:rPr>
            </w:pPr>
          </w:p>
        </w:tc>
        <w:tc>
          <w:tcPr>
            <w:tcW w:w="640" w:type="dxa"/>
            <w:vAlign w:val="bottom"/>
            <w:gridSpan w:val="3"/>
          </w:tcPr>
          <w:p>
            <w:pPr>
              <w:jc w:val="right"/>
              <w:ind w:right="52"/>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6"/>
          </w:tcPr>
          <w:p>
            <w:pPr>
              <w:jc w:val="right"/>
              <w:ind w:right="72"/>
              <w:spacing w:after="0"/>
              <w:rPr>
                <w:sz w:val="20"/>
                <w:szCs w:val="20"/>
                <w:color w:val="auto"/>
              </w:rPr>
            </w:pPr>
            <w:r>
              <w:rPr>
                <w:rFonts w:ascii="Arial" w:cs="Arial" w:eastAsia="Arial" w:hAnsi="Arial"/>
                <w:sz w:val="18"/>
                <w:szCs w:val="18"/>
                <w:color w:val="auto"/>
              </w:rPr>
              <w:t>50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jc w:val="right"/>
              <w:ind w:right="92"/>
              <w:spacing w:after="0"/>
              <w:rPr>
                <w:sz w:val="20"/>
                <w:szCs w:val="20"/>
                <w:color w:val="auto"/>
              </w:rPr>
            </w:pPr>
            <w:r>
              <w:rPr>
                <w:rFonts w:ascii="Arial" w:cs="Arial" w:eastAsia="Arial" w:hAnsi="Arial"/>
                <w:sz w:val="18"/>
                <w:szCs w:val="18"/>
                <w:color w:val="auto"/>
              </w:rPr>
              <w:t>52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5"/>
          </w:tcPr>
          <w:p>
            <w:pPr>
              <w:jc w:val="right"/>
              <w:ind w:right="1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20" w:type="dxa"/>
            <w:vAlign w:val="bottom"/>
            <w:gridSpan w:val="3"/>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40" w:type="dxa"/>
            <w:vAlign w:val="bottom"/>
            <w:gridSpan w:val="3"/>
          </w:tcPr>
          <w:p>
            <w:pPr>
              <w:jc w:val="right"/>
              <w:ind w:right="52"/>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6"/>
          </w:tcPr>
          <w:p>
            <w:pPr>
              <w:jc w:val="right"/>
              <w:ind w:right="72"/>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jc w:val="right"/>
              <w:ind w:right="92"/>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5"/>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ind w:left="440"/>
              <w:spacing w:after="0"/>
              <w:rPr>
                <w:sz w:val="20"/>
                <w:szCs w:val="20"/>
                <w:color w:val="auto"/>
              </w:rPr>
            </w:pPr>
            <w:r>
              <w:rPr>
                <w:rFonts w:ascii="Arial" w:cs="Arial" w:eastAsia="Arial" w:hAnsi="Arial"/>
                <w:sz w:val="18"/>
                <w:szCs w:val="18"/>
                <w:color w:val="auto"/>
              </w:rPr>
              <w:t>Net Revenue</w:t>
            </w:r>
          </w:p>
        </w:tc>
        <w:tc>
          <w:tcPr>
            <w:tcW w:w="1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82"/>
              </w:rPr>
              <w:t>100%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6"/>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100%</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5"/>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5"/>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1"/>
              </w:rPr>
              <w:t>September 30,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Headcount: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2013 (a)</w:t>
            </w:r>
          </w:p>
        </w:tc>
        <w:tc>
          <w:tcPr>
            <w:tcW w:w="80" w:type="dxa"/>
            <w:vAlign w:val="bottom"/>
          </w:tcPr>
          <w:p>
            <w:pPr>
              <w:spacing w:after="0"/>
              <w:rPr>
                <w:sz w:val="14"/>
                <w:szCs w:val="14"/>
                <w:color w:val="auto"/>
              </w:rPr>
            </w:pPr>
          </w:p>
        </w:tc>
        <w:tc>
          <w:tcPr>
            <w:tcW w:w="1320" w:type="dxa"/>
            <w:vAlign w:val="bottom"/>
            <w:gridSpan w:val="7"/>
          </w:tcPr>
          <w:p>
            <w:pPr>
              <w:jc w:val="center"/>
              <w:ind w:left="436"/>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4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800" w:type="dxa"/>
            <w:vAlign w:val="bottom"/>
            <w:gridSpan w:val="2"/>
          </w:tcPr>
          <w:p>
            <w:pPr>
              <w:ind w:left="220"/>
              <w:spacing w:after="0"/>
              <w:rPr>
                <w:sz w:val="20"/>
                <w:szCs w:val="20"/>
                <w:color w:val="auto"/>
              </w:rPr>
            </w:pPr>
            <w:r>
              <w:rPr>
                <w:rFonts w:ascii="Arial" w:cs="Arial" w:eastAsia="Arial" w:hAnsi="Arial"/>
                <w:sz w:val="18"/>
                <w:szCs w:val="18"/>
                <w:color w:val="auto"/>
              </w:rPr>
              <w:t>Managing Directors: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Financial Advisory</w:t>
            </w:r>
          </w:p>
        </w:tc>
        <w:tc>
          <w:tcPr>
            <w:tcW w:w="100" w:type="dxa"/>
            <w:vAlign w:val="bottom"/>
            <w:shd w:val="clear" w:color="auto" w:fill="CCEEFF"/>
          </w:tcPr>
          <w:p>
            <w:pPr>
              <w:spacing w:after="0"/>
              <w:rPr>
                <w:sz w:val="18"/>
                <w:szCs w:val="18"/>
                <w:color w:val="auto"/>
              </w:rPr>
            </w:pPr>
          </w:p>
        </w:tc>
        <w:tc>
          <w:tcPr>
            <w:tcW w:w="1420" w:type="dxa"/>
            <w:vAlign w:val="bottom"/>
            <w:gridSpan w:val="6"/>
            <w:shd w:val="clear" w:color="auto" w:fill="CCEEFF"/>
          </w:tcPr>
          <w:p>
            <w:pPr>
              <w:jc w:val="right"/>
              <w:ind w:right="34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13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Asset Management</w:t>
            </w:r>
          </w:p>
        </w:tc>
        <w:tc>
          <w:tcPr>
            <w:tcW w:w="100" w:type="dxa"/>
            <w:vAlign w:val="bottom"/>
          </w:tcPr>
          <w:p>
            <w:pPr>
              <w:spacing w:after="0"/>
              <w:rPr>
                <w:sz w:val="18"/>
                <w:szCs w:val="18"/>
                <w:color w:val="auto"/>
              </w:rPr>
            </w:pPr>
          </w:p>
        </w:tc>
        <w:tc>
          <w:tcPr>
            <w:tcW w:w="1420" w:type="dxa"/>
            <w:vAlign w:val="bottom"/>
            <w:gridSpan w:val="6"/>
          </w:tcPr>
          <w:p>
            <w:pPr>
              <w:jc w:val="right"/>
              <w:ind w:right="34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1320" w:type="dxa"/>
            <w:vAlign w:val="bottom"/>
            <w:gridSpan w:val="7"/>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spacing w:after="0"/>
              <w:rPr>
                <w:sz w:val="18"/>
                <w:szCs w:val="18"/>
                <w:color w:val="auto"/>
              </w:rPr>
            </w:pPr>
          </w:p>
        </w:tc>
        <w:tc>
          <w:tcPr>
            <w:tcW w:w="8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Total Managing Directors</w:t>
            </w:r>
          </w:p>
        </w:tc>
        <w:tc>
          <w:tcPr>
            <w:tcW w:w="100" w:type="dxa"/>
            <w:vAlign w:val="bottom"/>
          </w:tcPr>
          <w:p>
            <w:pPr>
              <w:spacing w:after="0"/>
              <w:rPr>
                <w:sz w:val="18"/>
                <w:szCs w:val="18"/>
                <w:color w:val="auto"/>
              </w:rPr>
            </w:pPr>
          </w:p>
        </w:tc>
        <w:tc>
          <w:tcPr>
            <w:tcW w:w="1420" w:type="dxa"/>
            <w:vAlign w:val="bottom"/>
            <w:gridSpan w:val="6"/>
          </w:tcPr>
          <w:p>
            <w:pPr>
              <w:jc w:val="right"/>
              <w:ind w:right="34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1320" w:type="dxa"/>
            <w:vAlign w:val="bottom"/>
            <w:gridSpan w:val="7"/>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800" w:type="dxa"/>
            <w:vAlign w:val="bottom"/>
            <w:gridSpan w:val="2"/>
          </w:tcPr>
          <w:p>
            <w:pPr>
              <w:ind w:left="220"/>
              <w:spacing w:after="0"/>
              <w:rPr>
                <w:sz w:val="20"/>
                <w:szCs w:val="20"/>
                <w:color w:val="auto"/>
              </w:rPr>
            </w:pPr>
            <w:r>
              <w:rPr>
                <w:rFonts w:ascii="Arial" w:cs="Arial" w:eastAsia="Arial" w:hAnsi="Arial"/>
                <w:sz w:val="18"/>
                <w:szCs w:val="18"/>
                <w:color w:val="auto"/>
              </w:rPr>
              <w:t>Other Employees: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Business segment professionals</w:t>
            </w:r>
          </w:p>
        </w:tc>
        <w:tc>
          <w:tcPr>
            <w:tcW w:w="100" w:type="dxa"/>
            <w:vAlign w:val="bottom"/>
            <w:shd w:val="clear" w:color="auto" w:fill="CCEEFF"/>
          </w:tcPr>
          <w:p>
            <w:pPr>
              <w:spacing w:after="0"/>
              <w:rPr>
                <w:sz w:val="18"/>
                <w:szCs w:val="18"/>
                <w:color w:val="auto"/>
              </w:rPr>
            </w:pPr>
          </w:p>
        </w:tc>
        <w:tc>
          <w:tcPr>
            <w:tcW w:w="1420" w:type="dxa"/>
            <w:vAlign w:val="bottom"/>
            <w:gridSpan w:val="6"/>
            <w:shd w:val="clear" w:color="auto" w:fill="CCEEFF"/>
          </w:tcPr>
          <w:p>
            <w:pPr>
              <w:jc w:val="right"/>
              <w:ind w:right="340"/>
              <w:spacing w:after="0"/>
              <w:rPr>
                <w:sz w:val="20"/>
                <w:szCs w:val="20"/>
                <w:color w:val="auto"/>
              </w:rPr>
            </w:pPr>
            <w:r>
              <w:rPr>
                <w:rFonts w:ascii="Arial" w:cs="Arial" w:eastAsia="Arial" w:hAnsi="Arial"/>
                <w:sz w:val="18"/>
                <w:szCs w:val="18"/>
                <w:color w:val="auto"/>
              </w:rPr>
              <w:t>1,086</w:t>
            </w:r>
          </w:p>
        </w:tc>
        <w:tc>
          <w:tcPr>
            <w:tcW w:w="80" w:type="dxa"/>
            <w:vAlign w:val="bottom"/>
            <w:shd w:val="clear" w:color="auto" w:fill="CCEEFF"/>
          </w:tcPr>
          <w:p>
            <w:pPr>
              <w:spacing w:after="0"/>
              <w:rPr>
                <w:sz w:val="18"/>
                <w:szCs w:val="18"/>
                <w:color w:val="auto"/>
              </w:rPr>
            </w:pPr>
          </w:p>
        </w:tc>
        <w:tc>
          <w:tcPr>
            <w:tcW w:w="13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All other professionals and support staff</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1,095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3"/>
          </w:tcPr>
          <w:p>
            <w:pPr>
              <w:spacing w:after="0"/>
              <w:rPr>
                <w:sz w:val="19"/>
                <w:szCs w:val="19"/>
                <w:color w:val="auto"/>
              </w:rPr>
            </w:pP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1420" w:type="dxa"/>
            <w:vAlign w:val="bottom"/>
            <w:gridSpan w:val="6"/>
            <w:shd w:val="clear" w:color="auto" w:fill="CCEEFF"/>
          </w:tcPr>
          <w:p>
            <w:pPr>
              <w:jc w:val="right"/>
              <w:ind w:right="340"/>
              <w:spacing w:after="0"/>
              <w:rPr>
                <w:sz w:val="20"/>
                <w:szCs w:val="20"/>
                <w:color w:val="auto"/>
              </w:rPr>
            </w:pPr>
            <w:r>
              <w:rPr>
                <w:rFonts w:ascii="Arial" w:cs="Arial" w:eastAsia="Arial" w:hAnsi="Arial"/>
                <w:sz w:val="18"/>
                <w:szCs w:val="18"/>
                <w:color w:val="auto"/>
              </w:rPr>
              <w:t>2,405</w:t>
            </w:r>
          </w:p>
        </w:tc>
        <w:tc>
          <w:tcPr>
            <w:tcW w:w="80" w:type="dxa"/>
            <w:vAlign w:val="bottom"/>
            <w:shd w:val="clear" w:color="auto" w:fill="CCEEFF"/>
          </w:tcPr>
          <w:p>
            <w:pPr>
              <w:spacing w:after="0"/>
              <w:rPr>
                <w:sz w:val="18"/>
                <w:szCs w:val="18"/>
                <w:color w:val="auto"/>
              </w:rPr>
            </w:pPr>
          </w:p>
        </w:tc>
        <w:tc>
          <w:tcPr>
            <w:tcW w:w="13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33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 of September 30, 2013, most of the headcount reductions relating to the cost saving initiatives have been completed, with the remainder expected in the fourth quarter. Such reductions may be partially offset by additional investments and, in the case of managing directors, promotions.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2013 versus September 30, 2012</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Company reported net income attributable to Lazard Ltd in the 2013 period of $60 million, as compared to net income of $33 million in the 2012 period. The changes in the Company’s operating results during these periods are described below.</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Net revenue in the 2013 period increased $52 million, or 12%, with operating revenue increasing $46 million, or 10%, as compared to the 2012 period. Fee revenue from investment banking and other advisory activities increased $14 million, or 6%, primarily due to increases in M&amp;A and Other Advisory fees and Restructuring revenue. The increase in M&amp;A and Other Advisory fee revenue was primarily due to an increase in average fees paid in respect of transactions involving fees greater than $1 million. The increase in Restructuring revenue reflected the closing of several large assignments in the 2013 period. Money management fees, including incentive fees, increased $27 million, or 12%, primarily reflecting a $15 billion, or 10%, increase in average AUM as compared to the 2012 period. In the aggregate, interest income, other revenue and interest expense increased $11 million as compared to the 2012 period, primarily due to higher investment income in the 2013 period.</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Compensation and benefits expense in the 2013 period increased $18 million, or 6%, compared to the 2012 period. Factors contributing to the increase included higher compensation costs driven by the increase in operating revenue, partially offset by lower headcount related to the cost saving initiatives and reduced amortization expense in the 2013 period associated with deferred incentive compensation awards related to 2008 deferred incentive compensation (the “2008 grant”). As described below, the 2008 grant, which had a comparatively longer, four year vesting period, affected amortization expense for the full year of 2012 but was fully vested as of March 1, 2013.</w:t>
      </w:r>
    </w:p>
    <w:p>
      <w:pPr>
        <w:spacing w:after="0" w:line="143"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interim periods, as described above), was $293 million in the 2013 period, an increase of $15 million, or 5%, when compared to $278 million in the 2012 period. The ratio of adjusted compensation and benefits expense to operating revenue was 60.0% for the 2013 period, as compared to 62.7% for the 2012 period. The third quarter 2013 ratio of adjusted compensation and benefits expense to operating revenue assumes, based on current market conditions, a ratio of awarded compensation and benefits expense to operating revenue of approximately 58.5% for the full year of 2013, as compared to 59.4% for the full year of 2012.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1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Non-compensation expense in the 2013 period remained substantially unchanged as compared to the 2012 period. When excluding non-compensation costs relating to noncontrolling interests, adjusted non-compensation expense in the 2013 period increased $1 million, or 1%, compared to the 2012 period. During the 2013 period, increases in (i) professional fees, (ii) occupancy costs and (iii) mutual fund servicing fees primarily related to the increase in AUM, were partially offset by decreases in marketing and business development expense associated with lower expenses for travel, and technology expense for market data and telecommunications. The ratio of adjusted non-compensation expense to operating revenue was 19.7% in the 2013 period versus 21.5% in the 2012 period.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decreased by $2 million as compared to the 2012 period.</w:t>
      </w:r>
    </w:p>
    <w:p>
      <w:pPr>
        <w:spacing w:after="0" w:line="17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Operating income in the 2013 period increased $34 million, or 74%, as compared to operating income in the 2012 period. Operating income, as a percentage of net revenue, was 16.9%, as compared to 10.9% in the 2012 period.</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Earnings from operations increased $29 million, or 42%, when compared to the 2012 period, and, as a percentage of operating revenue, was 20.3% in the 2013 period, as compared to 15.8% in the 2012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provision for income taxes increased $5 million, or 41%, when compared to the 2012 period, and reflected an effective tax rate of 22.6%, as compared to 27.9% for the 2012 period. The decrease in the effective tax rate is primarily reflective of the change in the geographic mix of earnings.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increased $2 million in the 2013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2013 versus September 30, 2012</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reported net income attributable to Lazard Ltd in the 2013 period of $107 million, as compared to net income of $90 million in the 2012 period. The changes in the Company’s operating results during these periods are described below.</w:t>
      </w:r>
    </w:p>
    <w:p>
      <w:pPr>
        <w:spacing w:after="0" w:line="13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Net revenue in the 2013 period increased $21 million, or 2%, with operating revenue increasing $17 million, or 1%, as compared to the 2012 period. Fee revenue from investment banking and other advisory activities decreased $72 million, or 10%, primarily due to decreases in M&amp;A and Other Advisory fees and Restructuring revenue. The decrease in M&amp;A and Other Advisory fee revenue was primarily due to a lower number of transactions involving fees greater than $1 million in the 2013 period as compared to the 2012 period. The 2012 period included significant fees related to our sovereign advisory and middle market businesses. The decline in Restructuring revenue was attributable to the closing of several large assignments in the first nine months of 2012, and is consistent with the industry-wide low level of corporate restructuring activity. Money management fees, including incentive fees, increased $86 million, or 14%, principally reflecting a $17 billion, or 11%, increase in average AUM as compared to the 2012 period. In the aggregate, interest income, other revenue and interest expense reflected an increase in net revenue of $6 million as compared to the 2012 period. Such increase was primarily due to higher commission revenue as a result of increased market activity in the 2013 period.</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Compensation and benefits expense in the 2013 period increased $5 million, or 1%, compared to the 2012 period, and included a $51 million charge related to the cost saving initiatives, as compared to a $22 million charge in the 2012 period related to staff reductions. Excluding such charges, compensation and benefits expense decreased $24 million, or 3%, driven by lower headcount related to the cost saving initiatives and, as described below, reduced amortization expense related to the 2008 grant.</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interim periods, as described above), was $848 million in the 2013 period, a decrease of $28 million, or 3%, when compared to $876 million in the 2012 period. The ratio of adjusted compensation and benefits expense to operating revenue was 60.0% for the 2013 period, as compared to 62.7% for the 2012 period. The ratio of adjusted compensation and benefits expense to operating revenue assumes, based on current market conditions, a ratio of awarded compensation and benefits expense to operating revenue of approximately 58.5% for the full year of 2013, as compared to 59.4% for the full year of 2012.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currently expect that amortization of deferred incentive compensation awards, which primarily results from compensation awards related to 2010, 2011 and 2012 deferred compensation, will approximate $302 million for the full year of 2013, a decrease of $33 million as compared to $335 million for the year ended December 31, 2012. The expected reduction is primarily related to the 2008 grant. The 2008 grant had a comparatively longer, four-year vesting period and, together with compensation awards related to 2009, 2010 and 2011 deferred compensation, affected amortization expense for the full year of 2012. The 2008 grant was fully vested on March 1, 2013.</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Non-compensation expense in the 2013 period increased $5 million, or 1%, as compared to the 2012 period and included a charge of $13 million related to the cost saving initiatives, as compared to a charge of $3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associated with the staff reductions in the first nine months of 2012. When excluding such charges, as well as non-compensation costs relating to noncontrolling interests, adjusted non-compensation expense in the 2013 period decreased $5 million, or 2%, as compared to the 2012 period, primarily due to decreases in (i) marketing and business development expense associated with lower expenses for travel and other business development (ii) technology expense for telecommunications and market data and (iii) insurance costs, all primarily attributable to the cost saving initiatives. Other contributing factors were reduced deal-related costs, which were higher in the first nine months of 2012 as a result of transactions that closed in that period. Such decreases were partially offset by increased investments in technology, higher occupancy costs related to the amended lease and build-out of our Rockefeller Center facility and higher mutual fund servicing fees primarily related to the increase in higher average AUM. The ratio of adjusted non-compensation expense to operating revenue was 21.3% in the 2013 period versus 21.9% for the corresponding period in 2012.</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decreased $3 million, as compared to the 2012 period.</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Operating income in the 2013 period (including the aggregate $65 million charge described above relating to the cost saving initiatives) increased $15 million, or 11%, as compared to operating income in the 2012 period (including the $25 million charge in 2012 described above relating to the staff reductions). Operating income, as a percentage of net revenue, was 10.5%, as compared to 9.5% in the 2012 period.</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Earnings from operations increased $50 million, or 23%, when compared to the 2012 period, and, as a percentage of operating revenue, was 18.7% in the 2013 period, as compared to 15.4% in the 2012 period.</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provision for income taxes decreased $1 million, or 3%, when compared to the 2012 period, and reflected an effective tax rate of 21.8%, as compared to 24.9% for the 2012 period. The decrease in the effective tax rate is primarily reflective of the change in the geographic mix of earnings.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decreased $2 million in the 2013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following is a discussion of net revenue and operating income for the Company’s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revenue, headcount, square footage and other factors.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1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5"/>
          </w:tcPr>
          <w:p>
            <w:pPr>
              <w:jc w:val="right"/>
              <w:ind w:right="1260"/>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176,449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171,417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515,693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559,411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Capital Raising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15,220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14,174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51,489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45,718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191,669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185,591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567,182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605,129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42,173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34,382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98,429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134,664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233,842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219,973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665,611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739,793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Operating Expenses(a)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218,015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212,449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674,689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693,546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46,247</w:t>
            </w:r>
          </w:p>
        </w:tc>
        <w:tc>
          <w:tcPr>
            <w:tcW w:w="0" w:type="dxa"/>
            <w:vAlign w:val="bottom"/>
          </w:tcPr>
          <w:p>
            <w:pPr>
              <w:spacing w:after="0"/>
              <w:rPr>
                <w:sz w:val="1"/>
                <w:szCs w:val="1"/>
                <w:color w:val="auto"/>
              </w:rPr>
            </w:pPr>
          </w:p>
        </w:tc>
      </w:tr>
      <w:tr>
        <w:trPr>
          <w:trHeight w:val="20"/>
        </w:trPr>
        <w:tc>
          <w:tcPr>
            <w:tcW w:w="64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 As A Percentage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20" w:hanging="452"/>
        <w:spacing w:after="0" w:line="370" w:lineRule="auto"/>
        <w:tabs>
          <w:tab w:leader="none" w:pos="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Includes $0 and $47,779 for the three month and nine month periods ended September 30, 2013 associated with the implementation of the cost saving initiatives. All periods include indirect support costs (including compensation and benefits expense and other operating expenses related thereto).</w:t>
      </w:r>
    </w:p>
    <w:p>
      <w:pPr>
        <w:spacing w:after="0" w:line="62"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the industry statistics for global M&amp;A transactions described above reflect a 2% decrease in the value of completed transactions in the first nine months of 2013 as compared to the corresponding 2012 period, as well as a 12% decrease in the number of completed transactions in the 2013 period as compared to the 2012 period. Our M&amp;A and Other Advisory revenue (which includes Sovereign and Capital Advisory revenue) decreased 8% in the 2013 period as compared to the 2012 period.</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90"/>
              </w:rPr>
              <w:t>Three Months Ended</w:t>
            </w:r>
          </w:p>
        </w:tc>
        <w:tc>
          <w:tcPr>
            <w:tcW w:w="21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662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85"/>
              </w:rPr>
              <w:t>September 30,</w:t>
            </w:r>
          </w:p>
        </w:tc>
        <w:tc>
          <w:tcPr>
            <w:tcW w:w="48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85"/>
              </w:rPr>
              <w:t>September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w:t>
            </w: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M&amp;A and Other Advisory</w:t>
            </w: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46</w:t>
            </w:r>
          </w:p>
        </w:tc>
        <w:tc>
          <w:tcPr>
            <w:tcW w:w="540" w:type="dxa"/>
            <w:vAlign w:val="bottom"/>
          </w:tcPr>
          <w:p>
            <w:pPr>
              <w:jc w:val="right"/>
              <w:spacing w:after="0"/>
              <w:rPr>
                <w:sz w:val="20"/>
                <w:szCs w:val="20"/>
                <w:color w:val="auto"/>
              </w:rPr>
            </w:pPr>
            <w:r>
              <w:rPr>
                <w:rFonts w:ascii="Arial" w:cs="Arial" w:eastAsia="Arial" w:hAnsi="Arial"/>
                <w:sz w:val="18"/>
                <w:szCs w:val="18"/>
                <w:color w:val="auto"/>
              </w:rPr>
              <w:t>126</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(a)</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8</w:t>
            </w: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Thomson Reuters as of October 7,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89"/>
              </w:rPr>
              <w:t>Three Months Ended</w:t>
            </w:r>
          </w:p>
        </w:tc>
        <w:tc>
          <w:tcPr>
            <w:tcW w:w="2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662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85"/>
              </w:rPr>
              <w:t>September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2012</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82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2013 versus September 30, 2012</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and Other Advisory and Capital Raising businesses, increased $6 million, or 3%, and Restructuring revenue increased $8 million, or 23%, as compared to the 2012 period.</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M&amp;A and Other Advisory revenue increased $5 million, or 3%, and Capital Raising revenue increased by $1 million, or 7%, as compared to the 2012 period. The increase in M&amp;A and Other Advisory revenue was primarily due to an increase in the average fees paid in respect of transactions involving fees greater than $1 million. Our major clients, which in the aggregate represented a significant portion of our M&amp;A and Other Advisory revenue for the third quarter of 2013, included Ameristar Casinos, Amgen, CNH Global, D.E. Master Blenders 1753, Leap Wireless, NV Energy, Rockwood, Siemens and Total.</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Restructuring revenue is derived from various activities including bankruptcy assignments, global debt and financing restructurings, distressed asset sales and advice on complex on- and off-balance sheet assignments, the timing of which may not correspond to industry announced defaults. The increase in Restructuring revenue reflected the closing of several large assignments in the 2013 period. Our major clients, which in the aggregate represented a significant portion of our Restructuring revenue in the 2013 period, included Eastman Kodak, Exide Technologies and Realia Business.</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Operating expenses increased $6 million, or 3%, as compared to the 2012 period. The primary contributors to the increase were (i) higher compensation and benefits expense related to higher operating revenue, partially offset by a reduction in amortization expense associated with deferred compensation awards and a reduction in salary expenses related to the cost saving initiatives, and (ii) higher professional fees, partially offset by decreased travel, communications and occupancy costs.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Financial Advisory operating income in the 2013 period was $16 million, an increase of $8 million as compared to operating income of $8 million in the 2012 period and, as a percentage of net revenue, was 6.8%, as compared to 3.4% in the 2012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2013 versus September 30, 2012</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and Other Advisory and Capital Raising businesses, decreased $38 million, or 6%, and Restructuring revenue decreased $36 million, or 27%, as compared to the 2012 period.</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M&amp;A and Other Advisory revenue decreased $44 million, or 8%, with Capital Raising revenue increasing $6 million, or 13%, as compared to the 2012 period. The decrease in M&amp;A and Other Advisory revenue was primarily due to a lower number of transactions involving fees greater than $1 million in the 2013 period as compared to the 2012 period. The 2012 period included significant fees related to our sovereign advisory and middle markets businesses. The increase in Capital Raising revenue reflected increased activity and fees from our Private Placements, PIPES, Registered Direct offerings and Private Fund Advisory groups.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decline in Restructuring revenue was attributable to the closing of several large assignments in the 2012 period, and is consistent with the industry-wide low level of corporate restructuring activity.</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Operating expenses decreased $19 million, or 3%, as compared to the 2012 period, and included a $48 million charge in the 2013 period related to the cost saving initiatives. Excluding such charge, operating expenses decreased $67 million, or 10%. The primary contributors to the decrease were lower compensation and benefits expense due to lower operating revenue, headcount reductions related to the cost saving initiatives, reductions in amortization expense associated with deferred compensation awards, decreased travel and communications expense related to the cost saving initiatives and lower deal-related costs as a result of transactions that closed in the 2013 period as compared to the 2012 period, partially offset by higher occupancy costs related to the amended lease and build-out of our Rockefeller Center facility.</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Financial Advisory operating loss in the 2013 period was $9 million (including the impact of the $48 million charge related to the cost saving initiatives), a decrease of $55 million as compared to operating income of $46 million in the 2012 period and, as a percentage of net revenue, was (1.4)% as compared to 6.3% in the 2012 period. Excluding the impact of such charge in the 2013 period, operating income was $39 million, a decrease of $7 million, as compared to operating income in the 2012 period.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82"/>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6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3"/>
              </w:rPr>
              <w:t>September 30,</w:t>
            </w:r>
          </w:p>
        </w:tc>
        <w:tc>
          <w:tcPr>
            <w:tcW w:w="5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56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56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4"/>
          </w:tcPr>
          <w:p>
            <w:pPr>
              <w:jc w:val="center"/>
              <w:ind w:left="375"/>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 by Asset Class:</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3580" w:type="dxa"/>
            <w:vAlign w:val="bottom"/>
            <w:gridSpan w:val="2"/>
            <w:shd w:val="clear" w:color="auto" w:fill="CCEEFF"/>
          </w:tcPr>
          <w:p>
            <w:pPr>
              <w:ind w:left="3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44,623</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Global</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33,519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36,247</w:t>
            </w:r>
          </w:p>
        </w:tc>
        <w:tc>
          <w:tcPr>
            <w:tcW w:w="100" w:type="dxa"/>
            <w:vAlign w:val="bottom"/>
          </w:tcPr>
          <w:p>
            <w:pPr>
              <w:spacing w:after="0"/>
              <w:rPr>
                <w:sz w:val="18"/>
                <w:szCs w:val="18"/>
                <w:color w:val="auto"/>
              </w:rPr>
            </w:pPr>
          </w:p>
        </w:tc>
      </w:tr>
      <w:tr>
        <w:trPr>
          <w:trHeight w:val="230"/>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3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30,890</w:t>
            </w:r>
          </w:p>
        </w:tc>
        <w:tc>
          <w:tcPr>
            <w:tcW w:w="100" w:type="dxa"/>
            <w:vAlign w:val="bottom"/>
            <w:shd w:val="clear" w:color="auto" w:fill="CCEEFF"/>
          </w:tcPr>
          <w:p>
            <w:pPr>
              <w:spacing w:after="0"/>
              <w:rPr>
                <w:sz w:val="19"/>
                <w:szCs w:val="19"/>
                <w:color w:val="auto"/>
              </w:rPr>
            </w:pPr>
          </w:p>
        </w:tc>
      </w:tr>
      <w:tr>
        <w:trPr>
          <w:trHeight w:val="223"/>
        </w:trPr>
        <w:tc>
          <w:tcPr>
            <w:tcW w:w="564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3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26,411</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Equity</w:t>
            </w:r>
          </w:p>
        </w:tc>
        <w:tc>
          <w:tcPr>
            <w:tcW w:w="3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146,099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138,171</w:t>
            </w:r>
          </w:p>
        </w:tc>
        <w:tc>
          <w:tcPr>
            <w:tcW w:w="100" w:type="dxa"/>
            <w:vAlign w:val="bottom"/>
            <w:shd w:val="clear" w:color="auto" w:fill="CCEEFF"/>
          </w:tcPr>
          <w:p>
            <w:pPr>
              <w:spacing w:after="0"/>
              <w:rPr>
                <w:sz w:val="18"/>
                <w:szCs w:val="18"/>
                <w:color w:val="auto"/>
              </w:rPr>
            </w:pPr>
          </w:p>
        </w:tc>
      </w:tr>
      <w:tr>
        <w:trPr>
          <w:trHeight w:val="222"/>
        </w:trPr>
        <w:tc>
          <w:tcPr>
            <w:tcW w:w="564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Multi-Regional</w:t>
            </w:r>
          </w:p>
        </w:tc>
        <w:tc>
          <w:tcPr>
            <w:tcW w:w="3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10,980</w:t>
            </w:r>
          </w:p>
        </w:tc>
        <w:tc>
          <w:tcPr>
            <w:tcW w:w="100" w:type="dxa"/>
            <w:vAlign w:val="bottom"/>
            <w:shd w:val="clear" w:color="auto" w:fill="CCEEFF"/>
          </w:tcPr>
          <w:p>
            <w:pPr>
              <w:spacing w:after="0"/>
              <w:rPr>
                <w:sz w:val="20"/>
                <w:szCs w:val="20"/>
                <w:color w:val="auto"/>
              </w:rPr>
            </w:pP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Global</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3,065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100" w:type="dxa"/>
            <w:vAlign w:val="bottom"/>
            <w:shd w:val="clear" w:color="auto" w:fill="CCEEFF"/>
          </w:tcPr>
          <w:p>
            <w:pPr>
              <w:spacing w:after="0"/>
              <w:rPr>
                <w:sz w:val="18"/>
                <w:szCs w:val="18"/>
                <w:color w:val="auto"/>
              </w:rPr>
            </w:pPr>
          </w:p>
        </w:tc>
      </w:tr>
      <w:tr>
        <w:trPr>
          <w:trHeight w:val="223"/>
        </w:trPr>
        <w:tc>
          <w:tcPr>
            <w:tcW w:w="5640" w:type="dxa"/>
            <w:vAlign w:val="bottom"/>
          </w:tcPr>
          <w:p>
            <w:pPr>
              <w:ind w:left="440"/>
              <w:spacing w:after="0"/>
              <w:rPr>
                <w:sz w:val="20"/>
                <w:szCs w:val="20"/>
                <w:color w:val="auto"/>
              </w:rPr>
            </w:pPr>
            <w:r>
              <w:rPr>
                <w:rFonts w:ascii="Arial" w:cs="Arial" w:eastAsia="Arial" w:hAnsi="Arial"/>
                <w:sz w:val="18"/>
                <w:szCs w:val="18"/>
                <w:color w:val="auto"/>
              </w:rPr>
              <w:t>Emerging Markets</w:t>
            </w:r>
          </w:p>
        </w:tc>
        <w:tc>
          <w:tcPr>
            <w:tcW w:w="3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5,154</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Income</w:t>
            </w:r>
          </w:p>
        </w:tc>
        <w:tc>
          <w:tcPr>
            <w:tcW w:w="3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22,718</w:t>
            </w:r>
          </w:p>
        </w:tc>
        <w:tc>
          <w:tcPr>
            <w:tcW w:w="100" w:type="dxa"/>
            <w:vAlign w:val="bottom"/>
            <w:shd w:val="clear" w:color="auto" w:fill="CCEEFF"/>
          </w:tcPr>
          <w:p>
            <w:pPr>
              <w:spacing w:after="0"/>
              <w:rPr>
                <w:sz w:val="18"/>
                <w:szCs w:val="18"/>
                <w:color w:val="auto"/>
              </w:rPr>
            </w:pPr>
          </w:p>
        </w:tc>
      </w:tr>
      <w:tr>
        <w:trPr>
          <w:trHeight w:val="221"/>
        </w:trPr>
        <w:tc>
          <w:tcPr>
            <w:tcW w:w="564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4,571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19"/>
                <w:szCs w:val="19"/>
                <w:color w:val="auto"/>
              </w:rPr>
            </w:pPr>
          </w:p>
        </w:tc>
      </w:tr>
      <w:tr>
        <w:trPr>
          <w:trHeight w:val="218"/>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b w:val="1"/>
                <w:bCs w:val="1"/>
                <w:color w:val="auto"/>
              </w:rPr>
              <w:t>Cash Management</w:t>
            </w: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AUM</w:t>
            </w:r>
          </w:p>
        </w:tc>
        <w:tc>
          <w:tcPr>
            <w:tcW w:w="34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176,455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167,060</w:t>
            </w:r>
          </w:p>
        </w:tc>
        <w:tc>
          <w:tcPr>
            <w:tcW w:w="100" w:type="dxa"/>
            <w:vAlign w:val="bottom"/>
            <w:shd w:val="clear" w:color="auto" w:fill="CCEEFF"/>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Average AUM for the 2013 and 2012 periods is set forth below. Average AUM is generally based on an average of quarterly ending balances for the respective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5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2013</w:t>
            </w:r>
          </w:p>
        </w:tc>
        <w:tc>
          <w:tcPr>
            <w:tcW w:w="102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56"/>
        </w:trPr>
        <w:tc>
          <w:tcPr>
            <w:tcW w:w="7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gridSpan w:val="4"/>
          </w:tcPr>
          <w:p>
            <w:pPr>
              <w:ind w:left="500"/>
              <w:spacing w:after="0" w:line="155" w:lineRule="exact"/>
              <w:rPr>
                <w:sz w:val="20"/>
                <w:szCs w:val="20"/>
                <w:color w:val="auto"/>
              </w:rPr>
            </w:pPr>
            <w:r>
              <w:rPr>
                <w:rFonts w:ascii="Arial" w:cs="Arial" w:eastAsia="Arial" w:hAnsi="Arial"/>
                <w:sz w:val="14"/>
                <w:szCs w:val="14"/>
                <w:b w:val="1"/>
                <w:bCs w:val="1"/>
                <w:color w:val="auto"/>
              </w:rPr>
              <w:t>($ in millions)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$ 171,497</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$ 156,620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$ 170,162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$ 152,744</w:t>
            </w:r>
          </w:p>
        </w:tc>
      </w:tr>
      <w:tr>
        <w:trPr>
          <w:trHeight w:val="20"/>
        </w:trPr>
        <w:tc>
          <w:tcPr>
            <w:tcW w:w="7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Total AUM at September 30, 2013 was $176 billion, an increase of $9 billion, or 6%, as compared to total AUM of $167 billion at December 31, 2012, primarily due to market appreciation. Average AUM for the three month and nine month periods ended September 30, 2013 was 10% and 11% higher, respectively, than that for the corresponding periods in 2012. Within the equity asset class, Emerging Markets and Global represented 26% and 19%, respectively, of total AUM at September 30, 2013, as compared to 27% and 22%, respectively, as of December 31, 2012.</w:t>
      </w:r>
    </w:p>
    <w:p>
      <w:pPr>
        <w:spacing w:after="0" w:line="11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As of September 30, 2013, approximately 90% of our AUM was managed on behalf of institutional clients, including corporations, labor unions, public pension funds, insurance companies and banks, and through sub-advisory relationships, mutual fund sponsors, broker-dealers and registered advisors, and approximately 10% of our AUM was managed on behalf of individual clients, which are principally family offices and individuals, and was substantially unchanged from the corresponding percentages at December 31, 2012.</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of September 30, 2013, AUM denominated in foreign currencies represented approximately 64% of our total AUM, as compared to 62% at December 31, 2012. Foreign denominated AUM generally declines in value with the strengthening of the U.S. Dollar and increases in value as the U.S. Dollar weakens.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2013 and 2012 periods: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Nine Months Ended</w:t>
            </w:r>
          </w:p>
        </w:tc>
      </w:tr>
      <w:tr>
        <w:trPr>
          <w:trHeight w:val="161"/>
        </w:trPr>
        <w:tc>
          <w:tcPr>
            <w:tcW w:w="11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1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September 30,</w:t>
            </w:r>
          </w:p>
        </w:tc>
      </w:tr>
      <w:tr>
        <w:trPr>
          <w:trHeight w:val="142"/>
        </w:trPr>
        <w:tc>
          <w:tcPr>
            <w:tcW w:w="116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gridSpan w:val="4"/>
          </w:tcPr>
          <w:p>
            <w:pPr>
              <w:jc w:val="right"/>
              <w:ind w:right="740"/>
              <w:spacing w:after="0" w:line="155" w:lineRule="exact"/>
              <w:rPr>
                <w:sz w:val="20"/>
                <w:szCs w:val="20"/>
                <w:color w:val="auto"/>
              </w:rPr>
            </w:pPr>
            <w:r>
              <w:rPr>
                <w:rFonts w:ascii="Arial" w:cs="Arial" w:eastAsia="Arial" w:hAnsi="Arial"/>
                <w:sz w:val="14"/>
                <w:szCs w:val="14"/>
                <w:b w:val="1"/>
                <w:bCs w:val="1"/>
                <w:color w:val="auto"/>
              </w:rPr>
              <w:t>($ in millions)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Period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$163,289</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$148,439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$ 167,060</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$ 141,039</w:t>
            </w: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Net Flows (a)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1,719</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1,813</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(3,403)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2,788</w:t>
            </w: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and Foreign Exchange Appreciation</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11,447</w:t>
            </w:r>
          </w:p>
        </w:tc>
        <w:tc>
          <w:tcPr>
            <w:tcW w:w="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10,159</w:t>
            </w:r>
          </w:p>
        </w:tc>
        <w:tc>
          <w:tcPr>
            <w:tcW w:w="3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12,798</w:t>
            </w:r>
          </w:p>
        </w:tc>
        <w:tc>
          <w:tcPr>
            <w:tcW w:w="3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16,584</w:t>
            </w:r>
          </w:p>
        </w:tc>
        <w:tc>
          <w:tcPr>
            <w:tcW w:w="100" w:type="dxa"/>
            <w:vAlign w:val="bottom"/>
            <w:shd w:val="clear" w:color="auto" w:fill="CCEEFF"/>
          </w:tcPr>
          <w:p>
            <w:pPr>
              <w:spacing w:after="0"/>
              <w:rPr>
                <w:sz w:val="18"/>
                <w:szCs w:val="18"/>
                <w:color w:val="auto"/>
              </w:rPr>
            </w:pPr>
          </w:p>
        </w:tc>
      </w:t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rPr>
              <w:t>AUM—End of Period</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176,455</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$ 160,411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$ 176,455</w:t>
            </w:r>
          </w:p>
        </w:tc>
        <w:tc>
          <w:tcPr>
            <w:tcW w:w="3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$ 160,411</w:t>
            </w:r>
          </w:p>
        </w:tc>
      </w:tr>
      <w:tr>
        <w:trPr>
          <w:trHeight w:val="20"/>
        </w:trPr>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520" w:hanging="452"/>
        <w:spacing w:after="0" w:line="332"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inflows of $8,562 and $7,660 and outflows of $6,843 and $5,847 for the three month periods in 2013 and 2012, respectively, and inflows of $25,918 and $20,269 and outflows of $29,321 and $17,481 for the nine month periods in 2013 and 2012, respectively.</w:t>
      </w:r>
    </w:p>
    <w:p>
      <w:pPr>
        <w:spacing w:after="0" w:line="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During the first nine months of 2013, inflows were primarily attributable to the Emerging Markets and Multi-Regional equity platforms and the Emerging Markets fixed income platform. Outflows during the period were primarily attributable to the Global and Local equity platforms.</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of October 18, 2013, AUM was $183.9 billion, a $7.4 billion increase since September 30, 2013. The increase in AUM was due to market and foreign exchange appreciation of $7.1 billion and net inflows of $0.3 billion.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21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5"/>
          </w:tcPr>
          <w:p>
            <w:pPr>
              <w:jc w:val="right"/>
              <w:ind w:right="110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228,272</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202,324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$665,964</w:t>
            </w:r>
          </w:p>
        </w:tc>
        <w:tc>
          <w:tcPr>
            <w:tcW w:w="6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$597,407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10,606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34,704</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13,761</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8,586</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40,950</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252,094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221,516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741,618</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Operating Expenses(a)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168,895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160,869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511,526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477,989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83,199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60,647</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230,092</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169,107</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31.0%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33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$0 and $235 for the three month and nine month periods of 2013 associated with the implementation of the cost saving initiatives. All periods include indirect support costs (including compensation and benefits expense and other operating expenses related thereto).</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238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88"/>
              </w:rPr>
              <w:t>Three Months Ended</w:t>
            </w:r>
          </w:p>
        </w:tc>
        <w:tc>
          <w:tcPr>
            <w:tcW w:w="18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7220" w:type="dxa"/>
            <w:vAlign w:val="bottom"/>
          </w:tcPr>
          <w:p>
            <w:pPr>
              <w:spacing w:after="0"/>
              <w:rPr>
                <w:sz w:val="14"/>
                <w:szCs w:val="14"/>
                <w:color w:val="auto"/>
              </w:rPr>
            </w:pPr>
          </w:p>
        </w:tc>
        <w:tc>
          <w:tcPr>
            <w:tcW w:w="130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tcBorders>
              <w:bottom w:val="single" w:sz="8" w:color="auto"/>
            </w:tcBorders>
            <w:gridSpan w:val="3"/>
          </w:tcPr>
          <w:p>
            <w:pPr>
              <w:jc w:val="center"/>
              <w:ind w:left="341"/>
              <w:spacing w:after="0"/>
              <w:rPr>
                <w:sz w:val="20"/>
                <w:szCs w:val="20"/>
                <w:color w:val="auto"/>
              </w:rPr>
            </w:pPr>
            <w:r>
              <w:rPr>
                <w:rFonts w:ascii="Arial" w:cs="Arial" w:eastAsia="Arial" w:hAnsi="Arial"/>
                <w:sz w:val="14"/>
                <w:szCs w:val="14"/>
                <w:b w:val="1"/>
                <w:bCs w:val="1"/>
                <w:color w:val="auto"/>
                <w:w w:val="87"/>
              </w:rPr>
              <w:t>September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2012</w:t>
            </w:r>
          </w:p>
        </w:tc>
        <w:tc>
          <w:tcPr>
            <w:tcW w:w="6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ind w:right="61"/>
              <w:spacing w:after="0"/>
              <w:rPr>
                <w:sz w:val="20"/>
                <w:szCs w:val="20"/>
                <w:color w:val="auto"/>
              </w:rPr>
            </w:pPr>
            <w:r>
              <w:rPr>
                <w:rFonts w:ascii="Arial" w:cs="Arial" w:eastAsia="Arial" w:hAnsi="Arial"/>
                <w:sz w:val="18"/>
                <w:szCs w:val="18"/>
                <w:color w:val="auto"/>
              </w:rPr>
              <w:t>26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36"/>
              <w:spacing w:after="0"/>
              <w:rPr>
                <w:sz w:val="20"/>
                <w:szCs w:val="20"/>
                <w:color w:val="auto"/>
              </w:rPr>
            </w:pPr>
            <w:r>
              <w:rPr>
                <w:rFonts w:ascii="Arial" w:cs="Arial" w:eastAsia="Arial" w:hAnsi="Arial"/>
                <w:sz w:val="18"/>
                <w:szCs w:val="18"/>
                <w:color w:val="auto"/>
              </w:rPr>
              <w:t>26</w:t>
            </w:r>
          </w:p>
        </w:tc>
        <w:tc>
          <w:tcPr>
            <w:tcW w:w="660" w:type="dxa"/>
            <w:vAlign w:val="bottom"/>
          </w:tcPr>
          <w:p>
            <w:pPr>
              <w:spacing w:after="0"/>
              <w:rPr>
                <w:sz w:val="18"/>
                <w:szCs w:val="18"/>
                <w:color w:val="auto"/>
              </w:rPr>
            </w:pPr>
          </w:p>
        </w:tc>
        <w:tc>
          <w:tcPr>
            <w:tcW w:w="540" w:type="dxa"/>
            <w:vAlign w:val="bottom"/>
          </w:tcPr>
          <w:p>
            <w:pPr>
              <w:jc w:val="right"/>
              <w:ind w:right="61"/>
              <w:spacing w:after="0"/>
              <w:rPr>
                <w:sz w:val="20"/>
                <w:szCs w:val="20"/>
                <w:color w:val="auto"/>
              </w:rPr>
            </w:pPr>
            <w:r>
              <w:rPr>
                <w:rFonts w:ascii="Arial" w:cs="Arial" w:eastAsia="Arial" w:hAnsi="Arial"/>
                <w:sz w:val="18"/>
                <w:szCs w:val="18"/>
                <w:color w:val="auto"/>
              </w:rPr>
              <w:t>27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36"/>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8"/>
                <w:szCs w:val="18"/>
                <w:color w:val="auto"/>
              </w:rPr>
              <w:t>9</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6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8"/>
                <w:szCs w:val="18"/>
                <w:color w:val="auto"/>
              </w:rPr>
              <w:t>11</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22"/>
        </w:trPr>
        <w:tc>
          <w:tcPr>
            <w:tcW w:w="722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100%</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6"/>
              </w:rPr>
              <w:t>100%</w:t>
            </w:r>
          </w:p>
        </w:tc>
        <w:tc>
          <w:tcPr>
            <w:tcW w:w="100" w:type="dxa"/>
            <w:vAlign w:val="bottom"/>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2013 versus September 30, 2012</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Asset Management net revenue increased $31 million, or 14%, as compared to the 2012 period. Management fees increased $26 million, or 13%, as compared to the 2012 period, reflecting a $15 billion, or 10%, increase in average AUM. Incentive fees remained substantially unchanged as compared to the 2012 period. Other revenue increased by $5 million, or 60%, as compared to the 2012 period.</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Operating expenses increased $8 million, or 5%, as compared to the 2012 period, primarily due to an increase in compensation and benefits expense related to the increase in operating revenue and an increase in mutual fund servicing fees related to the growth in AUM.</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Asset Management operating income in the 2013 period was $83 million, an increase of $23 million, or 37%, compared to operating income of $60 million in the 2012 period and, as a percentage of net revenue, was 33.0%, compared to 27.4% in the 2012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2013 versus September 30, 2012</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Asset Management net revenue increased $95 million, or 15%, as compared to the 2012 period. Management fees increased $69 million, or 11%, as compared to the 2012 period, reflecting a $17 billion, or 11%, increase in average AUM. Incentive fees increased $18 million, or 105%, as compared to the 2012 period, primarily due to fees related to traditional investment products. Other revenue increased $8 million, or 25%, as compared to the 2012 period, primarily due to higher commissions as a result of increased market activity.</w:t>
      </w:r>
    </w:p>
    <w:p>
      <w:pPr>
        <w:spacing w:after="0" w:line="14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Operating expenses increased $34 million, or 7%, as compared to the 2012 period, primarily due to an increase in compensation and benefits expense related to the increase in operating revenue and an increase in mutual fund servicing fees related to the growth in AUM.</w:t>
      </w:r>
    </w:p>
    <w:p>
      <w:pPr>
        <w:spacing w:after="0" w:line="85"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color w:val="auto"/>
        </w:rPr>
        <w:t>Asset Management operating income in the 2013 period was $230 million, an increase of $61 million, or 36%, compared to operating income of $169 million in the 2012 period and, as a percentage of net revenue, was 31.0%, compared to 26.1% in the 2012 period.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6"/>
          </w:tcPr>
          <w:p>
            <w:pPr>
              <w:jc w:val="right"/>
              <w:ind w:right="760"/>
              <w:spacing w:after="0" w:line="142" w:lineRule="exact"/>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(20,169)</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(20,624)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(60,630)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(61,366)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(19,437)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(19,886)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(58,255)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(58,987)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13,855</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7,203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23,688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23,853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(5,582)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(12,683)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(34,567)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12,326</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8,762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42,794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51,138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(17,908)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(21,445)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(77,361)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(86,272)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(i) in 2013, $0 and $16,689 for the three month and nine month periods associated with the implementation of the cost saving initiatives, and (ii) in 2012, $0 and $24,659 for the three month and nine month periods relating to the staff reductions.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jc w:val="both"/>
        <w:ind w:right="300" w:firstLine="456"/>
        <w:spacing w:after="0" w:line="378" w:lineRule="auto"/>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2013 versus September 30,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was substantially unchanged as compared to the 2012 period.</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Other revenue increased $7 million, or 92%, as compared to the 2012 period, primarily due to an increase in net investment gains, including gains relating to Lazard Fund Interests.</w:t>
      </w:r>
    </w:p>
    <w:p>
      <w:pPr>
        <w:spacing w:after="0" w:line="132"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Operating expenses increased $4 million, or 41%, as compared to the 2012 period, primarily due to increased compensation and benefits expense associated with Lazard Fund Interests.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2013 versus September 30,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and other revenue was substantially unchanged as compared to the 2012 period.</w:t>
      </w:r>
    </w:p>
    <w:p>
      <w:pPr>
        <w:spacing w:after="0" w:line="17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Operating expenses decreased $8 million, or 16%, compared to the 2012 period, and included in the 2013 period a charge of $17 million associated with the cost saving initiatives, while the 2012 period included a charge of $25 million related to staff reductions. Excluding such charges in both periods, operating expenses were substantially unchanged.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M&amp;A, Other Advisory, and Asset Management fees are generally collected within 60 days of billing, while Restructuring fee collections may extend beyond 60 days,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particularly those that involve bankruptcies with court-ordered holdbacks. Fees from our Private Fund Advisory activities are generally collected over a four-year period from billing and typically include an interest component.</w:t>
      </w:r>
    </w:p>
    <w:p>
      <w:pPr>
        <w:spacing w:after="0" w:line="132"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Company makes cash payments for, or in respect of, a significant portion of its incentive compensation during the first three months of each calendar year with respect to the prior year’s results. In addition, during the nine month period of 2013, the Company made cash payments, including severance payments, associated with the cost saving initiatives (see “Cost Saving Initiatives” above and Note 14 of Notes to Condensed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3"/>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$ 112.3</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938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267.7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(212.1)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30"/>
        </w:trPr>
        <w:tc>
          <w:tcPr>
            <w:tcW w:w="9380" w:type="dxa"/>
            <w:vAlign w:val="bottom"/>
            <w:gridSpan w:val="2"/>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96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(48.5)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938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960" w:type="dxa"/>
            <w:vAlign w:val="bottom"/>
            <w:gridSpan w:val="3"/>
          </w:tcPr>
          <w:p>
            <w:pPr>
              <w:jc w:val="right"/>
              <w:ind w:right="272"/>
              <w:spacing w:after="0"/>
              <w:rPr>
                <w:sz w:val="20"/>
                <w:szCs w:val="20"/>
                <w:color w:val="auto"/>
              </w:rPr>
            </w:pPr>
            <w:r>
              <w:rPr>
                <w:rFonts w:ascii="Arial" w:cs="Arial" w:eastAsia="Arial" w:hAnsi="Arial"/>
                <w:sz w:val="18"/>
                <w:szCs w:val="18"/>
                <w:color w:val="auto"/>
              </w:rPr>
              <w:t>(273.9)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(7.3)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9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rPr>
              <w:t>(161.8)</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18"/>
        </w:trPr>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8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$ 688.4</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8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38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880" w:type="dxa"/>
            <w:vAlign w:val="bottom"/>
          </w:tcPr>
          <w:p>
            <w:pPr>
              <w:spacing w:after="0"/>
              <w:rPr>
                <w:sz w:val="10"/>
                <w:szCs w:val="10"/>
                <w:color w:val="auto"/>
              </w:rPr>
            </w:pPr>
          </w:p>
        </w:tc>
        <w:tc>
          <w:tcPr>
            <w:tcW w:w="8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25.5</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938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239.4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$ 267.7</w:t>
            </w:r>
          </w:p>
        </w:tc>
        <w:tc>
          <w:tcPr>
            <w:tcW w:w="4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720" w:hanging="452"/>
        <w:spacing w:after="0" w:line="261"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settlements of vested restricted stock units (“RSUs”), Class A common stock dividends and distributions to noncontrolling interest 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quarters. In the case of Financial Advisory, fee receipts are generally dependent upon the successful completion of client transactions, the occurrence and timing of which is irregular and not subject to Lazard’s control.</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 Liquidity has also been impacted by cash payments, including severance payments, associated with the cost saving initiatives (see “Cost Saving Initiatives” above and Note 14 of Notes to Condensed Consolidated Financial Statements).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members’/stockholders’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dividend payments, purchases of shares of Class A common stock and Lazard Group common membership interests and matters relating to liquidity and to compliance with regulatory net capital requirements. At September 30, 2013, Lazard had approximately $688 million of cash, with such amount including approximately $271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4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September 30, 2013, Lazard had approximately $264 million in unused lines of credit available to it, including a $150 million, three-year, senior revolving credit facility with a group of lenders that expires in September 2015 (the “Credit Facility”) (see “—Financing Activities” below) and unused lines of credit available to LFB of approximately $54 million (at September 30, 2013 exchange rates) and Edgewater of $55 million. In addition, LFB has access to the Eurosystem Covered Bond Purchase Program of the Banque de France.</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The table below sets forth our corporate indebtedness as of September 30, 2013 and December 31, 2012. The agreements with respect to this indebtedness are discussed in more detail in our condensed consolidated financial statements and related notes included elsewhere in this Form 10-Q and in our Form 10-K.</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232"/>
              <w:spacing w:after="0"/>
              <w:rPr>
                <w:sz w:val="20"/>
                <w:szCs w:val="20"/>
                <w:color w:val="auto"/>
              </w:rPr>
            </w:pPr>
            <w:r>
              <w:rPr>
                <w:rFonts w:ascii="Arial" w:cs="Arial" w:eastAsia="Arial" w:hAnsi="Arial"/>
                <w:sz w:val="14"/>
                <w:szCs w:val="14"/>
                <w:b w:val="1"/>
                <w:bCs w:val="1"/>
                <w:color w:val="auto"/>
                <w:w w:val="85"/>
              </w:rPr>
              <w:t>As of</w:t>
            </w:r>
          </w:p>
        </w:tc>
        <w:tc>
          <w:tcPr>
            <w:tcW w:w="6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3"/>
              </w:rPr>
              <w:t>September 30,</w:t>
            </w:r>
          </w:p>
        </w:tc>
        <w:tc>
          <w:tcPr>
            <w:tcW w:w="64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7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0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74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center"/>
              <w:ind w:left="38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2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3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440"/>
              <w:spacing w:after="0"/>
              <w:rPr>
                <w:sz w:val="20"/>
                <w:szCs w:val="20"/>
                <w:color w:val="auto"/>
              </w:rPr>
            </w:pPr>
            <w:r>
              <w:rPr>
                <w:rFonts w:ascii="Arial" w:cs="Arial" w:eastAsia="Arial" w:hAnsi="Arial"/>
                <w:sz w:val="18"/>
                <w:szCs w:val="18"/>
                <w:color w:val="auto"/>
              </w:rPr>
              <w:t>7.125%</w:t>
            </w:r>
          </w:p>
        </w:tc>
        <w:tc>
          <w:tcPr>
            <w:tcW w:w="3560" w:type="dxa"/>
            <w:vAlign w:val="bottom"/>
            <w:gridSpan w:val="2"/>
          </w:tcPr>
          <w:p>
            <w:pPr>
              <w:jc w:val="center"/>
              <w:ind w:left="2952"/>
              <w:spacing w:after="0"/>
              <w:rPr>
                <w:sz w:val="20"/>
                <w:szCs w:val="20"/>
                <w:color w:val="auto"/>
              </w:rPr>
            </w:pPr>
            <w:r>
              <w:rPr>
                <w:rFonts w:ascii="Arial" w:cs="Arial" w:eastAsia="Arial" w:hAnsi="Arial"/>
                <w:sz w:val="18"/>
                <w:szCs w:val="18"/>
                <w:color w:val="auto"/>
                <w:w w:val="89"/>
              </w:rPr>
              <w:t>2015</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528.5</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528.5</w:t>
            </w: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3560" w:type="dxa"/>
            <w:vAlign w:val="bottom"/>
            <w:gridSpan w:val="2"/>
            <w:shd w:val="clear" w:color="auto" w:fill="CCEEFF"/>
          </w:tcPr>
          <w:p>
            <w:pPr>
              <w:jc w:val="center"/>
              <w:ind w:left="2952"/>
              <w:spacing w:after="0"/>
              <w:rPr>
                <w:sz w:val="20"/>
                <w:szCs w:val="20"/>
                <w:color w:val="auto"/>
              </w:rPr>
            </w:pPr>
            <w:r>
              <w:rPr>
                <w:rFonts w:ascii="Arial" w:cs="Arial" w:eastAsia="Arial" w:hAnsi="Arial"/>
                <w:sz w:val="18"/>
                <w:szCs w:val="18"/>
                <w:color w:val="auto"/>
                <w:w w:val="89"/>
              </w:rPr>
              <w:t>2017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Total Senior Debt</w:t>
            </w:r>
          </w:p>
        </w:tc>
        <w:tc>
          <w:tcPr>
            <w:tcW w:w="3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40" w:type="dxa"/>
            <w:vAlign w:val="bottom"/>
            <w:vMerge w:val="continue"/>
          </w:tcPr>
          <w:p>
            <w:pPr>
              <w:spacing w:after="0"/>
              <w:rPr>
                <w:sz w:val="19"/>
                <w:szCs w:val="19"/>
                <w:color w:val="auto"/>
              </w:rPr>
            </w:pPr>
          </w:p>
        </w:tc>
        <w:tc>
          <w:tcPr>
            <w:tcW w:w="3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1,076.9</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1,076.9</w:t>
            </w: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040" w:type="dxa"/>
            <w:vAlign w:val="bottom"/>
            <w:vMerge w:val="restart"/>
          </w:tcPr>
          <w:p>
            <w:pPr>
              <w:jc w:val="right"/>
              <w:ind w:right="592"/>
              <w:spacing w:after="0"/>
              <w:rPr>
                <w:sz w:val="20"/>
                <w:szCs w:val="20"/>
                <w:color w:val="auto"/>
              </w:rPr>
            </w:pPr>
            <w:r>
              <w:rPr>
                <w:rFonts w:ascii="Arial" w:cs="Arial" w:eastAsia="Arial" w:hAnsi="Arial"/>
                <w:sz w:val="18"/>
                <w:szCs w:val="18"/>
                <w:color w:val="auto"/>
              </w:rPr>
              <w:t>65</w:t>
            </w: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owing to the lending bank group, the Credit Facility includes 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September 30, 2013, Lazard Group was in compliance with such ratios, with its Consolidated Leverage Ratio being 1.75 to 1.00 and its Consolidated Interest Coverage Ratio being 8.87 to 1.00. In any event, no amounts were outstanding under the Credit Facility as of September 30, 2013.</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September 30, 2013,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At September 30, 2013, total stockholders’ equity was $657 million, as compared to $652 million at December 31, 2012, including $583 million and $570 million attributable to Lazard Ltd on the respective dates. The net activity in stockholders’ equity during the nine month period ended September 30, 2013 is reflected in the table below (in millions of dollars):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Equity—January 1, 2013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r>
      <w:tr>
        <w:trPr>
          <w:trHeight w:val="283"/>
        </w:trPr>
        <w:tc>
          <w:tcPr>
            <w:tcW w:w="998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9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r>
      <w:tr>
        <w:trPr>
          <w:trHeight w:val="216"/>
        </w:trPr>
        <w:tc>
          <w:tcPr>
            <w:tcW w:w="9980" w:type="dxa"/>
            <w:vAlign w:val="bottom"/>
            <w:gridSpan w:val="2"/>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r>
      <w:tr>
        <w:trPr>
          <w:trHeight w:val="216"/>
        </w:trPr>
        <w:tc>
          <w:tcPr>
            <w:tcW w:w="9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Purchase of Class A common stock</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r>
      <w:tr>
        <w:trPr>
          <w:trHeight w:val="208"/>
        </w:trPr>
        <w:tc>
          <w:tcPr>
            <w:tcW w:w="9980" w:type="dxa"/>
            <w:vAlign w:val="bottom"/>
            <w:gridSpan w:val="2"/>
          </w:tcPr>
          <w:p>
            <w:pPr>
              <w:ind w:left="440"/>
              <w:spacing w:after="0"/>
              <w:rPr>
                <w:sz w:val="20"/>
                <w:szCs w:val="20"/>
                <w:color w:val="auto"/>
              </w:rPr>
            </w:pPr>
            <w:r>
              <w:rPr>
                <w:rFonts w:ascii="Arial" w:cs="Arial" w:eastAsia="Arial" w:hAnsi="Arial"/>
                <w:sz w:val="18"/>
                <w:szCs w:val="18"/>
                <w:color w:val="auto"/>
                <w:w w:val="96"/>
              </w:rPr>
              <w:t>Delivery of Class A common stock in connection with share-based incentive compensation awards and related tax benefit of</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40" w:type="dxa"/>
            <w:vAlign w:val="bottom"/>
          </w:tcPr>
          <w:p>
            <w:pPr>
              <w:ind w:left="660"/>
              <w:spacing w:after="0"/>
              <w:rPr>
                <w:sz w:val="20"/>
                <w:szCs w:val="20"/>
                <w:color w:val="auto"/>
              </w:rPr>
            </w:pPr>
            <w:r>
              <w:rPr>
                <w:rFonts w:ascii="Arial" w:cs="Arial" w:eastAsia="Arial" w:hAnsi="Arial"/>
                <w:sz w:val="18"/>
                <w:szCs w:val="18"/>
                <w:color w:val="auto"/>
              </w:rPr>
              <w:t>$1</w:t>
            </w:r>
          </w:p>
        </w:tc>
        <w:tc>
          <w:tcPr>
            <w:tcW w:w="9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(125)</w:t>
            </w:r>
          </w:p>
        </w:tc>
      </w:tr>
      <w:tr>
        <w:trPr>
          <w:trHeight w:val="217"/>
        </w:trPr>
        <w:tc>
          <w:tcPr>
            <w:tcW w:w="9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Class A common stock dividends</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9980" w:type="dxa"/>
            <w:vAlign w:val="bottom"/>
            <w:gridSpan w:val="2"/>
          </w:tcPr>
          <w:p>
            <w:pPr>
              <w:ind w:left="440"/>
              <w:spacing w:after="0"/>
              <w:rPr>
                <w:sz w:val="20"/>
                <w:szCs w:val="20"/>
                <w:color w:val="auto"/>
              </w:rPr>
            </w:pPr>
            <w:r>
              <w:rPr>
                <w:rFonts w:ascii="Arial" w:cs="Arial" w:eastAsia="Arial" w:hAnsi="Arial"/>
                <w:sz w:val="18"/>
                <w:szCs w:val="18"/>
                <w:color w:val="auto"/>
              </w:rPr>
              <w:t>Distributions to noncontrolling interests, net</w:t>
            </w: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9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AOCI (including noncontrolling interests’ portion thereof)(a)</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22"/>
        </w:trPr>
        <w:tc>
          <w:tcPr>
            <w:tcW w:w="9980" w:type="dxa"/>
            <w:vAlign w:val="bottom"/>
            <w:gridSpan w:val="2"/>
          </w:tcPr>
          <w:p>
            <w:pPr>
              <w:spacing w:after="0"/>
              <w:rPr>
                <w:sz w:val="20"/>
                <w:szCs w:val="20"/>
                <w:color w:val="auto"/>
              </w:rPr>
            </w:pPr>
            <w:r>
              <w:rPr>
                <w:rFonts w:ascii="Arial" w:cs="Arial" w:eastAsia="Arial" w:hAnsi="Arial"/>
                <w:sz w:val="18"/>
                <w:szCs w:val="18"/>
                <w:color w:val="auto"/>
              </w:rPr>
              <w:t>Stockholders’ Equity—September 30, 2013</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9"/>
                <w:szCs w:val="19"/>
                <w:color w:val="auto"/>
              </w:rPr>
            </w:pPr>
          </w:p>
        </w:tc>
      </w:tr>
      <w:tr>
        <w:trPr>
          <w:trHeight w:val="20"/>
        </w:trPr>
        <w:tc>
          <w:tcPr>
            <w:tcW w:w="9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940" w:type="dxa"/>
            <w:vAlign w:val="bottom"/>
            <w:tcBorders>
              <w:bottom w:val="single" w:sz="8" w:color="auto"/>
            </w:tcBorders>
            <w:shd w:val="clear" w:color="auto" w:fill="CCEEFF"/>
          </w:tcPr>
          <w:p>
            <w:pPr>
              <w:spacing w:after="0"/>
              <w:rPr>
                <w:sz w:val="8"/>
                <w:szCs w:val="8"/>
                <w:color w:val="auto"/>
              </w:rPr>
            </w:pPr>
          </w:p>
        </w:tc>
        <w:tc>
          <w:tcPr>
            <w:tcW w:w="90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r>
      <w:tr>
        <w:trPr>
          <w:trHeight w:val="250"/>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Includes:</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9980" w:type="dxa"/>
            <w:vAlign w:val="bottom"/>
            <w:gridSpan w:val="2"/>
          </w:tcPr>
          <w:p>
            <w:pPr>
              <w:ind w:left="440"/>
              <w:spacing w:after="0"/>
              <w:rPr>
                <w:sz w:val="20"/>
                <w:szCs w:val="20"/>
                <w:color w:val="auto"/>
              </w:rPr>
            </w:pPr>
            <w:r>
              <w:rPr>
                <w:rFonts w:ascii="Arial" w:cs="Arial" w:eastAsia="Arial" w:hAnsi="Arial"/>
                <w:sz w:val="18"/>
                <w:szCs w:val="18"/>
                <w:color w:val="auto"/>
              </w:rPr>
              <w:t>Net foreign currency translation adjustments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9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Employee benefit plans and other adjustments</w:t>
            </w: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22"/>
        </w:trPr>
        <w:tc>
          <w:tcPr>
            <w:tcW w:w="99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0"/>
        </w:trPr>
        <w:tc>
          <w:tcPr>
            <w:tcW w:w="9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February 2011, October 2011, April 2012 and October 2012 the Board of Directors of Lazard Ltd authorized the repurchase of up to $250 million, $125 million, $125 million and $200 million, respectively, in aggregate cost of Class A common stock and Lazard Group common membership interests through December 31, 2012, December 31, 2013, December 31, 2013 and December 31, 2014, respectively. The Company’s prior share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repurchase authorizations expired on December 31, 2009 and December 31, 2011, respectively. During the nine month period ended September 30, 2013 the Company repurchased 2,201,657 shares of Class A common stock, at an aggregate cost of $78 million (no Lazard Group common membership interests were purchased during such nine month period). Furthermore, in order to help offset the dilutive effect of our share-based incentive compensation plans, during a given year Lazard intends to repurchase at least as many shares as it expects to ultimately issue pursuant to such plans in respect of year-end incentive compensation attributable to the prior year</w:t>
      </w:r>
      <w:r>
        <w:rPr>
          <w:rFonts w:ascii="Arial" w:cs="Arial" w:eastAsia="Arial" w:hAnsi="Arial"/>
          <w:sz w:val="18"/>
          <w:szCs w:val="18"/>
          <w:i w:val="1"/>
          <w:iCs w:val="1"/>
          <w:color w:val="auto"/>
        </w:rPr>
        <w:t>.</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September 30, 2013, $76 million of the current share repurchase amount authorized as of such date remained available under the share repurchase program, all of which expires on December 31, 2014.</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October 2013, the Board of Directors of Lazard Ltd authorized the repurchase of up to an additional $100 million in aggregate cost of Class A common stock and Lazard Group common membership interests through December 31, 2015.</w:t>
      </w:r>
    </w:p>
    <w:p>
      <w:pPr>
        <w:spacing w:after="0" w:line="132"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Under the terms of the 2005 Plan and the 2008 Plan, upon the vesting of RSUs, performance-based restricted stock units (“PRSUs”) and delivery of restricted Class A common stock, shares of Class A common stock may be withheld by the Company to meet the minimum statutory tax withholding requirements. In that regard, during the nine month period ended September 30, 2013, the Company withheld $125 million to satisfy its withholding tax obligations for certain employees on vested RSUs and delivery of restricted Class A common stock in lieu of issuing 3,490,444 shares of Class A common stock.</w:t>
      </w:r>
    </w:p>
    <w:p>
      <w:pPr>
        <w:spacing w:after="0" w:line="9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Company plans to continue to deploy excess cash and may do so in a variety of ways, including by repurchasing outstanding shares of Class A common stock, paying dividends to stockholders and repurchasing its outstanding debt.</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See Notes 11 and 12 of Notes to Condensed Consolidated Financial Statements for additional information regarding Lazard’s stockholders’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18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the Form 10-K and Note 18 of Notes to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September 30,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1"/>
              </w:rPr>
              <w:t>Less than</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rPr>
              <w:t>1 Year</w:t>
            </w:r>
          </w:p>
        </w:tc>
        <w:tc>
          <w:tcPr>
            <w:tcW w:w="3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1-3 Years</w:t>
            </w: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3-5 Years</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2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$ 1,302,410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75,218</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$ 641,280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$ 585,912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Operating Leases (excluding $155,400 of sublease</w:t>
            </w:r>
          </w:p>
        </w:tc>
        <w:tc>
          <w:tcPr>
            <w:tcW w:w="1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income)</w:t>
            </w:r>
          </w:p>
        </w:tc>
        <w:tc>
          <w:tcPr>
            <w:tcW w:w="2720" w:type="dxa"/>
            <w:vAlign w:val="bottom"/>
            <w:gridSpan w:val="3"/>
          </w:tcPr>
          <w:p>
            <w:pPr>
              <w:jc w:val="right"/>
              <w:ind w:right="120"/>
              <w:spacing w:after="0"/>
              <w:rPr>
                <w:sz w:val="20"/>
                <w:szCs w:val="20"/>
                <w:color w:val="auto"/>
              </w:rPr>
            </w:pPr>
            <w:r>
              <w:rPr>
                <w:rFonts w:ascii="Arial" w:cs="Arial" w:eastAsia="Arial" w:hAnsi="Arial"/>
                <w:sz w:val="18"/>
                <w:szCs w:val="18"/>
                <w:color w:val="auto"/>
              </w:rPr>
              <w:t>1,022,666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82,263</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151,540</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135,984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652,879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2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18,632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5,548</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9,899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Investment Capital Funding Commitments (b)</w:t>
            </w:r>
          </w:p>
        </w:tc>
        <w:tc>
          <w:tcPr>
            <w:tcW w:w="17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27,685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27,685</w:t>
            </w:r>
          </w:p>
        </w:tc>
        <w:tc>
          <w:tcPr>
            <w:tcW w:w="3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(c)</w:t>
            </w:r>
          </w:p>
        </w:tc>
        <w:tc>
          <w:tcPr>
            <w:tcW w:w="17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$ 2,371,393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$ 188,351</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$ 798,368</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$ 731,795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$ 652,879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80" w:type="dxa"/>
            <w:vAlign w:val="bottom"/>
            <w:vMerge w:val="restart"/>
          </w:tcPr>
          <w:p>
            <w:pPr>
              <w:jc w:val="right"/>
              <w:ind w:right="492"/>
              <w:spacing w:after="0"/>
              <w:rPr>
                <w:sz w:val="20"/>
                <w:szCs w:val="20"/>
                <w:color w:val="auto"/>
              </w:rPr>
            </w:pPr>
            <w:r>
              <w:rPr>
                <w:rFonts w:ascii="Arial" w:cs="Arial" w:eastAsia="Arial" w:hAnsi="Arial"/>
                <w:sz w:val="18"/>
                <w:szCs w:val="18"/>
                <w:color w:val="auto"/>
              </w:rPr>
              <w:t>67</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5"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 Note 5 of Notes to Condensed Consolidated Financial Statements. These amounts are generally due on demand and therefore are presented in the “less than 1 year” category.</w:t>
      </w:r>
    </w:p>
    <w:p>
      <w:pPr>
        <w:ind w:left="460" w:right="40" w:hanging="452"/>
        <w:spacing w:after="0" w:line="254"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table above excludes contingent obligations, as well as any possible payments for uncertain tax positions, and payments pursuant to the Company’s tax receivable agreement, given the inability to estimate the possible amounts and timing of any such payments. See Notes 10, 12, 13 and 15 of Notes to Condensed Consolidated Financial Statements regarding information in connection with commitments, incentive plans, employee benefit plans and income taxes,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right="40"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85"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 based on an assumed annual ratio of awarded compensation and benefits expense to operating revenue. See “Financial Statement Overview—Operating Expenses” for more information on our periodic compensation and benefits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each of their respective jurisdictions. In addition to estimating actual current tax liability for these jurisdictions, we also must account for the tax effects of differences between the financial reporting and tax reporting of items, such as deferred revenue, compensation and benefits expense, unrealized gains or losses on investments and depreciation and amortization, as well as intercompany transactions such as revenue sharing, dividends and interest expense. Differences that are temporary in nature result in deferred tax assets and liabilities. Significant judgment is required in determining our provision for income taxes, our deferred tax assets and liabilities as discussed below, any valuation allowance recorded against our deferred tax assets and our unrecognized tax benefits.</w:t>
      </w:r>
    </w:p>
    <w:p>
      <w:pPr>
        <w:spacing w:after="0" w:line="12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 deferred tax asset is recognized if it is more likely than not (defined as a likelihood of greater than 50%) that a tax benefit will be accepted by a taxing authority. The measurement of deferred tax assets and liabilities is based upon currently enacted tax rates in the applicable jurisdictions. At December 31, 2012, on a consolidated basis, we recorded gross deferred tax assets of approximately $1.41 billion.</w:t>
      </w:r>
    </w:p>
    <w:p>
      <w:pPr>
        <w:spacing w:after="0" w:line="107" w:lineRule="exact"/>
        <w:rPr>
          <w:sz w:val="20"/>
          <w:szCs w:val="20"/>
          <w:color w:val="auto"/>
        </w:rPr>
      </w:pPr>
    </w:p>
    <w:p>
      <w:pPr>
        <w:ind w:right="140" w:firstLine="456"/>
        <w:spacing w:after="0" w:line="309" w:lineRule="auto"/>
        <w:rPr>
          <w:sz w:val="20"/>
          <w:szCs w:val="20"/>
          <w:color w:val="auto"/>
        </w:rPr>
      </w:pPr>
      <w:r>
        <w:rPr>
          <w:rFonts w:ascii="Arial" w:cs="Arial" w:eastAsia="Arial" w:hAnsi="Arial"/>
          <w:sz w:val="15"/>
          <w:szCs w:val="15"/>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In order to determine whether we apply a valuation allowance, we must assess whether it is more likely than not that such asset will be realized, taking into account all available information. The ultimate realization of a deferred tax asset for a particular entity depends, among other things, on the generation of taxable income by such entity in the applicable jurisdiction. Although we have been profitable on a consolidated basis for the three year periods ended December 31, 2012 and September 30, 2013, certain of our tax-paying entities have individually experienced minimal profits on a cumulative basis during such periods and losses in 2012, primarily due to permanent differences between net income and taxable income at such entities. Considering the recent operating results of such entities and the other factors listed below, we recorded a valuation allowance of approximately $1.24 billion on our deferred tax assets as of December 31, 2012 and have not changed our assessment regarding the level of valuation allowance as of September 30, 2013.</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212"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assessment regarding whether a valuation allowance is required or should be adjusted also considers all available information, including the following:</w:t>
      </w:r>
    </w:p>
    <w:p>
      <w:pPr>
        <w:spacing w:after="0" w:line="113"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nature, frequency and magnitude of any past losses and current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significant evidence and will generally outweigh a projection of future taxable income.</w:t>
      </w:r>
    </w:p>
    <w:p>
      <w:pPr>
        <w:spacing w:after="0" w:line="14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As mentioned previously, certain of our tax-paying entities have individually experienced minimal profits on a cumulative basis over the past several years and losses in 2012. If these entities achieve sustainable levels of profitability in the future, we believe that the valuation allowance recorded against our deferred tax assets at such entities could be reduced significantly. If any significant valuation allowance reduction were to occur, we would likely have a negative effective tax rate in the period in which such reduction occurs. Included in our deferred tax assets as of December 31, 2012 are approximately $705 million related to certain basis step-ups and approximately $196 million of net operating losses generated by the amortization of such step-up assets. Under our tax receivable agreement, Lazard Group will retain 15% of the actual cash tax savings relating to such assets and will pay 85% of such savings to the owners of Lazard prior to the separation. As a result, in the event of a reduction of our valuation allowance, we also would recognize a liability relating to the portion expected to be payable under the tax receivable agreement. The creation of this liability could potentially offset a significant amount (but not all) of the income we would otherwise recognize upon a release of the valuation allowance.</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valuation allowance reduction were to occur, for subsequent periods, our effective tax rate, with all other factors being held constant, would increase and could be significantly higher than our effective tax rate in the period immediately preceding the reduction in the valuation allowance. In such a situation, an increase in our effective tax rate would not impact the amount of cash income taxes we would pay in those periods subsequent to the release of any valuation allowance.</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records tax positions taken or expected to be taken in a tax return based upon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“Risk Factors” and Note 17 of Notes to Consolidated Financial Statements in our Form 10-K for additional information related to income taxes.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 primarily of debt and equity securities, and interests in alternative investment, debt, equity and private equity funds.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These investments are carried at either (a)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“accumulated other comprehensive income (loss), net of tax” (“AOCI”), to the extent designated as “available-for-sale” securities until such time they are realized and reclassified to earnings, or (b) if designated as “held-to-maturity” securities, amortized cost on the consolidated statements of financial condition. Any declines in the fair value of “available-for-sale” and “held-to-maturity” securities that are determined to be other than temporary are charged to earnings. The Company holds no “available-for-sale” or “held-to-maturity” securities.</w:t>
      </w:r>
    </w:p>
    <w:p>
      <w:pPr>
        <w:spacing w:after="0" w:line="12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Gains and losses on investment positions held, which arise from sales or changes in the fair value of the investments, are not predictable and can cause periodic fluctuations in net income or, if applicable, AOCI, and therefore subject Lazard to market and credit risk.</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net investments is set forth below (in millions of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1"/>
              </w:rPr>
              <w:t>September 30, 2013(a)</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 2012(a)</w:t>
            </w:r>
          </w:p>
        </w:tc>
        <w:tc>
          <w:tcPr>
            <w:tcW w:w="0" w:type="dxa"/>
            <w:vAlign w:val="bottom"/>
          </w:tcPr>
          <w:p>
            <w:pPr>
              <w:spacing w:after="0"/>
              <w:rPr>
                <w:sz w:val="1"/>
                <w:szCs w:val="1"/>
                <w:color w:val="auto"/>
              </w:rPr>
            </w:pPr>
          </w:p>
        </w:tc>
      </w:tr>
      <w:tr>
        <w:trPr>
          <w:trHeight w:val="223"/>
        </w:trPr>
        <w:tc>
          <w:tcPr>
            <w:tcW w:w="116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securities (b)</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6700" w:type="dxa"/>
            <w:vAlign w:val="bottom"/>
            <w:gridSpan w:val="2"/>
          </w:tcPr>
          <w:p>
            <w:pPr>
              <w:spacing w:after="0"/>
              <w:rPr>
                <w:sz w:val="20"/>
                <w:szCs w:val="20"/>
                <w:color w:val="auto"/>
              </w:rPr>
            </w:pPr>
            <w:r>
              <w:rPr>
                <w:rFonts w:ascii="Arial" w:cs="Arial" w:eastAsia="Arial" w:hAnsi="Arial"/>
                <w:sz w:val="18"/>
                <w:szCs w:val="18"/>
                <w:color w:val="auto"/>
                <w:w w:val="93"/>
              </w:rPr>
              <w:t>Equity securities (net of $4 and $3 of securities sold, not yet purchased, at September 30,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2013 and December 31, 2012, respectively) (c)</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51</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42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Alternative investment funds (d)</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46</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Debt funds (e)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59</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32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funds (f)</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178</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154</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Private equity funds owned (g)</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103</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101</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(h)</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Net investments</w:t>
            </w: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466</w:t>
            </w:r>
          </w:p>
        </w:tc>
        <w:tc>
          <w:tcPr>
            <w:tcW w:w="7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412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2,956</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2,987</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Net investments, as a percentage of total assets</w:t>
            </w: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160" w:type="dxa"/>
            <w:vAlign w:val="bottom"/>
            <w:tcBorders>
              <w:bottom w:val="single" w:sz="8" w:color="auto"/>
            </w:tcBorders>
          </w:tcPr>
          <w:p>
            <w:pPr>
              <w:spacing w:after="0"/>
              <w:rPr>
                <w:sz w:val="6"/>
                <w:szCs w:val="6"/>
                <w:color w:val="auto"/>
              </w:rPr>
            </w:pPr>
          </w:p>
        </w:tc>
        <w:tc>
          <w:tcPr>
            <w:tcW w:w="5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5"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investments held in connection with Lazard Fund Interests and other similar deferred compensation arrangements, with an aggregate fair value of $164 million and $101 million at September 30, 2013 and December 31, 2012, respectively. The majority of the market risk associated with such investments is equally offset by the market risk associated with the derivative liability with respect to such awards. The Company is subject to market risk associated with any portion of such investments that employees may forfeit. See “—Risk Management—</w:t>
      </w:r>
      <w:r>
        <w:rPr>
          <w:rFonts w:ascii="Arial" w:cs="Arial" w:eastAsia="Arial" w:hAnsi="Arial"/>
          <w:sz w:val="18"/>
          <w:szCs w:val="18"/>
          <w:i w:val="1"/>
          <w:iCs w:val="1"/>
          <w:color w:val="auto"/>
        </w:rPr>
        <w:t>Risks Related to Derivatives</w:t>
      </w:r>
      <w:r>
        <w:rPr>
          <w:rFonts w:ascii="Arial" w:cs="Arial" w:eastAsia="Arial" w:hAnsi="Arial"/>
          <w:sz w:val="18"/>
          <w:szCs w:val="18"/>
          <w:color w:val="auto"/>
        </w:rPr>
        <w:t>” for risk management information relating to derivatives.</w:t>
      </w:r>
    </w:p>
    <w:p>
      <w:pPr>
        <w:spacing w:after="0" w:line="61"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 and non-U.S. government debt securities.</w:t>
      </w:r>
    </w:p>
    <w:p>
      <w:pPr>
        <w:spacing w:after="0" w:line="5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Equity securities primarily consist of seed investments invested in marketable equity securities of large-, mid- and small-cap domestic, international and global companies held within separately managed accounts related to our Asset Management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2013 and December 31, 2012, investments in marketable equity securities were invested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202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85"/>
              </w:rPr>
              <w:t>September 30,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7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1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196"/>
        </w:trPr>
        <w:tc>
          <w:tcPr>
            <w:tcW w:w="748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8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7480" w:type="dxa"/>
            <w:vAlign w:val="bottom"/>
          </w:tcPr>
          <w:p>
            <w:pPr>
              <w:ind w:left="1480"/>
              <w:spacing w:after="0"/>
              <w:rPr>
                <w:sz w:val="20"/>
                <w:szCs w:val="20"/>
                <w:color w:val="auto"/>
              </w:rPr>
            </w:pPr>
            <w:r>
              <w:rPr>
                <w:rFonts w:ascii="Arial" w:cs="Arial" w:eastAsia="Arial" w:hAnsi="Arial"/>
                <w:sz w:val="18"/>
                <w:szCs w:val="18"/>
                <w:color w:val="auto"/>
              </w:rPr>
              <w:t>Consumer</w:t>
            </w:r>
          </w:p>
        </w:tc>
        <w:tc>
          <w:tcPr>
            <w:tcW w:w="2020" w:type="dxa"/>
            <w:vAlign w:val="bottom"/>
            <w:gridSpan w:val="2"/>
          </w:tcPr>
          <w:p>
            <w:pPr>
              <w:jc w:val="right"/>
              <w:ind w:right="1040"/>
              <w:spacing w:after="0"/>
              <w:rPr>
                <w:sz w:val="20"/>
                <w:szCs w:val="20"/>
                <w:color w:val="auto"/>
              </w:rPr>
            </w:pPr>
            <w:r>
              <w:rPr>
                <w:rFonts w:ascii="Arial" w:cs="Arial" w:eastAsia="Arial" w:hAnsi="Arial"/>
                <w:sz w:val="18"/>
                <w:szCs w:val="18"/>
                <w:color w:val="auto"/>
              </w:rPr>
              <w:t>32%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74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Financials</w:t>
            </w:r>
          </w:p>
        </w:tc>
        <w:tc>
          <w:tcPr>
            <w:tcW w:w="202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33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r>
      <w:tr>
        <w:trPr>
          <w:trHeight w:val="216"/>
        </w:trPr>
        <w:tc>
          <w:tcPr>
            <w:tcW w:w="7480" w:type="dxa"/>
            <w:vAlign w:val="bottom"/>
          </w:tcPr>
          <w:p>
            <w:pPr>
              <w:ind w:left="1480"/>
              <w:spacing w:after="0"/>
              <w:rPr>
                <w:sz w:val="20"/>
                <w:szCs w:val="20"/>
                <w:color w:val="auto"/>
              </w:rPr>
            </w:pPr>
            <w:r>
              <w:rPr>
                <w:rFonts w:ascii="Arial" w:cs="Arial" w:eastAsia="Arial" w:hAnsi="Arial"/>
                <w:sz w:val="18"/>
                <w:szCs w:val="18"/>
                <w:color w:val="auto"/>
              </w:rPr>
              <w:t>Energy</w:t>
            </w:r>
          </w:p>
        </w:tc>
        <w:tc>
          <w:tcPr>
            <w:tcW w:w="2020" w:type="dxa"/>
            <w:vAlign w:val="bottom"/>
            <w:gridSpan w:val="2"/>
          </w:tcPr>
          <w:p>
            <w:pPr>
              <w:jc w:val="right"/>
              <w:ind w:right="1180"/>
              <w:spacing w:after="0"/>
              <w:rPr>
                <w:sz w:val="20"/>
                <w:szCs w:val="20"/>
                <w:color w:val="auto"/>
              </w:rPr>
            </w:pPr>
            <w:r>
              <w:rPr>
                <w:rFonts w:ascii="Arial" w:cs="Arial" w:eastAsia="Arial" w:hAnsi="Arial"/>
                <w:sz w:val="18"/>
                <w:szCs w:val="18"/>
                <w:color w:val="auto"/>
              </w:rPr>
              <w:t>7</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r>
      <w:tr>
        <w:trPr>
          <w:trHeight w:val="216"/>
        </w:trPr>
        <w:tc>
          <w:tcPr>
            <w:tcW w:w="74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Industrial</w:t>
            </w:r>
          </w:p>
        </w:tc>
        <w:tc>
          <w:tcPr>
            <w:tcW w:w="202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r>
      <w:tr>
        <w:trPr>
          <w:trHeight w:val="216"/>
        </w:trPr>
        <w:tc>
          <w:tcPr>
            <w:tcW w:w="7480" w:type="dxa"/>
            <w:vAlign w:val="bottom"/>
          </w:tcPr>
          <w:p>
            <w:pPr>
              <w:ind w:left="1480"/>
              <w:spacing w:after="0"/>
              <w:rPr>
                <w:sz w:val="20"/>
                <w:szCs w:val="20"/>
                <w:color w:val="auto"/>
              </w:rPr>
            </w:pPr>
            <w:r>
              <w:rPr>
                <w:rFonts w:ascii="Arial" w:cs="Arial" w:eastAsia="Arial" w:hAnsi="Arial"/>
                <w:sz w:val="18"/>
                <w:szCs w:val="18"/>
                <w:color w:val="auto"/>
              </w:rPr>
              <w:t>Technology</w:t>
            </w:r>
          </w:p>
        </w:tc>
        <w:tc>
          <w:tcPr>
            <w:tcW w:w="2020" w:type="dxa"/>
            <w:vAlign w:val="bottom"/>
            <w:gridSpan w:val="2"/>
          </w:tcPr>
          <w:p>
            <w:pPr>
              <w:jc w:val="right"/>
              <w:ind w:right="1180"/>
              <w:spacing w:after="0"/>
              <w:rPr>
                <w:sz w:val="20"/>
                <w:szCs w:val="20"/>
                <w:color w:val="auto"/>
              </w:rPr>
            </w:pPr>
            <w:r>
              <w:rPr>
                <w:rFonts w:ascii="Arial" w:cs="Arial" w:eastAsia="Arial" w:hAnsi="Arial"/>
                <w:sz w:val="18"/>
                <w:szCs w:val="18"/>
                <w:color w:val="auto"/>
              </w:rPr>
              <w:t>10</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r>
      <w:tr>
        <w:trPr>
          <w:trHeight w:val="216"/>
        </w:trPr>
        <w:tc>
          <w:tcPr>
            <w:tcW w:w="74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1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r>
      <w:tr>
        <w:trPr>
          <w:trHeight w:val="222"/>
        </w:trPr>
        <w:tc>
          <w:tcPr>
            <w:tcW w:w="7480" w:type="dxa"/>
            <w:vAlign w:val="bottom"/>
          </w:tcPr>
          <w:p>
            <w:pPr>
              <w:ind w:left="1900"/>
              <w:spacing w:after="0"/>
              <w:rPr>
                <w:sz w:val="20"/>
                <w:szCs w:val="20"/>
                <w:color w:val="auto"/>
              </w:rPr>
            </w:pPr>
            <w:r>
              <w:rPr>
                <w:rFonts w:ascii="Arial" w:cs="Arial" w:eastAsia="Arial" w:hAnsi="Arial"/>
                <w:sz w:val="18"/>
                <w:szCs w:val="18"/>
                <w:color w:val="auto"/>
              </w:rPr>
              <w:t>Total</w:t>
            </w:r>
          </w:p>
        </w:tc>
        <w:tc>
          <w:tcPr>
            <w:tcW w:w="2020" w:type="dxa"/>
            <w:vAlign w:val="bottom"/>
            <w:gridSpan w:val="2"/>
          </w:tcPr>
          <w:p>
            <w:pPr>
              <w:jc w:val="right"/>
              <w:ind w:right="104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7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2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fair value of such interests reflects the pro-rata value of the ownership of the underlying securities in the funds. Such funds are diversified and may incorporate particular strategies; however, there are no investments in funds with a single sector strategy.</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Debt funds primarily consist of seed investments in funds related to our Asset Management business, which invest in debt securities, and amounts related to Lazard Fund Interests discussed above.</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Equity funds primarily consist of seed investments in funds related to our Asset Management business, which are invested in equity securities, and amounts relating to Lazard Fund Interests discussed above.</w:t>
      </w:r>
    </w:p>
    <w:p>
      <w:pPr>
        <w:spacing w:after="0" w:line="50" w:lineRule="exact"/>
        <w:rPr>
          <w:rFonts w:ascii="Arial" w:cs="Arial" w:eastAsia="Arial" w:hAnsi="Arial"/>
          <w:sz w:val="18"/>
          <w:szCs w:val="18"/>
          <w:color w:val="auto"/>
        </w:rPr>
      </w:pPr>
    </w:p>
    <w:p>
      <w:pPr>
        <w:ind w:left="460" w:right="20" w:hanging="452"/>
        <w:spacing w:after="0" w:line="294"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Comprised primarily of investments in private equity funds that are generally not subject to short-term market fluctuation, but may subject Lazard to market or credit risk. Private equity investments primarily include (i) a mezzanine fund, which invests in mezzanine debt of a diversified selection of small-to mid-cap European companies; (ii) a fund targeting significant noncontrolling-stake investments in established private companies; (iii) Edgewater Growth Capital Partners III, L.P. a fund primarily making growth equity and buyout investments in middle market companies and (iv) COF 2, a Lazard-managed Australian fund targeting Australasian mid-market investments.</w:t>
      </w:r>
    </w:p>
    <w:p>
      <w:pPr>
        <w:spacing w:after="0" w:line="34" w:lineRule="exact"/>
        <w:rPr>
          <w:rFonts w:ascii="Arial" w:cs="Arial" w:eastAsia="Arial" w:hAnsi="Arial"/>
          <w:sz w:val="16"/>
          <w:szCs w:val="16"/>
          <w:color w:val="auto"/>
        </w:rPr>
      </w:pPr>
    </w:p>
    <w:p>
      <w:pPr>
        <w:ind w:left="460" w:right="100" w:hanging="452"/>
        <w:spacing w:after="0" w:line="259"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investments (i) accounted for under the equity method of accounting and (ii) private equity and other interests that are consolidated but owned by noncontrolling interests, and therefore do not subject the Company to market or credit risk. The applicable noncontrolling interests are presented within “stockholders’ equity” on the consolidated statements of financial condition.</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At September 30, 2013 and December 31, 2012, $117 million and $116 million, respectively, of our total investments at a fair value of $466 million and $412 million, respectively, or 25% and 28%, respectively, were classified as Level 3 assets. Substantially all of our Level 3 investments at both dates are priced based on NAV or its equivalent. During the nine month periods ended September 30, 2013 and 2012, gains of approximately $9 million and $12 million, respectively, were recognized in “revenue-other” on the consolidated statement of operations pertaining to Level 3 investments.</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additional information regarding risks associated with our investments, see “Risk Factors—Other Business Risks—Our results of operations may be affected by fluctuations in the fair value of positions held in our investment portfolios” in our Form 10-K.</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Assets Under Management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AUM managed by LAM and LFG, which represents substantially all of the Company’s total AUM, primarily consists of debt and equity instruments whose value is readily available based on quoted prices on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recognized exchange or prices provided by external pricing services. Accordingly, significant estimates and judgments are generally not involved in the calculation of the value of our AUM.</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consolidated financial statements include the accounts of Lazard Group and entities in which it has a controlling interest. Lazard determines whether it has a controlling interest in an entity by first evaluating whether such entity is a voting interest entity or a variable interest entity (“VIE”) under U.S. GAAP.</w:t>
      </w:r>
    </w:p>
    <w:p>
      <w:pPr>
        <w:spacing w:after="0" w:line="4" w:lineRule="exact"/>
        <w:rPr>
          <w:sz w:val="20"/>
          <w:szCs w:val="20"/>
          <w:color w:val="auto"/>
        </w:rPr>
      </w:pPr>
    </w:p>
    <w:p>
      <w:pPr>
        <w:ind w:left="1480" w:hanging="446"/>
        <w:spacing w:after="0" w:line="256" w:lineRule="auto"/>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62" w:lineRule="exact"/>
        <w:rPr>
          <w:rFonts w:ascii="Arial" w:cs="Arial" w:eastAsia="Arial" w:hAnsi="Arial"/>
          <w:sz w:val="18"/>
          <w:szCs w:val="18"/>
          <w:color w:val="auto"/>
        </w:rPr>
      </w:pPr>
    </w:p>
    <w:p>
      <w:pPr>
        <w:ind w:left="1480" w:right="360" w:hanging="446"/>
        <w:spacing w:after="0" w:line="332" w:lineRule="auto"/>
        <w:tabs>
          <w:tab w:leader="none" w:pos="14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8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encounter risk in the normal course of business, and therefore, in order to help manage and monitor such risks, we have designed risk management processes which consider both the nature of our business and our operating model. We are subject to varying degrees of credit and market risk, including risks related to the level of soundness of our clients, financial, governmental and other institutions and third parties, as well as operational and liquidity risks (see “— Liquidity and Capital Resources”) and, where appropriate, we monitor these risks at both an entity level and on a consolidated basis. Management within each of Lazard’s operating locations is principally responsible for managing the risks within its respective businesses on a day-to-day basis.</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Market and credit risks related to our investing activities are discussed under “Critical Accounting Policies and Estimates—Investments” above. Risks related to Lazard’s other activities are presented below. Lazard has established procedures to assess credit and market risks, as well as specific interest rate and currency risk, and has established limits related to various positions.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maintain an allowance for doubtful accounts to provide coverage for probable losses from our receivables. We determine the adequacy of the allowance by estimating the probability of loss based on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analysis of the client’s creditworthiness and specifically provide for exposures where we determine the receivables are impaired. At September 30, 2013, total receivables amounted to $536 million, net of an allowance for doubtful accounts of $26 million. As of that date, Financial Advisory and Asset Management fees, and customer and related party receivables comprised 80%, 17% and 3% of total receivables, respectively. At December 31, 2012, total receivables amounted to $478 million, net of an allowance for doubtful accounts of $23 million. As of that date, Financial Advisory and Asset Management fees, and customer and related party receivables comprised 84%, 11% and 5% of total receivables, respectively. At September 30, 2013 and December 31, 2012, the Company had receivables past due or deemed uncollectible of approximately $36 million and $26 million, respectively. See also “Critical Accounting Policies and Estimates—Revenue Recognition” above and Note 3 of Notes to Condensed Consolidated Financial Statements for additional information regarding receivables.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LFB engages in lending activities, including commitments to extend credit. At September 30, 2013 and December 31, 2012, customer receivables included $19 million and $14 million of LFB loans, respectively. Such loans are closely monitored for counterparty creditworthiness to help minimize exposure. In addition, as of September 30, 2013, LFB’s commitments to lend, which are fully collateralized and generally contain requirements for the counterparty to maintain a minimum collateral level, were not significant.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 and, in addition, LFB has in place concentration risk limits. At September 30, 2013, excluding inter-bank counterparties, LFB had no exposure to an individual counterparty that exceeded $8 million. With respect to activities outside LFB, as of September 30, 2013 the Company’s largest individual counterparty exposure was a Financial Advisory fee receivable of $22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Lazard enters into interest rate swaps and foreign currency exchange contracts to hedge exposures to interest rates and currency exchange rates and uses equity and fixed income swap contracts to hedge a portion of its market exposure with respect to certain seed investments related to our Asset Management business. Derivative contracts are recorded at fair value. Derivative assets amounted to $0.3 million and $1 million at September 30, 2013 and December 31, 2012, respectively, and derivative liabilities, excluding the derivative liability arising from the Company’s obligation pertaining to Lazard Fund Interests and other similar deferred compensation arrangements, amounted to $3 million and $5 million at such respective dates.</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also records derivative liabilities relating to its obligations pertaining to Lazard Fund Interests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currently expected to be delivered upon settlement of Lazard Fund Interests awards. Derivative liabilities relating to Lazard Fund Interests amounted to $156 million and $98 million at September 30, 2013 and December 31, 2012, respectively.</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addition, LFB enters into interest rate swaps, forward foreign currency exchange contracts and other derivative contracts to hedge exposures to interest rate and currency fluctuations on open positions that arise primarily from client activity. Such foreign currency and interest rate positions are subject to strict internal limits and, based on account balances as of September 30, 2013, we do not believe that the impact of potential significant movements in either the currency or interest rate markets on LFB’s positions would materially affect the Company’s annual operating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Short-Term Investments and Corporate Indebtedness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significant portion of the Company’s indebtedness has fixed interest rates, while its cash and short-term investments generally have floating interest rates. Based on account balances as of September 30, 2013, Lazard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estimates that its annual operating income relating to cash and short-term investments and corporate indebtedness would increase by approximately $7 million in the event interest rates were to increase by 1% and decrease by approximately $1 million if rates were to decrease by 1%.</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2013, the Company’s cash and cash equivalents totaled approximately $688 million. Substantially all of the Company’s cash and cash equivalents were invested in highly liquid institutional money market funds (a significant majority of which were invested solely in U.S. Government or agency money market funds), in short-term interest earning accounts at a number of leading banks throughout the world and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Securities Exchange Act of 1934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Lazard’s purchases of its Class A common stock on a monthly basis during the third quarter of 2013.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Total Number</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as Part of</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Dollar Value of</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5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9"/>
              </w:rPr>
              <w:t>Total</w:t>
            </w:r>
          </w:p>
        </w:tc>
        <w:tc>
          <w:tcPr>
            <w:tcW w:w="13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Average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Publicly</w:t>
            </w:r>
          </w:p>
        </w:tc>
        <w:tc>
          <w:tcPr>
            <w:tcW w:w="88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Shares that May</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5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3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7"/>
              </w:rPr>
              <w:t>Price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88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Yet Be Purchased</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5300" w:type="dxa"/>
            <w:vAlign w:val="bottom"/>
            <w:vMerge w:val="restart"/>
          </w:tcPr>
          <w:p>
            <w:pPr>
              <w:spacing w:after="0"/>
              <w:rPr>
                <w:sz w:val="12"/>
                <w:szCs w:val="12"/>
                <w:color w:val="auto"/>
              </w:rPr>
            </w:pPr>
          </w:p>
        </w:tc>
        <w:tc>
          <w:tcPr>
            <w:tcW w:w="15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1"/>
              </w:rPr>
              <w:t>Shares</w:t>
            </w:r>
          </w:p>
        </w:tc>
        <w:tc>
          <w:tcPr>
            <w:tcW w:w="13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Paid per</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Plans or</w:t>
            </w:r>
          </w:p>
        </w:tc>
        <w:tc>
          <w:tcPr>
            <w:tcW w:w="88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Under the Plans or</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5300" w:type="dxa"/>
            <w:vAlign w:val="bottom"/>
            <w:vMerge w:val="continue"/>
          </w:tcPr>
          <w:p>
            <w:pPr>
              <w:spacing w:after="0"/>
              <w:rPr>
                <w:sz w:val="14"/>
                <w:szCs w:val="14"/>
                <w:color w:val="auto"/>
              </w:rPr>
            </w:pPr>
          </w:p>
        </w:tc>
        <w:tc>
          <w:tcPr>
            <w:tcW w:w="1540" w:type="dxa"/>
            <w:vAlign w:val="bottom"/>
            <w:gridSpan w:val="2"/>
          </w:tcPr>
          <w:p>
            <w:pPr>
              <w:jc w:val="center"/>
              <w:ind w:right="900"/>
              <w:spacing w:after="0" w:line="148" w:lineRule="exact"/>
              <w:rPr>
                <w:sz w:val="20"/>
                <w:szCs w:val="20"/>
                <w:color w:val="auto"/>
              </w:rPr>
            </w:pPr>
            <w:r>
              <w:rPr>
                <w:rFonts w:ascii="Arial" w:cs="Arial" w:eastAsia="Arial" w:hAnsi="Arial"/>
                <w:sz w:val="14"/>
                <w:szCs w:val="14"/>
                <w:b w:val="1"/>
                <w:bCs w:val="1"/>
                <w:color w:val="auto"/>
                <w:w w:val="83"/>
              </w:rPr>
              <w:t>Purchased</w:t>
            </w:r>
          </w:p>
        </w:tc>
        <w:tc>
          <w:tcPr>
            <w:tcW w:w="1380" w:type="dxa"/>
            <w:vAlign w:val="bottom"/>
            <w:gridSpan w:val="2"/>
          </w:tcPr>
          <w:p>
            <w:pPr>
              <w:jc w:val="center"/>
              <w:ind w:right="880"/>
              <w:spacing w:after="0" w:line="148" w:lineRule="exact"/>
              <w:rPr>
                <w:sz w:val="20"/>
                <w:szCs w:val="20"/>
                <w:color w:val="auto"/>
              </w:rPr>
            </w:pPr>
            <w:r>
              <w:rPr>
                <w:rFonts w:ascii="Arial" w:cs="Arial" w:eastAsia="Arial" w:hAnsi="Arial"/>
                <w:sz w:val="14"/>
                <w:szCs w:val="14"/>
                <w:b w:val="1"/>
                <w:bCs w:val="1"/>
                <w:color w:val="auto"/>
                <w:w w:val="87"/>
              </w:rPr>
              <w:t>Share</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Programs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8"/>
              <w:spacing w:after="0" w:line="148" w:lineRule="exact"/>
              <w:rPr>
                <w:sz w:val="20"/>
                <w:szCs w:val="20"/>
                <w:color w:val="auto"/>
              </w:rPr>
            </w:pPr>
            <w:r>
              <w:rPr>
                <w:rFonts w:ascii="Arial" w:cs="Arial" w:eastAsia="Arial" w:hAnsi="Arial"/>
                <w:sz w:val="14"/>
                <w:szCs w:val="14"/>
                <w:b w:val="1"/>
                <w:bCs w:val="1"/>
                <w:color w:val="auto"/>
                <w:w w:val="88"/>
              </w:rPr>
              <w:t>Programs</w:t>
            </w:r>
          </w:p>
        </w:tc>
        <w:tc>
          <w:tcPr>
            <w:tcW w:w="0" w:type="dxa"/>
            <w:vAlign w:val="bottom"/>
          </w:tcPr>
          <w:p>
            <w:pPr>
              <w:spacing w:after="0"/>
              <w:rPr>
                <w:sz w:val="1"/>
                <w:szCs w:val="1"/>
                <w:color w:val="auto"/>
              </w:rPr>
            </w:pPr>
          </w:p>
        </w:tc>
      </w:tr>
      <w:tr>
        <w:trPr>
          <w:trHeight w:val="203"/>
        </w:trPr>
        <w:tc>
          <w:tcPr>
            <w:tcW w:w="5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July 1 – July 31, 2013</w:t>
            </w:r>
          </w:p>
        </w:tc>
        <w:tc>
          <w:tcPr>
            <w:tcW w:w="6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ind w:left="220"/>
              <w:spacing w:after="0"/>
              <w:rPr>
                <w:sz w:val="20"/>
                <w:szCs w:val="20"/>
                <w:color w:val="auto"/>
              </w:rPr>
            </w:pPr>
            <w:r>
              <w:rPr>
                <w:rFonts w:ascii="Arial" w:cs="Arial" w:eastAsia="Arial" w:hAnsi="Arial"/>
                <w:sz w:val="18"/>
                <w:szCs w:val="18"/>
                <w:color w:val="auto"/>
              </w:rPr>
              <w:t>Share Repurchase Program (1)</w:t>
            </w:r>
          </w:p>
        </w:tc>
        <w:tc>
          <w:tcPr>
            <w:tcW w:w="1540" w:type="dxa"/>
            <w:vAlign w:val="bottom"/>
            <w:gridSpan w:val="2"/>
          </w:tcPr>
          <w:p>
            <w:pPr>
              <w:jc w:val="right"/>
              <w:ind w:right="900"/>
              <w:spacing w:after="0"/>
              <w:rPr>
                <w:sz w:val="20"/>
                <w:szCs w:val="20"/>
                <w:color w:val="auto"/>
              </w:rPr>
            </w:pPr>
            <w:r>
              <w:rPr>
                <w:rFonts w:ascii="Arial" w:cs="Arial" w:eastAsia="Arial" w:hAnsi="Arial"/>
                <w:sz w:val="18"/>
                <w:szCs w:val="18"/>
                <w:color w:val="auto"/>
              </w:rPr>
              <w:t>23,200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$35.86</w:t>
            </w:r>
          </w:p>
        </w:tc>
        <w:tc>
          <w:tcPr>
            <w:tcW w:w="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23,200</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102.8 million</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 Transactions (2)</w:t>
            </w: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34,033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$32.88</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August 1 – August 31, 2013</w:t>
            </w: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 Repurchase Program (1)</w:t>
            </w: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95"/>
              </w:rPr>
              <w:t>542,700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$35.53</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542,700</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83.5 million</w:t>
            </w:r>
          </w:p>
        </w:tc>
        <w:tc>
          <w:tcPr>
            <w:tcW w:w="0" w:type="dxa"/>
            <w:vAlign w:val="bottom"/>
          </w:tcPr>
          <w:p>
            <w:pPr>
              <w:spacing w:after="0"/>
              <w:rPr>
                <w:sz w:val="1"/>
                <w:szCs w:val="1"/>
                <w:color w:val="auto"/>
              </w:rPr>
            </w:pPr>
          </w:p>
        </w:tc>
      </w:tr>
      <w:tr>
        <w:trPr>
          <w:trHeight w:val="216"/>
        </w:trPr>
        <w:tc>
          <w:tcPr>
            <w:tcW w:w="5700" w:type="dxa"/>
            <w:vAlign w:val="bottom"/>
            <w:gridSpan w:val="2"/>
          </w:tcPr>
          <w:p>
            <w:pPr>
              <w:ind w:left="220"/>
              <w:spacing w:after="0"/>
              <w:rPr>
                <w:sz w:val="20"/>
                <w:szCs w:val="20"/>
                <w:color w:val="auto"/>
              </w:rPr>
            </w:pPr>
            <w:r>
              <w:rPr>
                <w:rFonts w:ascii="Arial" w:cs="Arial" w:eastAsia="Arial" w:hAnsi="Arial"/>
                <w:sz w:val="18"/>
                <w:szCs w:val="18"/>
                <w:color w:val="auto"/>
              </w:rPr>
              <w:t>Employee Transactions (2)</w:t>
            </w:r>
          </w:p>
        </w:tc>
        <w:tc>
          <w:tcPr>
            <w:tcW w:w="1540" w:type="dxa"/>
            <w:vAlign w:val="bottom"/>
            <w:gridSpan w:val="2"/>
          </w:tcPr>
          <w:p>
            <w:pPr>
              <w:jc w:val="right"/>
              <w:ind w:right="900"/>
              <w:spacing w:after="0"/>
              <w:rPr>
                <w:sz w:val="20"/>
                <w:szCs w:val="20"/>
                <w:color w:val="auto"/>
              </w:rPr>
            </w:pPr>
            <w:r>
              <w:rPr>
                <w:rFonts w:ascii="Arial" w:cs="Arial" w:eastAsia="Arial" w:hAnsi="Arial"/>
                <w:sz w:val="18"/>
                <w:szCs w:val="18"/>
                <w:color w:val="auto"/>
                <w:w w:val="95"/>
              </w:rPr>
              <w:t>124,286</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$36.14</w:t>
            </w:r>
          </w:p>
        </w:tc>
        <w:tc>
          <w:tcPr>
            <w:tcW w:w="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September 1 – September 30, 2013</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ind w:left="220"/>
              <w:spacing w:after="0"/>
              <w:rPr>
                <w:sz w:val="20"/>
                <w:szCs w:val="20"/>
                <w:color w:val="auto"/>
              </w:rPr>
            </w:pPr>
            <w:r>
              <w:rPr>
                <w:rFonts w:ascii="Arial" w:cs="Arial" w:eastAsia="Arial" w:hAnsi="Arial"/>
                <w:sz w:val="18"/>
                <w:szCs w:val="18"/>
                <w:color w:val="auto"/>
              </w:rPr>
              <w:t>Share Repurchase Program (1)</w:t>
            </w:r>
          </w:p>
        </w:tc>
        <w:tc>
          <w:tcPr>
            <w:tcW w:w="1540" w:type="dxa"/>
            <w:vAlign w:val="bottom"/>
            <w:gridSpan w:val="2"/>
          </w:tcPr>
          <w:p>
            <w:pPr>
              <w:jc w:val="right"/>
              <w:ind w:right="900"/>
              <w:spacing w:after="0"/>
              <w:rPr>
                <w:sz w:val="20"/>
                <w:szCs w:val="20"/>
                <w:color w:val="auto"/>
              </w:rPr>
            </w:pPr>
            <w:r>
              <w:rPr>
                <w:rFonts w:ascii="Arial" w:cs="Arial" w:eastAsia="Arial" w:hAnsi="Arial"/>
                <w:sz w:val="18"/>
                <w:szCs w:val="18"/>
                <w:color w:val="auto"/>
                <w:w w:val="95"/>
              </w:rPr>
              <w:t>201,100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$36.66</w:t>
            </w:r>
          </w:p>
        </w:tc>
        <w:tc>
          <w:tcPr>
            <w:tcW w:w="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201,100</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1000" w:type="dxa"/>
            <w:vAlign w:val="bottom"/>
          </w:tcPr>
          <w:p>
            <w:pPr>
              <w:spacing w:after="0"/>
              <w:rPr>
                <w:sz w:val="20"/>
                <w:szCs w:val="20"/>
                <w:color w:val="auto"/>
              </w:rPr>
            </w:pPr>
            <w:r>
              <w:rPr>
                <w:rFonts w:ascii="Arial" w:cs="Arial" w:eastAsia="Arial" w:hAnsi="Arial"/>
                <w:sz w:val="18"/>
                <w:szCs w:val="18"/>
                <w:color w:val="auto"/>
              </w:rPr>
              <w:t>76.1 million</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 Transactions (2)</w:t>
            </w: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4,310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$35.42</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 Repurchase Program (1)</w:t>
            </w: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95"/>
              </w:rPr>
              <w:t>767,000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$35.84</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767,000</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76.1 million</w:t>
            </w:r>
          </w:p>
        </w:tc>
        <w:tc>
          <w:tcPr>
            <w:tcW w:w="0" w:type="dxa"/>
            <w:vAlign w:val="bottom"/>
          </w:tcPr>
          <w:p>
            <w:pPr>
              <w:spacing w:after="0"/>
              <w:rPr>
                <w:sz w:val="1"/>
                <w:szCs w:val="1"/>
                <w:color w:val="auto"/>
              </w:rPr>
            </w:pPr>
          </w:p>
        </w:tc>
      </w:tr>
      <w:tr>
        <w:trPr>
          <w:trHeight w:val="222"/>
        </w:trPr>
        <w:tc>
          <w:tcPr>
            <w:tcW w:w="5700" w:type="dxa"/>
            <w:vAlign w:val="bottom"/>
            <w:gridSpan w:val="2"/>
          </w:tcPr>
          <w:p>
            <w:pPr>
              <w:ind w:left="220"/>
              <w:spacing w:after="0"/>
              <w:rPr>
                <w:sz w:val="20"/>
                <w:szCs w:val="20"/>
                <w:color w:val="auto"/>
              </w:rPr>
            </w:pPr>
            <w:r>
              <w:rPr>
                <w:rFonts w:ascii="Arial" w:cs="Arial" w:eastAsia="Arial" w:hAnsi="Arial"/>
                <w:sz w:val="18"/>
                <w:szCs w:val="18"/>
                <w:color w:val="auto"/>
              </w:rPr>
              <w:t>Employee Transactions (2)</w:t>
            </w:r>
          </w:p>
        </w:tc>
        <w:tc>
          <w:tcPr>
            <w:tcW w:w="1540" w:type="dxa"/>
            <w:vAlign w:val="bottom"/>
            <w:gridSpan w:val="2"/>
          </w:tcPr>
          <w:p>
            <w:pPr>
              <w:jc w:val="right"/>
              <w:ind w:right="900"/>
              <w:spacing w:after="0"/>
              <w:rPr>
                <w:sz w:val="20"/>
                <w:szCs w:val="20"/>
                <w:color w:val="auto"/>
              </w:rPr>
            </w:pPr>
            <w:r>
              <w:rPr>
                <w:rFonts w:ascii="Arial" w:cs="Arial" w:eastAsia="Arial" w:hAnsi="Arial"/>
                <w:sz w:val="18"/>
                <w:szCs w:val="18"/>
                <w:color w:val="auto"/>
                <w:w w:val="95"/>
              </w:rPr>
              <w:t>162,629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$35.44</w:t>
            </w:r>
          </w:p>
        </w:tc>
        <w:tc>
          <w:tcPr>
            <w:tcW w:w="8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0" w:hanging="452"/>
        <w:spacing w:after="0" w:line="286"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As disclosed in more detail in Note 11 of Notes to Condensed Consolidated Financial Statements, in February 2011, October 2011, April 2012 and October 2012, the Board of Directors of Lazard Ltd authorized, on a cumulative basis, the repurchase of up to an additional $250 million, $125 million,</w:t>
      </w:r>
    </w:p>
    <w:p>
      <w:pPr>
        <w:ind w:left="460" w:right="420"/>
        <w:spacing w:after="0" w:line="255" w:lineRule="auto"/>
        <w:rPr>
          <w:rFonts w:ascii="Arial" w:cs="Arial" w:eastAsia="Arial" w:hAnsi="Arial"/>
          <w:sz w:val="16"/>
          <w:szCs w:val="16"/>
          <w:color w:val="auto"/>
        </w:rPr>
      </w:pPr>
      <w:r>
        <w:rPr>
          <w:rFonts w:ascii="Arial" w:cs="Arial" w:eastAsia="Arial" w:hAnsi="Arial"/>
          <w:sz w:val="18"/>
          <w:szCs w:val="18"/>
          <w:color w:val="auto"/>
        </w:rPr>
        <w:t>$125 million and $200 million, respectively, in aggregate cost of Lazard Ltd Class A common stock and Lazard Group common membership interests through December 31, 2012, December 31, 2013, December 31, 2013 and December 31, 2014, respectively. The share repurchase program is used primarily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to offset a portion of the shares to be issued under the 2005 Plan and the 2008 Plan. Purchases under the share repurchase program may be made in the open market or through privately negotiated transactions. Amounts shown in this line item include repurchases of Class A common stock (no Lazard Group common membership interests were purchased during the third quarter of 2013) and exclude the shares of Class A common stock withheld by the Company to meet the minimum statutory tax withholding requirements as described below.</w:t>
      </w:r>
    </w:p>
    <w:p>
      <w:pPr>
        <w:spacing w:after="0" w:line="32"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In October 2013, the Board of Directors of Lazard Ltd authorized the repurchase of up to an additional $100 million in aggregate cost of Class A common stock and Lazard Group common membership interests through December 31, 2015.</w:t>
      </w:r>
    </w:p>
    <w:p>
      <w:pPr>
        <w:spacing w:after="0" w:line="51" w:lineRule="exact"/>
        <w:rPr>
          <w:sz w:val="20"/>
          <w:szCs w:val="20"/>
          <w:color w:val="auto"/>
        </w:rPr>
      </w:pPr>
    </w:p>
    <w:p>
      <w:pPr>
        <w:ind w:left="460" w:right="60" w:hanging="452"/>
        <w:spacing w:after="0" w:line="298"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Under the terms of the 2005 Plan and the 2008 Plan, upon the vesting of RSUs, PRSUs and delivery of restricted Class A common stock, shares of Class A common stock may be withheld by the Company to meet the minimum statutory tax withholding requirements. During the three month period ended September 30, 2013, the Company satisfied such obligations in lieu of issuing (i) 161,913 shares of Class A common stock upon the vesting of 773,793 RSUs and (ii) 716 shares of Class A common stock upon the vesting of 1,388 shares of restricted Class A common stock.</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2.1</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Master Separation Agreement, dated as of May 10, 2005, by and among the Registrant, Lazard Group LLC, LAZ-MD Holdings LLC and</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LFCM Holdings LLC (incorporated by reference to Exhibit 2.1 to the Registrant’s Quarterly Report (File No. 001-32492) on Form 10-Q filed</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2.2</w:t>
            </w:r>
          </w:p>
        </w:tc>
        <w:tc>
          <w:tcPr>
            <w:tcW w:w="10560" w:type="dxa"/>
            <w:vAlign w:val="bottom"/>
          </w:tcPr>
          <w:p>
            <w:pPr>
              <w:ind w:left="480"/>
              <w:spacing w:after="0"/>
              <w:rPr>
                <w:sz w:val="20"/>
                <w:szCs w:val="20"/>
                <w:color w:val="auto"/>
              </w:rPr>
            </w:pPr>
            <w:r>
              <w:rPr>
                <w:rFonts w:ascii="Arial" w:cs="Arial" w:eastAsia="Arial" w:hAnsi="Arial"/>
                <w:sz w:val="18"/>
                <w:szCs w:val="18"/>
                <w:color w:val="auto"/>
              </w:rPr>
              <w:t>Amendment No. 1, dated as of November 6, 2006, to the Master Separation Agreement,</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dated as of May 10, 2005, by and among the Registrant, Lazard Group LLC and LAZ-MD Holdings LLC (incorporated by reference to Exhibit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2.2 to the Registrant’s Quarterly Report (File No. 001-32492) on Form 10-Q filed on November 7, 2006).</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Second Amendment, dated as of May 7, 2008, to the Master Separation Agreement, dated as of May 10, 2005, as amended, by and among</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Lazard Ltd, Lazard Group LLC and LAZ-MD Holdings LLC (incorporated by reference to Exhibit 2.1 to the Registrant’s Current Report on</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Form 8-K (File No. 001-32492) filed on May 9,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2.4</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Class B-1 and Class C Members Transaction Agreement (incorporated by reference to Exhibit 2.2 to the Registrant’s Registration Statement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 filed on December 17, 2004).</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and Memorandum of Association of the Registrant (incorporated by reference to Exhibit 3.1 to the Registrant’s</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in Change of Name of the Registrant (incorporated by reference to Exhibit 3.2 to the Registrant’s Registration</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Amended and Restated Bye-Laws of Lazard Ltd (incorporated by reference to Exhibit 3.3 to the Registrant’s Quarterly Report (File No. 001-</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First Amendment to Amended and Restated Bye-Laws of Lazard Ltd (incorporated by reference to Exhibit 3.4 to the Registrant’s Quarterly</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May 9,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Second Amendment to the Amended and Restated Bye-Laws of Lazard Ltd (incorporated by reference to Exhibit 3.5 to the Registrant’s</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Quarterly Report (File No. 001-32492) on Form 10-Q filed on April 30, 2010).</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Form of Specimen Certificate for Class A common stock (incorporated by reference to Exhibit 4.1 to the Registrant’s Registration Statement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S-1/A filed on April 11,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Indenture, dated as of May 10, 2005, by and between Lazard Group LLC and The Bank of New York, as Trustee (incorporated by reference to</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560" w:type="dxa"/>
            <w:vAlign w:val="bottom"/>
          </w:tcPr>
          <w:p>
            <w:pPr>
              <w:ind w:left="480"/>
              <w:spacing w:after="0"/>
              <w:rPr>
                <w:sz w:val="20"/>
                <w:szCs w:val="20"/>
                <w:color w:val="auto"/>
              </w:rPr>
            </w:pPr>
            <w:r>
              <w:rPr>
                <w:rFonts w:ascii="Arial" w:cs="Arial" w:eastAsia="Arial" w:hAnsi="Arial"/>
                <w:sz w:val="18"/>
                <w:szCs w:val="18"/>
                <w:color w:val="auto"/>
                <w:w w:val="96"/>
              </w:rPr>
              <w:t>First Supplemental Indenture, dated as of May 10, 2005, by and between Lazard Group LLC and The Bank of New York, as trustee</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(incorporated by reference to Exhibit 4.2 to Lazard Group LLC’s Registration Statement (File No. 333-126751) on Form S-4 filed on July 21,</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Fourth Supplemental Indenture, dated as of June 21, 2007, between Lazard Group LLC and The Bank of New York, as trustee (incorporated by</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560" w:type="dxa"/>
            <w:vAlign w:val="bottom"/>
          </w:tcPr>
          <w:p>
            <w:pPr>
              <w:ind w:left="480"/>
              <w:spacing w:after="0"/>
              <w:rPr>
                <w:sz w:val="20"/>
                <w:szCs w:val="20"/>
                <w:color w:val="auto"/>
              </w:rPr>
            </w:pPr>
            <w:r>
              <w:rPr>
                <w:rFonts w:ascii="Arial" w:cs="Arial" w:eastAsia="Arial" w:hAnsi="Arial"/>
                <w:sz w:val="18"/>
                <w:szCs w:val="18"/>
                <w:color w:val="auto"/>
              </w:rPr>
              <w:t>Form of Senior Notes (included in Exhibits 4.3 and 4.4).</w:t>
            </w:r>
          </w:p>
        </w:tc>
      </w:tr>
      <w:tr>
        <w:trPr>
          <w:trHeight w:val="365"/>
        </w:trPr>
        <w:tc>
          <w:tcPr>
            <w:tcW w:w="780" w:type="dxa"/>
            <w:vAlign w:val="bottom"/>
          </w:tcPr>
          <w:p>
            <w:pPr>
              <w:spacing w:after="0"/>
              <w:rPr>
                <w:sz w:val="24"/>
                <w:szCs w:val="24"/>
                <w:color w:val="auto"/>
              </w:rPr>
            </w:pPr>
          </w:p>
        </w:tc>
        <w:tc>
          <w:tcPr>
            <w:tcW w:w="10560" w:type="dxa"/>
            <w:vAlign w:val="bottom"/>
          </w:tcPr>
          <w:p>
            <w:pPr>
              <w:ind w:left="4840"/>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1340"/>
          </w:cols>
          <w:pgMar w:left="240" w:top="459" w:right="3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Amended and Restated Stockholders’ Agreement, dated as of November 6, 2006, by and among LAZ-MD Holdings LLC, the Registrant and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certain members of LAZ-MD Holdings LLC (incorporated by reference to Exhibit 10.1 to the Registrant’s Quarterly Report (File No. 001-</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32492) on Form 10-Q filed on November 7, 2006).</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00" w:type="dxa"/>
            <w:vAlign w:val="bottom"/>
          </w:tcPr>
          <w:p>
            <w:pPr>
              <w:ind w:left="420"/>
              <w:spacing w:after="0"/>
              <w:rPr>
                <w:sz w:val="20"/>
                <w:szCs w:val="20"/>
                <w:color w:val="auto"/>
              </w:rPr>
            </w:pPr>
            <w:r>
              <w:rPr>
                <w:rFonts w:ascii="Arial" w:cs="Arial" w:eastAsia="Arial" w:hAnsi="Arial"/>
                <w:sz w:val="18"/>
                <w:szCs w:val="18"/>
                <w:color w:val="auto"/>
                <w:w w:val="89"/>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LAZ-MD Holdings LLC and Lazard Ltd (incorporated by reference to Exhibit 10.2 to the Registrant’s Quarterly Report (File No. 001-32492)</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00" w:type="dxa"/>
            <w:vAlign w:val="bottom"/>
          </w:tcPr>
          <w:p>
            <w:pPr>
              <w:ind w:left="420"/>
              <w:spacing w:after="0"/>
              <w:rPr>
                <w:sz w:val="20"/>
                <w:szCs w:val="20"/>
                <w:color w:val="auto"/>
              </w:rPr>
            </w:pPr>
            <w:r>
              <w:rPr>
                <w:rFonts w:ascii="Arial" w:cs="Arial" w:eastAsia="Arial" w:hAnsi="Arial"/>
                <w:sz w:val="18"/>
                <w:szCs w:val="18"/>
                <w:color w:val="auto"/>
                <w:w w:val="89"/>
              </w:rPr>
              <w:t>Operating Agreement of Lazard Group LLC, dated as of May 10, 2005 (incorporated by reference to Exhibit 10.2 to the Registrant’s Quarterly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Amendment No. 1 to the Operating Agreement of Lazard Group LLC, dated as of December 19, 2005 (incorporated by reference to Exhibit</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3.01 to Lazard Group LLC’s Current Report on Form 8-K (File No. 333-126751) filed on December 19,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Amendment No. 2, dated as of May 9, 2008,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Current Report on Form 8-K (File No. 001-32492) filed on May 8,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Amendment No. 3, dated as of April 27, 2010,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10.6 to the Registrant’s Quarterly Report (File No. 001-32492) on Form 10-Q filed on April 30, 2010).</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tcPr>
          <w:p>
            <w:pPr>
              <w:ind w:left="420"/>
              <w:spacing w:after="0"/>
              <w:rPr>
                <w:sz w:val="20"/>
                <w:szCs w:val="20"/>
                <w:color w:val="auto"/>
              </w:rPr>
            </w:pPr>
            <w:r>
              <w:rPr>
                <w:rFonts w:ascii="Arial" w:cs="Arial" w:eastAsia="Arial" w:hAnsi="Arial"/>
                <w:sz w:val="18"/>
                <w:szCs w:val="18"/>
                <w:color w:val="auto"/>
                <w:w w:val="94"/>
              </w:rPr>
              <w:t>Tax Receivable Agreement, dated as of May 10, 2005, by and among Ltd Sub A, Ltd Sub B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Employee Benefits Agreement, dated as of May 10, 2005, by and among the Registrant, Lazard Group LLC, LAZ-MD Holdings LLC and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LFCM Holdings LLC (incorporated by reference to Exhibit 10.4 to the Registrant’s Quarterly Report (File No. 001-32492) on Form 10-Q filed</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10.5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tcPr>
          <w:p>
            <w:pPr>
              <w:ind w:left="420"/>
              <w:spacing w:after="0"/>
              <w:rPr>
                <w:sz w:val="20"/>
                <w:szCs w:val="20"/>
                <w:color w:val="auto"/>
              </w:rPr>
            </w:pPr>
            <w:r>
              <w:rPr>
                <w:rFonts w:ascii="Arial" w:cs="Arial" w:eastAsia="Arial" w:hAnsi="Arial"/>
                <w:sz w:val="18"/>
                <w:szCs w:val="18"/>
                <w:color w:val="auto"/>
                <w:w w:val="88"/>
              </w:rPr>
              <w:t>License Agreement, dated as of May 10, 2005, by and among Lazard Strategic Coordination Company LLC, Lazard Frères &amp; Co. LLC,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5"/>
              </w:rPr>
              <w:t>Frères S.A.S., Lazard &amp; Co., Holdings Limited and LFCM Holdings LLC (incorporated by reference to Exhibit 10.6 to the Registrant’s</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420"/>
              <w:spacing w:after="0"/>
              <w:rPr>
                <w:sz w:val="20"/>
                <w:szCs w:val="20"/>
                <w:color w:val="auto"/>
              </w:rPr>
            </w:pPr>
            <w:r>
              <w:rPr>
                <w:rFonts w:ascii="Arial" w:cs="Arial" w:eastAsia="Arial" w:hAnsi="Arial"/>
                <w:sz w:val="18"/>
                <w:szCs w:val="18"/>
                <w:color w:val="auto"/>
                <w:w w:val="94"/>
              </w:rPr>
              <w:t>Administrative Services Agreement, dated as of May 10, 2005, by and among LAZ-MD Holdings LLC, LFCM Holdings LLC and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Group LLC (incorporated by reference to Exhibit 10.7 to the Registrant’s Quarterly Report (File No. 001-32492) on Form 10-Q filed on June</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Business Alliance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10.8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Amendment and Consent, dated February 9, 2009, to the Business Alliance Agreement, dated as of May 10, 2005, by and between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Group LLC and LFCM Holdings LLC (incorporated by reference to Exhibit 10.12 to the Registrant’s Annual Report (File No. 001-32492) on</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Form 10-K filed on March 2, 2009).</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10.14</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reference to Exhibit 10.16 to the Registrant’s Registration Statement (File No. 333-121407) on Form S-1/A filed on February 11, 2005).</w:t>
            </w:r>
          </w:p>
        </w:tc>
      </w:tr>
      <w:tr>
        <w:trPr>
          <w:trHeight w:val="365"/>
        </w:trPr>
        <w:tc>
          <w:tcPr>
            <w:tcW w:w="840" w:type="dxa"/>
            <w:vAlign w:val="bottom"/>
          </w:tcPr>
          <w:p>
            <w:pPr>
              <w:spacing w:after="0"/>
              <w:rPr>
                <w:sz w:val="24"/>
                <w:szCs w:val="24"/>
                <w:color w:val="auto"/>
              </w:rPr>
            </w:pPr>
          </w:p>
        </w:tc>
        <w:tc>
          <w:tcPr>
            <w:tcW w:w="10500" w:type="dxa"/>
            <w:vAlign w:val="bottom"/>
          </w:tcPr>
          <w:p>
            <w:pPr>
              <w:ind w:left="478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16, 2011, by and among RCPI Landmark Properties, L.L.C. (as the successor in interest to Rockefeller Center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Properties), RCPI 30 Rock 22234849, L.L.C. and Lazard Group LLC (as the successor in interest to Lazard Frères &amp; Co. LLC), to the Lease</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dated as of January 27, 1994, by and among Rockefeller Center Properties and Lazard Frères &amp; Co. LLC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10.16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Lease with an Option to Purchase, dated as of July 11, 1990, by and between Sicomibail and Finabail and SCI du 121 Boulevard Hausmann</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(English translation) (incorporated by reference to Exhibit 10.20 to the Registrant’s Registration Statement (File No. 333-121407) on Form S-</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Burford (Stratton) Limited, Lazard &amp; Co., Limited and Lazard LLC (incorporated by reference to Exhibit 10.21 to the Registrant’s Registration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2005 Equity Incentive Plan (incorporated by reference to Exhibit 10.21 to the Registrant’s Registration Statement (File No. 333-121407)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S-1/A filed on May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Lazard Ltd’s 2008 Incentive Compensation Plan (incorporated by reference to Annex B to the Registrant’s Definitive Proxy Statement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2005 Bonus Plan (incorporated by reference to Exhibit 10.23 to the Registrant’s Registration Statement (File No. 333-121407) on Form S-1/A</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Schedule I for, Scott D. Hoffman (incorporated by reference to Exhibit 10.26 to the Registrant’s Quarterly Report (File No. 001-32492) on Form</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May 4, 2005, for Scott D. Hoffman (incorporated by reference to Exhibit 10.2 to the Registrant’s Current Report on Form 8-K (File No. 001-</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32492) filed on May 9,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23, 2011, to the Agreement Relating to Retention and Noncompetition and Other Covenants, dated as of May</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4, 2005 and amended as of May 7, 2008, for Scott D. Hoffman (incorporated by reference to Exhibit 10.25 to the Registrant’s Quarterly Report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Form of Agreement Relating to Retention and Noncompetition and Other Covenants (incorporated by reference to Exhibit 10.27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Registration Statement (File No. 333-121407) on Form S-1/A filed on April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and Alexander F. Stern (incorporated by reference to Exhibit 10.28 to the Registrant’s Annual Report (File No. 001-32492) on Form 10-K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October 4, 2004, with Alexander F. Stern (incorporated by reference to Exhibit 10.2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filed on March 23, 2010).</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and Kenneth M. Jacobs (incorporated by reference to Exhibit 10.29 to the Registrant’s Annual Report on Form 10-K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March 1,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field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and Matthieu Bucaille (incorporated by reference to Exhibit 10.31 to the Registrant’s Quarterly Report (File No. 001-32492) on Form 10-Q</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October 4, 2004, between Lazard Group LLC and Matthieu Bucaille (incorporated by reference to Exhibit 10.32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Acknowledgement Letter, dated as of November 6, 2006 from Lazard Group LLC to certain managing directors of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7"/>
              </w:rPr>
              <w:t>modifying the terms of the retention agreements of persons party to the Amended and Restated Stockholders’ Agreement, dated as of November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6, 2006 (incorporated by reference to Exhibit 10.23 to the Registrant’s Quarterly Report (File No. 001-32492) on Form 10-Q filed on November</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7,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reference to Exhibit 10.27 to the Registrant’s Registration Statement (File No. 333-121407) on Form S-1/A 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Group LLC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IXIS Corporate and Investment Bank (incorporated by reference to Exhibit 10.30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Description of Non-Executive Director Compensation (incorporated by reference to Exhibit 10.33 to the Registrant’s Quarterly Report (File No.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Form of Award Letter for Annual Grant of Deferred Stock Units to Non-Executive Directors (incorporated by reference to Exhibit 99.1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10.1 to the Registrant’s Current Report on Form 8-K (File No. 001-32492) filed on January 26,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10.41 to the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Deferred Cash Award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10.42 to the Registrant’s Annual Report (File No. 001-32492) on Form 10-K filed on March 2, 2009).</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81</w:t>
            </w: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Directors’ Fee Deferral Unit Plan (incorporated by reference to Exhibit 10.39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May 11,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Plan (incorporated by reference to Exhibit 10.43 to the Registrant’s Annual Report (File No. 001-32492) on Form 10-K filed on March 1, 2007).</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Agreement and Plan of Merger, dated as of August 14, 2008, by and among Lazard Ltd, LAZ Sub I, Lazard Asset Management LLC and Lazard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Asset Management Limited (incorporated by reference to Exhibit 2.1 to the Registrant’s Current Report on Form 8-K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August 15,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Senior Revolving Credit Agreement, dated as of September 25, 2012, among Lazard Group LLC, the Banks from time to time parties thereto,</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and Citibank, N.A., as Administrative Agent (incorporated by reference to Exhibit 10.47 to the Registrant’s Quarterly Report (File No.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001-32492) on Form 10-Q filed on November 1,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10.55 to the Registrant’s Quarterly Report (File No. 001-32492) on Form 10-Q filed on April 30,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10.45*</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Form of Agreement evidencing a grant of Lazard Fund Interests under the 2008 Incentive Compensation Plan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10.55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10.46*</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and Restricted Stock to Executive Officers who are or may become eligible for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retirement under the 2008 Incentive Compensation Plan (incorporated by reference to Exhibit 10.53 to the Registrant’s Quarterly Report (File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No. 001-32492) on Form 10-Q filed on May 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Amendment, dated as of August 2,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March 15, 2005, between Lazard Group LLC and Ashish Bhutani (incorporated by reference to Exhibit 10.56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August 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10.48*</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October 24, 2012,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of March 18, 2005 and amended on March 23, 2010, among the Registrant, Lazard Group LLC and Kenneth M. Jacobs (incorporated by</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10.52 to the Registrant’s Quarterly Report (File No. 001-32492) on Form 10-Q</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November 1, 2012).</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10.49*</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March 15, 2005 and amended on August 2, 2011, among the Registrant, Lazard Group LLC and Ashish Bhutani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10.50 to the Registrant’s Quarterly Report (File No. 001-32492) on Form 10-Q filed on April 30,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10.50*</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October 4, 2004 and amended on April 1, 2011, among the Registrant, Lazard Group LLC and Matthieu Bucaille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10.51 to the Registrant’s Quarterly Report (File No. 001-32492) on Form 10-Q filed on April 30,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10.51*</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May 4, 2005 and amended on May 7, 2008 and February 23, 2011, among the Registrant, Lazard Group LLC and Scott D. Hoffman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10.52 to the Registrant’s Quarterly Report (File No. 001-32492) on Form 10-Q filed on April 30, 2013).</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82</w:t>
            </w: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10.52*</w:t>
            </w:r>
          </w:p>
        </w:tc>
        <w:tc>
          <w:tcPr>
            <w:tcW w:w="10400" w:type="dxa"/>
            <w:vAlign w:val="bottom"/>
          </w:tcPr>
          <w:p>
            <w:pPr>
              <w:ind w:left="300"/>
              <w:spacing w:after="0"/>
              <w:rPr>
                <w:sz w:val="20"/>
                <w:szCs w:val="20"/>
                <w:color w:val="auto"/>
              </w:rPr>
            </w:pPr>
            <w:r>
              <w:rPr>
                <w:rFonts w:ascii="Arial" w:cs="Arial" w:eastAsia="Arial" w:hAnsi="Arial"/>
                <w:sz w:val="18"/>
                <w:szCs w:val="18"/>
                <w:color w:val="auto"/>
                <w:w w:val="87"/>
              </w:rPr>
              <w:t>Second Amendment, dated as of March 14, 2013, to the Agreement Relating to Retention and Noncompetition and Other Covenants dated as of</w:t>
            </w:r>
          </w:p>
        </w:tc>
      </w:tr>
      <w:tr>
        <w:trPr>
          <w:trHeight w:val="216"/>
        </w:trPr>
        <w:tc>
          <w:tcPr>
            <w:tcW w:w="960" w:type="dxa"/>
            <w:vAlign w:val="bottom"/>
          </w:tcPr>
          <w:p>
            <w:pPr>
              <w:spacing w:after="0"/>
              <w:rPr>
                <w:sz w:val="18"/>
                <w:szCs w:val="18"/>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w w:val="87"/>
              </w:rPr>
              <w:t>October 4, 2004 and amended on March 23, 2010, among the Registrant, Lazard Group LLC and Alexander F. Stern (incorporated by reference</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to Exhibit 10.53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10.53*</w:t>
            </w:r>
          </w:p>
        </w:tc>
        <w:tc>
          <w:tcPr>
            <w:tcW w:w="10400" w:type="dxa"/>
            <w:vAlign w:val="bottom"/>
          </w:tcPr>
          <w:p>
            <w:pPr>
              <w:ind w:left="300"/>
              <w:spacing w:after="0"/>
              <w:rPr>
                <w:sz w:val="20"/>
                <w:szCs w:val="20"/>
                <w:color w:val="auto"/>
              </w:rPr>
            </w:pPr>
            <w:r>
              <w:rPr>
                <w:rFonts w:ascii="Arial" w:cs="Arial" w:eastAsia="Arial" w:hAnsi="Arial"/>
                <w:sz w:val="18"/>
                <w:szCs w:val="18"/>
                <w:color w:val="auto"/>
                <w:w w:val="92"/>
              </w:rPr>
              <w:t>Form of Agreement evidencing a grant of Performance-Based Stock Units under the 2008 Incentive Compensation Plan (incorporated by</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reference to Exhibit 10.54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10.54*</w:t>
            </w:r>
          </w:p>
        </w:tc>
        <w:tc>
          <w:tcPr>
            <w:tcW w:w="1040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grant of Lazard Fund Interests to Named Executive Officers under the 2008 Incentive Compensation Plan</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w w:val="91"/>
              </w:rPr>
              <w:t>(incorporated by reference to Exhibit 10.55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10.55*</w:t>
            </w:r>
          </w:p>
        </w:tc>
        <w:tc>
          <w:tcPr>
            <w:tcW w:w="1040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grant of Restricted Stock Units to Named Executive Officers under the 2008 Incentive Compensation Plan</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w w:val="91"/>
              </w:rPr>
              <w:t>(incorporated by reference to Exhibit 10.56 to the Registrant’s Quarterly Report (File No. 001-32492) on Form 10-Q filed on April 30, 2013).</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12.1</w:t>
            </w:r>
          </w:p>
        </w:tc>
        <w:tc>
          <w:tcPr>
            <w:tcW w:w="10400" w:type="dxa"/>
            <w:vAlign w:val="bottom"/>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31.1</w:t>
            </w:r>
          </w:p>
        </w:tc>
        <w:tc>
          <w:tcPr>
            <w:tcW w:w="10400" w:type="dxa"/>
            <w:vAlign w:val="bottom"/>
          </w:tcPr>
          <w:p>
            <w:pPr>
              <w:ind w:left="30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31.2</w:t>
            </w:r>
          </w:p>
        </w:tc>
        <w:tc>
          <w:tcPr>
            <w:tcW w:w="10400" w:type="dxa"/>
            <w:vAlign w:val="bottom"/>
          </w:tcPr>
          <w:p>
            <w:pPr>
              <w:ind w:left="30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32.1</w:t>
            </w:r>
          </w:p>
        </w:tc>
        <w:tc>
          <w:tcPr>
            <w:tcW w:w="10400" w:type="dxa"/>
            <w:vAlign w:val="bottom"/>
          </w:tcPr>
          <w:p>
            <w:pPr>
              <w:ind w:left="30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32.2</w:t>
            </w:r>
          </w:p>
        </w:tc>
        <w:tc>
          <w:tcPr>
            <w:tcW w:w="10400" w:type="dxa"/>
            <w:vAlign w:val="bottom"/>
          </w:tcPr>
          <w:p>
            <w:pPr>
              <w:ind w:left="30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Matthieu Bucaille</w:t>
            </w:r>
          </w:p>
        </w:tc>
      </w:tr>
      <w:tr>
        <w:trPr>
          <w:trHeight w:val="202"/>
        </w:trPr>
        <w:tc>
          <w:tcPr>
            <w:tcW w:w="280" w:type="dxa"/>
            <w:vAlign w:val="bottom"/>
          </w:tcPr>
          <w:p>
            <w:pPr>
              <w:spacing w:after="0"/>
              <w:rPr>
                <w:sz w:val="17"/>
                <w:szCs w:val="17"/>
                <w:color w:val="auto"/>
              </w:rPr>
            </w:pPr>
          </w:p>
        </w:tc>
        <w:tc>
          <w:tcPr>
            <w:tcW w:w="4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Matthieu Bucaille</w:t>
            </w:r>
          </w:p>
        </w:tc>
      </w:tr>
      <w:tr>
        <w:trPr>
          <w:trHeight w:val="222"/>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color w:val="auto"/>
              </w:rPr>
              <w:t>Title: Chief Financial Officer</w:t>
            </w:r>
          </w:p>
        </w:tc>
      </w:tr>
      <w:tr>
        <w:trPr>
          <w:trHeight w:val="43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Dominick Ragone</w:t>
            </w:r>
          </w:p>
        </w:tc>
      </w:tr>
      <w:tr>
        <w:trPr>
          <w:trHeight w:val="202"/>
        </w:trPr>
        <w:tc>
          <w:tcPr>
            <w:tcW w:w="280" w:type="dxa"/>
            <w:vAlign w:val="bottom"/>
          </w:tcPr>
          <w:p>
            <w:pPr>
              <w:spacing w:after="0"/>
              <w:rPr>
                <w:sz w:val="17"/>
                <w:szCs w:val="17"/>
                <w:color w:val="auto"/>
              </w:rPr>
            </w:pPr>
          </w:p>
        </w:tc>
        <w:tc>
          <w:tcPr>
            <w:tcW w:w="4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Dominick Ragone</w:t>
            </w:r>
          </w:p>
        </w:tc>
      </w:tr>
      <w:tr>
        <w:trPr>
          <w:trHeight w:val="222"/>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color w:val="auto"/>
              </w:rPr>
              <w:t>Title: Chief Accounting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12.1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Nine Months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4"/>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2013</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5"/>
          </w:tcPr>
          <w:p>
            <w:pPr>
              <w:ind w:left="1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143,653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123,885</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235,499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243,650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(182,234)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79,136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106,470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110,919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117,119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127,398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160,154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 fixed charges</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222,789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230,355</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346,418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360,769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(54,836)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185,294</w:t>
            </w:r>
          </w:p>
        </w:tc>
        <w:tc>
          <w:tcPr>
            <w:tcW w:w="0" w:type="dxa"/>
            <w:vAlign w:val="bottom"/>
          </w:tcPr>
          <w:p>
            <w:pPr>
              <w:spacing w:after="0"/>
              <w:rPr>
                <w:sz w:val="1"/>
                <w:szCs w:val="1"/>
                <w:color w:val="auto"/>
              </w:rPr>
            </w:pPr>
          </w:p>
        </w:tc>
      </w:tr>
      <w:tr>
        <w:trPr>
          <w:trHeight w:val="20"/>
        </w:trPr>
        <w:tc>
          <w:tcPr>
            <w:tcW w:w="368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8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60,635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81,565</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107,890</w:t>
            </w: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139,899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18,501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24,905</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19,410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19,508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20,255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79,136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106,470</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110,919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117,119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127,398</w:t>
            </w: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160,154</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68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2.82(d)</w:t>
            </w:r>
          </w:p>
        </w:tc>
        <w:tc>
          <w:tcPr>
            <w:tcW w:w="100" w:type="dxa"/>
            <w:vAlign w:val="bottom"/>
          </w:tcPr>
          <w:p>
            <w:pPr>
              <w:spacing w:after="0"/>
              <w:rPr>
                <w:sz w:val="24"/>
                <w:szCs w:val="2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2.16(e)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3.08(f)</w:t>
            </w:r>
          </w:p>
        </w:tc>
        <w:tc>
          <w:tcPr>
            <w:tcW w:w="10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–(g)</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1.16(h)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7"/>
              </w:rPr>
              <w:t>Deficiency in the coverage of operating income</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before fixed charges to total fixed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charges</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182,234</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Operating income for the nine month period ended September 30, 2013 is presented after giving effect to a charge of $64,703 associated with the cost saving initiatives announced by the Company in October 2012. Excluding the impact of such charge, the ratio of earnings to fixed charges would have been 3.63.</w:t>
      </w:r>
    </w:p>
    <w:p>
      <w:pPr>
        <w:spacing w:after="0" w:line="59" w:lineRule="exact"/>
        <w:rPr>
          <w:rFonts w:ascii="Arial" w:cs="Arial" w:eastAsia="Arial" w:hAnsi="Arial"/>
          <w:sz w:val="18"/>
          <w:szCs w:val="18"/>
          <w:color w:val="auto"/>
        </w:rPr>
      </w:pPr>
    </w:p>
    <w:p>
      <w:pPr>
        <w:ind w:left="460" w:right="160" w:hanging="452"/>
        <w:spacing w:after="0" w:line="323" w:lineRule="auto"/>
        <w:tabs>
          <w:tab w:leader="none" w:pos="4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items, the ratio of earnings to fixed charges would have been 3.36.</w:t>
      </w:r>
    </w:p>
    <w:p>
      <w:pPr>
        <w:spacing w:after="0" w:line="16" w:lineRule="exact"/>
        <w:rPr>
          <w:rFonts w:ascii="Arial" w:cs="Arial" w:eastAsia="Arial" w:hAnsi="Arial"/>
          <w:sz w:val="15"/>
          <w:szCs w:val="15"/>
          <w:color w:val="auto"/>
        </w:rPr>
      </w:pPr>
    </w:p>
    <w:p>
      <w:pPr>
        <w:jc w:val="both"/>
        <w:ind w:left="460" w:right="220" w:hanging="452"/>
        <w:spacing w:after="0" w:line="306"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2010 is presented after giving effect to (i) a restructuring charge of $87,108, (ii) a charge of $24,860 relating to the amendment of Lazard’s retirement policy with respect to RSU awards and (iii) benefits pursuant to the tax receivable agreement of $8,834 relating to the aforementioned items. Excluding the impact of such items, the ratio of earnings to fixed charges would have been 3.96.</w:t>
      </w:r>
    </w:p>
    <w:p>
      <w:pPr>
        <w:sectPr>
          <w:pgSz w:w="11900" w:h="16838" w:orient="portrait"/>
          <w:cols w:equalWidth="0" w:num="1">
            <w:col w:w="11420"/>
          </w:cols>
          <w:pgMar w:left="240" w:top="125" w:right="239" w:bottom="1440" w:gutter="0" w:footer="0" w:header="0"/>
        </w:sectPr>
      </w:pPr>
    </w:p>
    <w:bookmarkStart w:id="87" w:name="page88"/>
    <w:bookmarkEnd w:id="87"/>
    <w:p>
      <w:pPr>
        <w:ind w:left="452" w:hanging="452"/>
        <w:spacing w:after="0" w:line="298" w:lineRule="auto"/>
        <w:tabs>
          <w:tab w:leader="none" w:pos="452" w:val="left"/>
        </w:tabs>
        <w:numPr>
          <w:ilvl w:val="0"/>
          <w:numId w:val="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Operating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Excluding the impact of such items, the ratio of earnings to fixed charges would have been 1.21.</w:t>
      </w:r>
    </w:p>
    <w:p>
      <w:pPr>
        <w:spacing w:after="0" w:line="31" w:lineRule="exact"/>
        <w:rPr>
          <w:rFonts w:ascii="Arial" w:cs="Arial" w:eastAsia="Arial" w:hAnsi="Arial"/>
          <w:sz w:val="16"/>
          <w:szCs w:val="16"/>
          <w:color w:val="auto"/>
        </w:rPr>
      </w:pPr>
    </w:p>
    <w:p>
      <w:pPr>
        <w:ind w:left="452" w:hanging="452"/>
        <w:spacing w:after="0" w:line="268" w:lineRule="auto"/>
        <w:tabs>
          <w:tab w:leader="none" w:pos="4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2008 is presented after giving effect to a charge of $199,550 relating to the LAM Merger. Excluding the impact of such charge, the ratio of earnings to fixed charges would have been 2.40.</w:t>
      </w:r>
    </w:p>
    <w:p>
      <w:pPr>
        <w:sectPr>
          <w:pgSz w:w="11900" w:h="16838" w:orient="portrait"/>
          <w:cols w:equalWidth="0" w:num="1">
            <w:col w:w="11392"/>
          </w:cols>
          <w:pgMar w:left="248" w:top="280" w:right="25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2013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2013</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2013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2013</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October 29, 2013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September 30, 2013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October 29, 2013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September 30, 2013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1."/>
      <w:numFmt w:val="decimal"/>
      <w:start w:val="2"/>
    </w:lvl>
  </w:abstractNum>
  <w:abstractNum w:abstractNumId="7">
    <w:nsid w:val="7724C67E"/>
    <w:multiLevelType w:val="hybridMultilevel"/>
    <w:lvl w:ilvl="0">
      <w:lvlJc w:val="left"/>
      <w:lvlText w:val="%1."/>
      <w:numFmt w:val="decimal"/>
      <w:start w:val="3"/>
    </w:lvl>
  </w:abstractNum>
  <w:abstractNum w:abstractNumId="8">
    <w:nsid w:val="5C482A97"/>
    <w:multiLevelType w:val="hybridMultilevel"/>
    <w:lvl w:ilvl="0">
      <w:lvlJc w:val="left"/>
      <w:lvlText w:val="%1."/>
      <w:numFmt w:val="decimal"/>
      <w:start w:val="4"/>
    </w:lvl>
  </w:abstractNum>
  <w:abstractNum w:abstractNumId="9">
    <w:nsid w:val="2463B9EA"/>
    <w:multiLevelType w:val="hybridMultilevel"/>
    <w:lvl w:ilvl="0">
      <w:lvlJc w:val="left"/>
      <w:lvlText w:val="(%1)"/>
      <w:numFmt w:val="lowerLetter"/>
      <w:start w:val="1"/>
    </w:lvl>
  </w:abstractNum>
  <w:abstractNum w:abstractNumId="10">
    <w:nsid w:val="5E884ADC"/>
    <w:multiLevelType w:val="hybridMultilevel"/>
    <w:lvl w:ilvl="0">
      <w:lvlJc w:val="left"/>
      <w:lvlText w:val="(%1)"/>
      <w:numFmt w:val="lowerRoman"/>
      <w:start w:val="3"/>
    </w:lvl>
  </w:abstractNum>
  <w:abstractNum w:abstractNumId="11">
    <w:nsid w:val="51EAD36B"/>
    <w:multiLevelType w:val="hybridMultilevel"/>
    <w:lvl w:ilvl="0">
      <w:lvlJc w:val="left"/>
      <w:lvlText w:val="%1."/>
      <w:numFmt w:val="decimal"/>
      <w:start w:val="5"/>
    </w:lvl>
  </w:abstractNum>
  <w:abstractNum w:abstractNumId="12">
    <w:nsid w:val="2D517796"/>
    <w:multiLevelType w:val="hybridMultilevel"/>
    <w:lvl w:ilvl="0">
      <w:lvlJc w:val="left"/>
      <w:lvlText w:val="(%1)"/>
      <w:numFmt w:val="lowerLetter"/>
      <w:start w:val="1"/>
    </w:lvl>
  </w:abstractNum>
  <w:abstractNum w:abstractNumId="13">
    <w:nsid w:val="580BD78F"/>
    <w:multiLevelType w:val="hybridMultilevel"/>
    <w:lvl w:ilvl="0">
      <w:lvlJc w:val="left"/>
      <w:lvlText w:val="(%1)"/>
      <w:numFmt w:val="lowerLetter"/>
      <w:start w:val="1"/>
    </w:lvl>
  </w:abstractNum>
  <w:abstractNum w:abstractNumId="14">
    <w:nsid w:val="153EA438"/>
    <w:multiLevelType w:val="hybridMultilevel"/>
    <w:lvl w:ilvl="0">
      <w:lvlJc w:val="left"/>
      <w:lvlText w:val="(%1)"/>
      <w:numFmt w:val="lowerLetter"/>
      <w:start w:val="1"/>
    </w:lvl>
  </w:abstractNum>
  <w:abstractNum w:abstractNumId="15">
    <w:nsid w:val="3855585C"/>
    <w:multiLevelType w:val="hybridMultilevel"/>
    <w:lvl w:ilvl="0">
      <w:lvlJc w:val="left"/>
      <w:lvlText w:val="%1."/>
      <w:numFmt w:val="decimal"/>
      <w:start w:val="6"/>
    </w:lvl>
  </w:abstractNum>
  <w:abstractNum w:abstractNumId="16">
    <w:nsid w:val="70A64E2A"/>
    <w:multiLevelType w:val="hybridMultilevel"/>
    <w:lvl w:ilvl="0">
      <w:lvlJc w:val="left"/>
      <w:lvlText w:val="(%1)"/>
      <w:numFmt w:val="lowerLetter"/>
      <w:start w:val="1"/>
    </w:lvl>
  </w:abstractNum>
  <w:abstractNum w:abstractNumId="17">
    <w:nsid w:val="6A2342EC"/>
    <w:multiLevelType w:val="hybridMultilevel"/>
    <w:lvl w:ilvl="0">
      <w:lvlJc w:val="left"/>
      <w:lvlText w:val="%1."/>
      <w:numFmt w:val="decimal"/>
      <w:start w:val="7"/>
    </w:lvl>
  </w:abstractNum>
  <w:abstractNum w:abstractNumId="18">
    <w:nsid w:val="2A487CB0"/>
    <w:multiLevelType w:val="hybridMultilevel"/>
    <w:lvl w:ilvl="0">
      <w:lvlJc w:val="left"/>
      <w:lvlText w:val="%1."/>
      <w:numFmt w:val="decimal"/>
      <w:start w:val="8"/>
    </w:lvl>
  </w:abstractNum>
  <w:abstractNum w:abstractNumId="19">
    <w:nsid w:val="1D4ED43B"/>
    <w:multiLevelType w:val="hybridMultilevel"/>
    <w:lvl w:ilvl="0">
      <w:lvlJc w:val="left"/>
      <w:lvlText w:val="%1"/>
      <w:numFmt w:val="decimal"/>
      <w:start w:val="1"/>
    </w:lvl>
    <w:lvl w:ilvl="1">
      <w:lvlJc w:val="left"/>
      <w:lvlText w:val="(%2)"/>
      <w:numFmt w:val="lowerLetter"/>
      <w:start w:val="1"/>
    </w:lvl>
  </w:abstractNum>
  <w:abstractNum w:abstractNumId="20">
    <w:nsid w:val="725A06FB"/>
    <w:multiLevelType w:val="hybridMultilevel"/>
    <w:lvl w:ilvl="0">
      <w:lvlJc w:val="left"/>
      <w:lvlText w:val="%1."/>
      <w:numFmt w:val="decimal"/>
      <w:start w:val="9"/>
    </w:lvl>
    <w:lvl w:ilvl="1">
      <w:lvlJc w:val="left"/>
      <w:lvlText w:val="%2"/>
      <w:numFmt w:val="lowerLetter"/>
      <w:start w:val="1"/>
    </w:lvl>
  </w:abstractNum>
  <w:abstractNum w:abstractNumId="21">
    <w:nsid w:val="2CD89A32"/>
    <w:multiLevelType w:val="hybridMultilevel"/>
    <w:lvl w:ilvl="0">
      <w:lvlJc w:val="left"/>
      <w:lvlText w:val="%1."/>
      <w:numFmt w:val="decimal"/>
      <w:start w:val="10"/>
    </w:lvl>
  </w:abstractNum>
  <w:abstractNum w:abstractNumId="22">
    <w:nsid w:val="57E4CCAF"/>
    <w:multiLevelType w:val="hybridMultilevel"/>
    <w:lvl w:ilvl="0">
      <w:lvlJc w:val="left"/>
      <w:lvlText w:val="%1."/>
      <w:numFmt w:val="decimal"/>
      <w:start w:val="11"/>
    </w:lvl>
  </w:abstractNum>
  <w:abstractNum w:abstractNumId="23">
    <w:nsid w:val="7A6D8D3C"/>
    <w:multiLevelType w:val="hybridMultilevel"/>
    <w:lvl w:ilvl="0">
      <w:lvlJc w:val="left"/>
      <w:lvlText w:val="(%1)"/>
      <w:numFmt w:val="lowerLetter"/>
      <w:start w:val="1"/>
    </w:lvl>
  </w:abstractNum>
  <w:abstractNum w:abstractNumId="24">
    <w:nsid w:val="4B588F54"/>
    <w:multiLevelType w:val="hybridMultilevel"/>
    <w:lvl w:ilvl="0">
      <w:lvlJc w:val="left"/>
      <w:lvlText w:val="%1."/>
      <w:numFmt w:val="decimal"/>
      <w:start w:val="12"/>
    </w:lvl>
  </w:abstractNum>
  <w:abstractNum w:abstractNumId="25">
    <w:nsid w:val="542289EC"/>
    <w:multiLevelType w:val="hybridMultilevel"/>
    <w:lvl w:ilvl="0">
      <w:lvlJc w:val="left"/>
      <w:lvlText w:val="(%1)"/>
      <w:numFmt w:val="lowerLetter"/>
      <w:start w:val="1"/>
    </w:lvl>
  </w:abstractNum>
  <w:abstractNum w:abstractNumId="26">
    <w:nsid w:val="6DE91B18"/>
    <w:multiLevelType w:val="hybridMultilevel"/>
    <w:lvl w:ilvl="0">
      <w:lvlJc w:val="left"/>
      <w:lvlText w:val="(%1)"/>
      <w:numFmt w:val="lowerLetter"/>
      <w:start w:val="1"/>
    </w:lvl>
  </w:abstractNum>
  <w:abstractNum w:abstractNumId="27">
    <w:nsid w:val="38437FDB"/>
    <w:multiLevelType w:val="hybridMultilevel"/>
    <w:lvl w:ilvl="0">
      <w:lvlJc w:val="left"/>
      <w:lvlText w:val="%1."/>
      <w:numFmt w:val="decimal"/>
      <w:start w:val="13"/>
    </w:lvl>
  </w:abstractNum>
  <w:abstractNum w:abstractNumId="28">
    <w:nsid w:val="7644A45C"/>
    <w:multiLevelType w:val="hybridMultilevel"/>
    <w:lvl w:ilvl="0">
      <w:lvlJc w:val="left"/>
      <w:lvlText w:val="(%1)"/>
      <w:numFmt w:val="lowerLetter"/>
      <w:start w:val="1"/>
    </w:lvl>
  </w:abstractNum>
  <w:abstractNum w:abstractNumId="29">
    <w:nsid w:val="32FFF902"/>
    <w:multiLevelType w:val="hybridMultilevel"/>
    <w:lvl w:ilvl="0">
      <w:lvlJc w:val="left"/>
      <w:lvlText w:val="%1."/>
      <w:numFmt w:val="decimal"/>
      <w:start w:val="14"/>
    </w:lvl>
  </w:abstractNum>
  <w:abstractNum w:abstractNumId="30">
    <w:nsid w:val="684A481A"/>
    <w:multiLevelType w:val="hybridMultilevel"/>
    <w:lvl w:ilvl="0">
      <w:lvlJc w:val="left"/>
      <w:lvlText w:val="%1."/>
      <w:numFmt w:val="decimal"/>
      <w:start w:val="15"/>
    </w:lvl>
  </w:abstractNum>
  <w:abstractNum w:abstractNumId="31">
    <w:nsid w:val="579478FE"/>
    <w:multiLevelType w:val="hybridMultilevel"/>
    <w:lvl w:ilvl="0">
      <w:lvlJc w:val="left"/>
      <w:lvlText w:val="%1."/>
      <w:numFmt w:val="decimal"/>
      <w:start w:val="16"/>
    </w:lvl>
  </w:abstractNum>
  <w:abstractNum w:abstractNumId="32">
    <w:nsid w:val="749ABB43"/>
    <w:multiLevelType w:val="hybridMultilevel"/>
    <w:lvl w:ilvl="0">
      <w:lvlJc w:val="left"/>
      <w:lvlText w:val="%1."/>
      <w:numFmt w:val="decimal"/>
      <w:start w:val="17"/>
    </w:lvl>
  </w:abstractNum>
  <w:abstractNum w:abstractNumId="33">
    <w:nsid w:val="3DC240FB"/>
    <w:multiLevelType w:val="hybridMultilevel"/>
    <w:lvl w:ilvl="0">
      <w:lvlJc w:val="left"/>
      <w:lvlText w:val="%1."/>
      <w:numFmt w:val="decimal"/>
      <w:start w:val="18"/>
    </w:lvl>
  </w:abstractNum>
  <w:abstractNum w:abstractNumId="34">
    <w:nsid w:val="1BA026FA"/>
    <w:multiLevelType w:val="hybridMultilevel"/>
    <w:lvl w:ilvl="0">
      <w:lvlJc w:val="left"/>
      <w:lvlText w:val="%1."/>
      <w:numFmt w:val="decimal"/>
      <w:start w:val="19"/>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1)"/>
      <w:numFmt w:val="lowerLetter"/>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1)"/>
      <w:numFmt w:val="lowerRoman"/>
      <w:start w:val="1"/>
    </w:lvl>
  </w:abstractNum>
  <w:abstractNum w:abstractNumId="42">
    <w:nsid w:val="23F9C13C"/>
    <w:multiLevelType w:val="hybridMultilevel"/>
    <w:lvl w:ilvl="0">
      <w:lvlJc w:val="left"/>
      <w:lvlText w:val="(%1)"/>
      <w:numFmt w:val="lowerRoman"/>
      <w:start w:val="3"/>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1)"/>
      <w:numFmt w:val="lowerLetter"/>
      <w:start w:val="1"/>
    </w:lvl>
  </w:abstractNum>
  <w:abstractNum w:abstractNumId="46">
    <w:nsid w:val="1CF10FD8"/>
    <w:multiLevelType w:val="hybridMultilevel"/>
    <w:lvl w:ilvl="0">
      <w:lvlJc w:val="left"/>
      <w:lvlText w:val="(%1)"/>
      <w:numFmt w:val="lowerLetter"/>
      <w:start w:val="1"/>
    </w:lvl>
  </w:abstractNum>
  <w:abstractNum w:abstractNumId="47">
    <w:nsid w:val="180115BE"/>
    <w:multiLevelType w:val="hybridMultilevel"/>
    <w:lvl w:ilvl="0">
      <w:lvlJc w:val="left"/>
      <w:lvlText w:val="(%1)"/>
      <w:numFmt w:val="lowerLetter"/>
      <w:start w:val="1"/>
    </w:lvl>
  </w:abstractNum>
  <w:abstractNum w:abstractNumId="48">
    <w:nsid w:val="235BA861"/>
    <w:multiLevelType w:val="hybridMultilevel"/>
    <w:lvl w:ilvl="0">
      <w:lvlJc w:val="left"/>
      <w:lvlText w:val="(%1)"/>
      <w:numFmt w:val="lowerLetter"/>
      <w:start w:val="1"/>
    </w:lvl>
  </w:abstractNum>
  <w:abstractNum w:abstractNumId="49">
    <w:nsid w:val="47398C89"/>
    <w:multiLevelType w:val="hybridMultilevel"/>
    <w:lvl w:ilvl="0">
      <w:lvlJc w:val="left"/>
      <w:lvlText w:val="(%1)"/>
      <w:numFmt w:val="lowerLetter"/>
      <w:start w:val="1"/>
    </w:lvl>
  </w:abstractNum>
  <w:abstractNum w:abstractNumId="50">
    <w:nsid w:val="354FE9F9"/>
    <w:multiLevelType w:val="hybridMultilevel"/>
    <w:lvl w:ilvl="0">
      <w:lvlJc w:val="left"/>
      <w:lvlText w:val="(%1)"/>
      <w:numFmt w:val="lowerLetter"/>
      <w:start w:val="1"/>
    </w:lvl>
  </w:abstractNum>
  <w:abstractNum w:abstractNumId="51">
    <w:nsid w:val="15B5AF5C"/>
    <w:multiLevelType w:val="hybridMultilevel"/>
    <w:lvl w:ilvl="0">
      <w:lvlJc w:val="left"/>
      <w:lvlText w:val="(%1)"/>
      <w:numFmt w:val="lowerLetter"/>
      <w:start w:val="1"/>
    </w:lvl>
  </w:abstractNum>
  <w:abstractNum w:abstractNumId="52">
    <w:nsid w:val="741226BB"/>
    <w:multiLevelType w:val="hybridMultilevel"/>
    <w:lvl w:ilvl="0">
      <w:lvlJc w:val="left"/>
      <w:lvlText w:val="(%1)"/>
      <w:numFmt w:val="lowerLetter"/>
      <w:start w:val="1"/>
    </w:lvl>
  </w:abstractNum>
  <w:abstractNum w:abstractNumId="53">
    <w:nsid w:val="D34B6A8"/>
    <w:multiLevelType w:val="hybridMultilevel"/>
    <w:lvl w:ilvl="0">
      <w:lvlJc w:val="left"/>
      <w:lvlText w:val="(%1)"/>
      <w:numFmt w:val="lowerLetter"/>
      <w:start w:val="2"/>
    </w:lvl>
  </w:abstractNum>
  <w:abstractNum w:abstractNumId="54">
    <w:nsid w:val="10233C99"/>
    <w:multiLevelType w:val="hybridMultilevel"/>
    <w:lvl w:ilvl="0">
      <w:lvlJc w:val="left"/>
      <w:lvlText w:val="(%1)"/>
      <w:numFmt w:val="lowerLetter"/>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1)"/>
      <w:numFmt w:val="lowerLetter"/>
      <w:start w:val="1"/>
    </w:lvl>
  </w:abstractNum>
  <w:abstractNum w:abstractNumId="59">
    <w:nsid w:val="579BE4F1"/>
    <w:multiLevelType w:val="hybridMultilevel"/>
    <w:lvl w:ilvl="0">
      <w:lvlJc w:val="left"/>
      <w:lvlText w:val="(%1)"/>
      <w:numFmt w:val="lowerLetter"/>
      <w:start w:val="4"/>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1)"/>
      <w:numFmt w:val="decimal"/>
      <w:start w:val="2"/>
    </w:lvl>
  </w:abstractNum>
  <w:abstractNum w:abstractNumId="63">
    <w:nsid w:val="25A70BF7"/>
    <w:multiLevelType w:val="hybridMultilevel"/>
    <w:lvl w:ilvl="0">
      <w:lvlJc w:val="left"/>
      <w:lvlText w:val="(%1)"/>
      <w:numFmt w:val="lowerLetter"/>
      <w:start w:val="1"/>
    </w:lvl>
    <w:lvl w:ilvl="1">
      <w:lvlJc w:val="left"/>
      <w:lvlText w:val="•"/>
      <w:numFmt w:val="bullet"/>
      <w:start w:val="1"/>
    </w:lvl>
  </w:abstractNum>
  <w:abstractNum w:abstractNumId="64">
    <w:nsid w:val="1DBABF00"/>
    <w:multiLevelType w:val="hybridMultilevel"/>
    <w:lvl w:ilvl="0">
      <w:lvlJc w:val="left"/>
      <w:lvlText w:val="(%1)"/>
      <w:numFmt w:val="lowerLetter"/>
      <w:start w:val="7"/>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2019-12-07T08:40:50Z</dcterms:created>
  <dcterms:modified xsi:type="dcterms:W3CDTF">2019-12-07T08:40:50Z</dcterms:modified>
</cp:coreProperties>
</file>