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As of April 24, 2012, there were 123,094,507 shares of the Registrant’s Class A common stock (including 3,790,857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March 31, 2012 of approximately 94.9%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0">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14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1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2012 and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2011</w:t>
              </w:r>
            </w:hyperlink>
          </w:p>
        </w:tc>
        <w:tc>
          <w:tcPr>
            <w:tcW w:w="50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periods ended</w:t>
              </w:r>
            </w:hyperlink>
          </w:p>
        </w:tc>
        <w:tc>
          <w:tcPr>
            <w:tcW w:w="50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2012 and 2011</w:t>
              </w:r>
            </w:hyperlink>
          </w:p>
        </w:tc>
        <w:tc>
          <w:tcPr>
            <w:tcW w:w="8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9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w:t>
              </w:r>
            </w:hyperlink>
          </w:p>
        </w:tc>
        <w:tc>
          <w:tcPr>
            <w:tcW w:w="41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March 31, 2012 and 2011</w:t>
              </w:r>
            </w:hyperlink>
          </w:p>
        </w:tc>
        <w:tc>
          <w:tcPr>
            <w:tcW w:w="3960" w:type="dxa"/>
            <w:vAlign w:val="bottom"/>
            <w:tcBorders>
              <w:top w:val="single" w:sz="8" w:color="0000EE"/>
            </w:tcBorders>
            <w:gridSpan w:val="3"/>
          </w:tcPr>
          <w:p>
            <w:pPr>
              <w:spacing w:after="0"/>
              <w:rPr>
                <w:sz w:val="17"/>
                <w:szCs w:val="17"/>
                <w:color w:val="auto"/>
              </w:rPr>
            </w:pPr>
          </w:p>
        </w:tc>
        <w:tc>
          <w:tcPr>
            <w:tcW w:w="50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 for the three month periods ended March 31,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380" w:type="dxa"/>
            <w:vAlign w:val="bottom"/>
            <w:tcBorders>
              <w:top w:val="single" w:sz="8" w:color="0000EE"/>
            </w:tcBorders>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6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4"/>
          </w:tcPr>
          <w:p>
            <w:pPr>
              <w:spacing w:after="0"/>
              <w:rPr>
                <w:sz w:val="24"/>
                <w:szCs w:val="24"/>
                <w:color w:val="auto"/>
              </w:rPr>
            </w:pP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765,686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$ 1,003,791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74,502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$21,172 and $19,450 at March 31, 2012 and December 31, 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436,201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522,585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378,273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378,521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$265,223 and $266,673 at March 31, 2012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2011,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190,080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$28,040 and $26,922 at March 31, 2012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395,962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2,907,998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$ 3,081,936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274,690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2,047,220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2,215,080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March 31, 2012 and December 31, 2011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1"/>
              </w:rPr>
              <w:t>Class A, par value $.01 per share (500,000,000 shares authorized; 123,094,507 and 123,009,311 shares issued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7"/>
              </w:rPr>
              <w:t>March 31, 2012 and December 31, 2011, respectively, including shares held by subsidiaries as indicated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March 31, 2012 and December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31, 2011)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(71,903)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(3,267,892 and 3,492,017 shares at March 31, 2012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2011,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(91,962)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2,907,998</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3,081,936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126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20" w:type="dxa"/>
            <w:vAlign w:val="bottom"/>
          </w:tcPr>
          <w:p>
            <w:pPr>
              <w:jc w:val="right"/>
              <w:spacing w:after="0"/>
              <w:rPr>
                <w:sz w:val="20"/>
                <w:szCs w:val="20"/>
                <w:color w:val="auto"/>
              </w:rPr>
            </w:pPr>
            <w:r>
              <w:rPr>
                <w:rFonts w:ascii="Arial" w:cs="Arial" w:eastAsia="Arial" w:hAnsi="Arial"/>
                <w:sz w:val="18"/>
                <w:szCs w:val="18"/>
                <w:color w:val="auto"/>
              </w:rPr>
              <w:t>$273,541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2,150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506,461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461,341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486,039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438,023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20" w:type="dxa"/>
            <w:vAlign w:val="bottom"/>
          </w:tcPr>
          <w:p>
            <w:pPr>
              <w:jc w:val="right"/>
              <w:spacing w:after="0"/>
              <w:rPr>
                <w:sz w:val="20"/>
                <w:szCs w:val="20"/>
                <w:color w:val="auto"/>
              </w:rPr>
            </w:pPr>
            <w:r>
              <w:rPr>
                <w:rFonts w:ascii="Arial" w:cs="Arial" w:eastAsia="Arial" w:hAnsi="Arial"/>
                <w:sz w:val="18"/>
                <w:szCs w:val="18"/>
                <w:color w:val="auto"/>
              </w:rPr>
              <w:t>338,317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269,999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28,267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9,311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448,216</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LESS—NET INCOME ATTRIBUTABLE TO NONCONTROLLING INTERESTS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$ 25,552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119,229,541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115,334,754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136,594,178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138,590,593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29,056</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w w:val="98"/>
              </w:rPr>
              <w:t>Net actuarial loss (net of tax benefit of $1,282 and $1,935 for the three months ended March 31, 2012 and 2011,</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(2,597)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 for items reclassified to earnings (net of tax expense of $297 and $255 for the three months ended</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2012 and 2011, respectively)</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17,611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80,848</w:t>
            </w:r>
          </w:p>
        </w:tc>
        <w:tc>
          <w:tcPr>
            <w:tcW w:w="0" w:type="dxa"/>
            <w:vAlign w:val="bottom"/>
          </w:tcPr>
          <w:p>
            <w:pPr>
              <w:spacing w:after="0"/>
              <w:rPr>
                <w:sz w:val="1"/>
                <w:szCs w:val="1"/>
                <w:color w:val="auto"/>
              </w:rPr>
            </w:pPr>
          </w:p>
        </w:tc>
      </w:tr>
      <w:tr>
        <w:trPr>
          <w:trHeight w:val="3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4,602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42,065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29,056</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93,937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(52,523)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(174,391)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(302,122)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(82,207)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(69,686)</w:t>
            </w: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(25,239)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(23,961)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LAZ-MD Holdings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(70,540)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(24,925)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(138,654)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(238,105)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(193,761)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1,003,791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765,686</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1,015,934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7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40" w:type="dxa"/>
            <w:vAlign w:val="bottom"/>
            <w:gridSpan w:val="2"/>
            <w:vMerge w:val="restart"/>
          </w:tcPr>
          <w:p>
            <w:pPr>
              <w:jc w:val="center"/>
              <w:ind w:left="132"/>
              <w:spacing w:after="0" w:line="141"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ind w:left="160"/>
              <w:spacing w:after="0" w:line="141"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Paid-In-</w:t>
            </w: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320" w:type="dxa"/>
            <w:vAlign w:val="bottom"/>
            <w:gridSpan w:val="3"/>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Held By Subsidiaries</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40" w:type="dxa"/>
            <w:vAlign w:val="bottom"/>
            <w:tcBorders>
              <w:bottom w:val="single" w:sz="8" w:color="auto"/>
            </w:tcBorders>
            <w:gridSpan w:val="2"/>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320" w:type="dxa"/>
            <w:vAlign w:val="bottom"/>
            <w:tcBorders>
              <w:bottom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jc w:val="right"/>
              <w:ind w:right="4"/>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8"/>
              </w:rPr>
              <w:t>$1,197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420"/>
              <w:spacing w:after="0" w:line="138" w:lineRule="exact"/>
              <w:rPr>
                <w:sz w:val="20"/>
                <w:szCs w:val="20"/>
                <w:color w:val="auto"/>
              </w:rPr>
            </w:pPr>
            <w:r>
              <w:rPr>
                <w:rFonts w:ascii="Arial" w:cs="Arial" w:eastAsia="Arial" w:hAnsi="Arial"/>
                <w:sz w:val="14"/>
                <w:szCs w:val="14"/>
                <w:color w:val="auto"/>
                <w:w w:val="89"/>
              </w:rPr>
              <w:t>Other comprehensive income (loss)-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640"/>
              <w:spacing w:after="0" w:line="159" w:lineRule="exact"/>
              <w:rPr>
                <w:sz w:val="20"/>
                <w:szCs w:val="20"/>
                <w:color w:val="auto"/>
              </w:rPr>
            </w:pPr>
            <w:r>
              <w:rPr>
                <w:rFonts w:ascii="Arial" w:cs="Arial" w:eastAsia="Arial" w:hAnsi="Arial"/>
                <w:sz w:val="14"/>
                <w:szCs w:val="14"/>
                <w:color w:val="auto"/>
              </w:rPr>
              <w:t>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22,297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22,297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23,738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860"/>
              <w:spacing w:after="0" w:line="138" w:lineRule="exact"/>
              <w:rPr>
                <w:sz w:val="20"/>
                <w:szCs w:val="20"/>
                <w:color w:val="auto"/>
              </w:rPr>
            </w:pPr>
            <w:r>
              <w:rPr>
                <w:rFonts w:ascii="Arial" w:cs="Arial" w:eastAsia="Arial" w:hAnsi="Arial"/>
                <w:sz w:val="14"/>
                <w:szCs w:val="14"/>
                <w:color w:val="auto"/>
                <w:w w:val="92"/>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106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28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(3,464)</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Adjustments for</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color w:val="auto"/>
              </w:rPr>
              <w:t>items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150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515</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74,603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6,245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80,848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Business acquisitions and related equity</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420"/>
              <w:spacing w:after="0" w:line="138" w:lineRule="exact"/>
              <w:rPr>
                <w:sz w:val="20"/>
                <w:szCs w:val="20"/>
                <w:color w:val="auto"/>
              </w:rPr>
            </w:pPr>
            <w:r>
              <w:rPr>
                <w:rFonts w:ascii="Arial" w:cs="Arial" w:eastAsia="Arial" w:hAnsi="Arial"/>
                <w:sz w:val="14"/>
                <w:szCs w:val="14"/>
                <w:color w:val="auto"/>
              </w:rPr>
              <w:t>Class A common stock</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640"/>
              <w:spacing w:after="0" w:line="149" w:lineRule="exact"/>
              <w:rPr>
                <w:sz w:val="20"/>
                <w:szCs w:val="20"/>
                <w:color w:val="auto"/>
              </w:rPr>
            </w:pPr>
            <w:r>
              <w:rPr>
                <w:rFonts w:ascii="Arial" w:cs="Arial" w:eastAsia="Arial" w:hAnsi="Arial"/>
                <w:sz w:val="14"/>
                <w:szCs w:val="14"/>
                <w:color w:val="auto"/>
              </w:rPr>
              <w:t>issued/issuable (including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640"/>
              <w:spacing w:after="0" w:line="159" w:lineRule="exact"/>
              <w:rPr>
                <w:sz w:val="20"/>
                <w:szCs w:val="20"/>
                <w:color w:val="auto"/>
              </w:rPr>
            </w:pPr>
            <w:r>
              <w:rPr>
                <w:rFonts w:ascii="Arial" w:cs="Arial" w:eastAsia="Arial" w:hAnsi="Arial"/>
                <w:sz w:val="14"/>
                <w:szCs w:val="14"/>
                <w:color w:val="auto"/>
              </w:rPr>
              <w:t>related amortization)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2,416</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2,416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87,948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87,948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5,609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93,557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2,680</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(14,115)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766,814</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(32,689)</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connection with share-based incentive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3"/>
              </w:rPr>
              <w:t>(245,984)</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(4,889,175)</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162,968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(83,016)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(83,016)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spacing w:after="0" w:line="138" w:lineRule="exact"/>
              <w:rPr>
                <w:sz w:val="20"/>
                <w:szCs w:val="20"/>
                <w:color w:val="auto"/>
              </w:rPr>
            </w:pPr>
            <w:r>
              <w:rPr>
                <w:rFonts w:ascii="Arial" w:cs="Arial" w:eastAsia="Arial" w:hAnsi="Arial"/>
                <w:sz w:val="14"/>
                <w:szCs w:val="14"/>
                <w:color w:val="auto"/>
              </w:rPr>
              <w:t>Repurchase of common membership</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200"/>
              <w:spacing w:after="0" w:line="159" w:lineRule="exact"/>
              <w:rPr>
                <w:sz w:val="20"/>
                <w:szCs w:val="20"/>
                <w:color w:val="auto"/>
              </w:rPr>
            </w:pPr>
            <w:r>
              <w:rPr>
                <w:rFonts w:ascii="Arial" w:cs="Arial" w:eastAsia="Arial" w:hAnsi="Arial"/>
                <w:sz w:val="14"/>
                <w:szCs w:val="14"/>
                <w:color w:val="auto"/>
              </w:rPr>
              <w:t>interests from LAZ-MD Holdings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(746)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(746)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Distributions to noncontrolling interests, net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6,946</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(6,941)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1,197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612,101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$ 204,666</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(26,567)</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2,725,147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 (97,671)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693,726</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146,735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840,461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119,697,936 shares of the Company’s Class A common stock issued at January 1, 2011 and March 31, 2011 and 1 share of the Company’s Class B common stock issued at each such date.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THREE MONTH PERIOD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92"/>
              </w:rPr>
              <w:t>Other comprehensive income (loss)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17,953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17,953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773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42,065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4,602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46,667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81,708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81,708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4,428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86,136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(19,164)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2,378,445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(70,540)</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6"/>
              </w:rPr>
              <w:t>(108,807)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(2,602,570)</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82,960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(25,847)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(25,897)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85,196</w:t>
            </w: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(23,257)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(23,257)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4,043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(3,991)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123,094,508</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638,868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$ 262,100</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(71,903)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3,267,892</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 (91,962)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738,334</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122,444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860,778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1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123,094,507 shares of the Company’s Class A common stock issued at January 1, 2012 and March 31,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March 31, 2012 and December 31, 2011, respectively. Lazard Ltd, through its control of the managing members of Lazard Group, controls Lazard Group. LAZ-MD Holdings LLC (“LAZ-MD Holdings”), an entity owned by Lazard Group’s current and former managing directors, held approximately 5.1% and 5.2% of the outstanding Lazard Group common membership interests as of March 31, 2012 and December 31, 2011, respectively. Additionally, LAZ-MD Holdings was the sole owner of the one issued and outstanding share of Lazard Ltd’s Class B common stock (the “Class B common stock”) which provided LAZ-MD Holdings with approximately 5.1% and 5.2% of the voting power but no economic rights in the Company as of such respective dates.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should be read in conjunction with the audited consolidated financial statements and notes thereto included in Lazard Ltd’s Annual Report on Form 10-K for the year ended December 31, 2011 (the “Form 10-K”). The accompanying December 31, 2011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2012 are not necessarily indicative of the results to be expected for any future interim or annual period.</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2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$21,172 and $19,450 at March 31, 2012 and December 31, 2011, respectively, for past due amounts and for specific accounts deemed uncollectible, which may include situations where a fee is in dispute. The Company recorded bad debt expense of $1,281 and $967 for the three month periods ended March 31, 2012 and 2011, respectively. In addition, the Company recorded charge-offs, foreign currency translation and other adjustments, which resulted in a net increase (decrease) to the allowance for doubtful accounts of $441 and $(487) for the three month periods ended March 31, 2012 and 2011, respectively. At March 31, 2012 and December 31, 2011, the Company had receivables deemed past due or uncollectible of $21,615 and $22,785 respectively.</w:t>
      </w:r>
    </w:p>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Equities (a)</w:t>
            </w:r>
          </w:p>
        </w:tc>
        <w:tc>
          <w:tcPr>
            <w:tcW w:w="3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170,438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Private equity</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198,686</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185,502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378,273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363,994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1"/>
              </w:rPr>
              <w:t>Securities sold, not yet purchased, at fair value (included in “other liabilities”)</w:t>
            </w: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gridSpan w:val="2"/>
            <w:vMerge w:val="continue"/>
          </w:tcPr>
          <w:p>
            <w:pPr>
              <w:spacing w:after="0"/>
              <w:rPr>
                <w:sz w:val="18"/>
                <w:szCs w:val="18"/>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1,952</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60" w:type="dxa"/>
            <w:vAlign w:val="bottom"/>
            <w:vMerge w:val="restart"/>
          </w:tcPr>
          <w:p>
            <w:pPr>
              <w:jc w:val="right"/>
              <w:ind w:right="343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$22,224, $3,619 and $5,056, respectively, at March 31, 2012 and $19,857, $2,256 and $5,212, respectively, at 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Debt securities included in the table above are categorized as “trading” securities. Debt securities primarily relate to Asset Management seed investments and U.S. government debt securities and, at December 31, 2011, non-U.S. government securities which matured during the first quarter of 2012.</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Equities primarily relate to the Company’s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Interests in alternative asset management funds represent general partner (“GP”) interests in various Lazard-managed alternative asset management funds.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income funds primarily consist of amounts seeding products of our Asset Management business.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Lazard Senior Housing Partners LP (“Senior Housing”), which targets controlling interests in companies and assets in the senior housing, extended-stay hotel and shopping center sectors, (iv) Edgewater Growth Capital Partners III, L.P. (“EGCP III”), a private equity fund primarily making equity and buyout investments in lower middle market companies and (v) Lazard Australia Corporate Opportunities Fund 2 (“COF 2”), a Lazard-managed Australian private equity fund.</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Private equity investments consolidated but not owned by Lazard relate to the economic interests that are owned by the leadership team and other investors in the Edgewater Funds (“Edgewater”) which aggregated $22,059 and $18,502 at March 31, 2012 and December 31, 2011,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 periods ended March 31, 2012 and 2011, the Company recognized gross investment gains and losses in “revenue-other” on its condensed consolidated statements of operations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36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3660" w:type="dxa"/>
            <w:vAlign w:val="bottom"/>
            <w:tcBorders>
              <w:bottom w:val="single" w:sz="8" w:color="CCEEFF"/>
            </w:tcBorders>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27,644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$6,375</w:t>
            </w:r>
          </w:p>
        </w:tc>
        <w:tc>
          <w:tcPr>
            <w:tcW w:w="100" w:type="dxa"/>
            <w:vAlign w:val="bottom"/>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6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984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$1,016</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6160" w:type="dxa"/>
            <w:vAlign w:val="bottom"/>
          </w:tcPr>
          <w:p>
            <w:pPr>
              <w:jc w:val="right"/>
              <w:ind w:right="393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2011</w:t>
            </w:r>
          </w:p>
        </w:tc>
        <w:tc>
          <w:tcPr>
            <w:tcW w:w="56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6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 on NAV or its equivalent redeemable at the measurement date or within the near term without redemption restrictions, or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294"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investments in U.S. Government and agency debt securities as well as in non-U.S. Government and other debt securities are considered Level 1 assets when their respective fair values are based on unadjusted quoted prices in active markets and are considered Level 2 assets when their fair values are primarily based on broker quotes as provided by external pricing services.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are classified as Level 2 and are primarily valued based on information provided by fund managers and, secondarily, from external pricing services to the extent managed by LAM; and Level 3 represents equities valued based on NAV and are not redeemable within the near term.</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based on information provided by external pricing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 fair values are primarily based on broker quotes as provided by external pricing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private equity investments is classified as Level 3, and is primarily based on NAV. Such investments are not redeemable within the near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6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values of interest rate swaps are based on the interest rate yield curve.</w:t>
      </w:r>
    </w:p>
    <w:p>
      <w:pPr>
        <w:spacing w:after="0" w:line="9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March 31, 2012 and December 31, 2011 into the three-level fair value hierarchy in accordance with fair value measurement disclosure requirements: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March 31, 2012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10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12"/>
              <w:spacing w:after="0"/>
              <w:rPr>
                <w:sz w:val="20"/>
                <w:szCs w:val="20"/>
                <w:color w:val="auto"/>
              </w:rPr>
            </w:pPr>
            <w:r>
              <w:rPr>
                <w:rFonts w:ascii="Arial" w:cs="Arial" w:eastAsia="Arial" w:hAnsi="Arial"/>
                <w:sz w:val="18"/>
                <w:szCs w:val="18"/>
                <w:color w:val="auto"/>
                <w:w w:val="86"/>
              </w:rPr>
              <w:t>118,154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52,057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170,438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31,946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37,851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19,141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32,951</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116,563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116,563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3200" w:type="dxa"/>
            <w:vAlign w:val="bottom"/>
            <w:gridSpan w:val="6"/>
          </w:tcPr>
          <w:p>
            <w:pPr>
              <w:jc w:val="right"/>
              <w:ind w:right="112"/>
              <w:spacing w:after="0"/>
              <w:rPr>
                <w:sz w:val="20"/>
                <w:szCs w:val="20"/>
                <w:color w:val="auto"/>
              </w:rPr>
            </w:pPr>
            <w:r>
              <w:rPr>
                <w:rFonts w:ascii="Arial" w:cs="Arial" w:eastAsia="Arial" w:hAnsi="Arial"/>
                <w:sz w:val="18"/>
                <w:szCs w:val="18"/>
                <w:color w:val="auto"/>
              </w:rPr>
              <w:t>$ 138,904</w:t>
            </w:r>
          </w:p>
        </w:tc>
        <w:tc>
          <w:tcPr>
            <w:tcW w:w="24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84"/>
              </w:rPr>
              <w:t>$ 103,849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$ 122,695</w:t>
            </w:r>
          </w:p>
        </w:tc>
        <w:tc>
          <w:tcPr>
            <w:tcW w:w="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365,448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12"/>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96,092</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12"/>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96,092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98,044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December 31, 2011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17,021</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34,132</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115,380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37,332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156,053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13,569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122,718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122,718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160,030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78,635</w:t>
            </w:r>
          </w:p>
        </w:tc>
        <w:tc>
          <w:tcPr>
            <w:tcW w:w="3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371,765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30,713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30,713</w:t>
            </w:r>
          </w:p>
        </w:tc>
        <w:tc>
          <w:tcPr>
            <w:tcW w:w="3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2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2012 and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0"/>
              </w:rPr>
              <w:t>Three Months Ended March 31,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Beginning</w:t>
            </w: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Balance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Revenue-Other (a)</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alternative asset management funds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(17,872)</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100" w:type="dxa"/>
            <w:vAlign w:val="bottom"/>
          </w:tcPr>
          <w:p>
            <w:pPr>
              <w:spacing w:after="0"/>
              <w:rPr>
                <w:sz w:val="18"/>
                <w:szCs w:val="18"/>
                <w:color w:val="auto"/>
              </w:rPr>
            </w:pPr>
          </w:p>
        </w:tc>
      </w:tr>
      <w:tr>
        <w:trPr>
          <w:trHeight w:val="27"/>
        </w:trPr>
        <w:tc>
          <w:tcPr>
            <w:tcW w:w="4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(22,265)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122,695</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5"/>
              </w:rPr>
              <w:t>Three Months Ended March 31, 2011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Realized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Balance</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Revenue-Other (a)</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12,153</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2,689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periods ended March 31, 2012 and 2011 include net unrealized gains of $6,080 and $279, respectively, pertaining to investments outstanding at the end of each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2012 and December 31, 2011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an NAV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March 31, 2012</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6"/>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37,851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115,200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219,072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w w:val="85"/>
              </w:rPr>
              <w:t>December 31, 2011</w:t>
            </w: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6"/>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185,970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2012, the current maximum unfunded commitments by the Company for capital contributions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investment funds related to (i) CP II, amounting to $2,124 for potential “follow-on investments” and/or for fund expenses through the earlier of February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or the liquidation of the fund, (ii) EGCP III, amounting to $25,673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and/or expenses (with a portion of the undrawn amount of such commitment as of that date remaining committed until October 12, 2023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“follow-on investments” and/or fund expenses) or the liquidation of the fund and (iii) COF 2, amounting to $8,086, through the earlier of November 11,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committed until November 11, 2019 in respect of “follow-on investments” and/or fund expenses) or the liquidation of the fund.</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commitment regarding EGCP III described above reflects a March 1, 2012 reduction of approximately $17,400 from the original commitment of $50,000 that an investor group agreed to acquire from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as well as gains and losses on derivative instruments accounted for as fair value hedges, are included in “interest income” and “interest expense”, respectively, or “revenue-other”, depending on the nature of the underlying item, on the consolidated statements of operations. Furthermore, with respect to derivative instruments designated as fair value hedges, the hedged item is required to be adjusted for changes in fair value of the risk being hedged, with such adjustment accounted for in the consolidated statements of operations.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the underlying investments owned, which is reported in “revenue-other” in the consolidated statements of operations.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12 of Notes to Condensed Consolidated Financial Statements) on the accompanying condensed consolidated statements of financial condition as of March 31, 2012 and December 31,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March</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1,403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and fixed income swaps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1,454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and fixed income swaps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640"/>
              <w:spacing w:after="0"/>
              <w:rPr>
                <w:sz w:val="20"/>
                <w:szCs w:val="20"/>
                <w:color w:val="auto"/>
              </w:rPr>
            </w:pPr>
            <w:r>
              <w:rPr>
                <w:rFonts w:ascii="Arial" w:cs="Arial" w:eastAsia="Arial" w:hAnsi="Arial"/>
                <w:sz w:val="18"/>
                <w:szCs w:val="18"/>
                <w:color w:val="auto"/>
              </w:rPr>
              <w:t>(see Note 12)</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90,286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96,092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jc w:val="right"/>
              <w:ind w:right="353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gains (losses) with respect to derivative instruments not designated as hedging instruments (predominantly reflected in “revenue-other”) and the Company’s derivative liabilities relating to its obligations pertaining to Lazard Fund Interests and other similar deferred compensation arrangements (reported in “compensation and benefits” expense, which equally offsets corresponding amounts reported in “revenue-other” as described above) as reflected on the accompanying condensed consolidated statements of operations for the three month periods ended March 31,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(1,922)</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(10,255)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(2,289)</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(14,944)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(8,547)</w:t>
            </w:r>
          </w:p>
        </w:tc>
      </w:tr>
      <w:tr>
        <w:trPr>
          <w:trHeight w:val="20"/>
        </w:trPr>
        <w:tc>
          <w:tcPr>
            <w:tcW w:w="9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 Edgewater’s activities are recorded in the Company’s Asset Management segment.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prior years, the Company made certain other business acquisitions. These purchases were effected through an exchange of a combination of cash, Class A common stock, and by Lazard Ltd issuing shares of non-participating convertible Series A and Series B preferred stock, which were each convertible into Class A common stock. In connection with such acquisitions, as of both March 31, 2012 and December 31, 2011, 47,474 shares of Class A common stock were issuable on a non-contingent basis. At March 31, 2012, no shares of Series A preferred stock were convertible into shares of Class A common stock on a contingent or a non-contingent basis. See Note 11 of Notes to Condensed Consolidated Financial Statements for additional information relating to preferred stock.</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components of goodwill and other intangible assets at March 31, 2012 and December 31, 2011 are presented below:</w:t>
      </w:r>
    </w:p>
    <w:p>
      <w:pPr>
        <w:spacing w:after="0" w:line="230"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March 31,</w:t>
      </w:r>
    </w:p>
    <w:p>
      <w:pPr>
        <w:jc w:val="center"/>
        <w:ind w:left="8060"/>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2011</w:t>
      </w:r>
    </w:p>
    <w:p>
      <w:pPr>
        <w:spacing w:after="0" w:line="1" w:lineRule="exact"/>
        <w:rPr>
          <w:sz w:val="20"/>
          <w:szCs w:val="20"/>
          <w:color w:val="auto"/>
        </w:rPr>
      </w:pPr>
    </w:p>
    <w:p>
      <w:pPr>
        <w:sectPr>
          <w:pgSz w:w="11900" w:h="16838" w:orient="portrait"/>
          <w:cols w:equalWidth="0" w:num="2">
            <w:col w:w="9120" w:space="280"/>
            <w:col w:w="2020"/>
          </w:cols>
          <w:pgMar w:left="240" w:top="459" w:right="239" w:bottom="1440" w:gutter="0" w:footer="0" w:header="0"/>
        </w:sect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$360,638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395,962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At March 31, 2012 and December 31, 2011, goodwill of $296,097 and $292,116, respectively, was attributable to the Company’s Financial Advisory segment and, at such respective dates,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360,638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316,101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2012</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32,624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20,918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11,706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35,324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2012 and 2011 was $1,118 and $1,474,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9"/>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3"/>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2012 (April 1 through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2012 and December 31, 2011: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88"/>
              </w:rPr>
              <w:t>Annual</w:t>
            </w: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9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Maturity</w:t>
            </w: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5/15/15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7.125%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6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6/15/17</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548,350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4/29/13</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1,076,850</w:t>
            </w:r>
          </w:p>
        </w:tc>
        <w:tc>
          <w:tcPr>
            <w:tcW w:w="500" w:type="dxa"/>
            <w:vAlign w:val="bottom"/>
            <w:gridSpan w:val="2"/>
          </w:tcPr>
          <w:p>
            <w:pPr>
              <w:ind w:left="4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 has in place a $150,000, three-year senior revolving credit facility with a group of lenders (the “Credit Facility”), which expires in April,</w:t>
      </w:r>
    </w:p>
    <w:p>
      <w:pPr>
        <w:spacing w:after="0" w:line="3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2013. Interest rates under the Credit Facility vary and are based on either a Federal Funds rate or a Eurodollar rate, in each case plus an applicable margin. As of March 31, 2012, the annual interest rate for a loan accruing interest (based on the Federal Funds overnight rate), including the applicable margin, was 1.90%. At March 31, 2012 and December 31, 2011, no amounts were outstanding under the Credit Facility.</w:t>
      </w:r>
    </w:p>
    <w:p>
      <w:pPr>
        <w:spacing w:after="0" w:line="10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Facility, as amended,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March 31, 2012, the Company was in compliance with all of these provisions. All of the Company’s senior debt obligations are unsecured.</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2012, the Company had approximately $315,000 in unused lines of credit available to it, including the Credit Facility, and unused lines of credit available to LFB of approximately $93,000 (at March 31, 2012 exchange rates) and Edgewater of $65,000. In addition, LFB has access to the Eurosystem Covered Bond Purchase Program of the Banque de France.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senior debt at March 31, 2012 and December 31, 2011 is recorded at historical amounts. At those dates, the fair value of such senior debt outstanding was approximately $1,174,000 and $1,138,000, respectively, and exceeded the aggregate carrying value by approximately $97,000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w:t>
      </w:r>
    </w:p>
    <w:p>
      <w:pPr>
        <w:spacing w:after="0" w:line="26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2012, LFB had $5,482 of such indemnifications and held $4,198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2012 aggregated $23,409.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13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March 31, 2012, LFB had no such underwriting commitments.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2012 and 2011,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14,115</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20,245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15,070</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 During the three month period ended March 31, 2012, Lazard Ltd issued 85,196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in connection with the exchange of a like number of Lazard Group common membership interests (received from members of LAZ-MD Holdings in exchange for a like number of LAZ-MD Holdings exchangeable interests). No such exchanges occurred in the three month period ended March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In February 2011 and October 2011, the Board of Directors of Lazard Ltd authorized, on a cumulative basis, the repurchase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up to $250,000 and $125,000, respectively, in aggregate cost of Class A common stock and Lazard Group common membership interests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and December 31, 2013, respectively. The Company’s prior share repurchase authorizations expired on December 31, 2009 and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2011. The Company expects that the share repurchase program, with respect to the Class A common stock, will continue to be used primarily to offset a portion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shares that have been or will be issued under the Lazard Ltd 2005 Equity Incentive Plan (the “2005 Plan”) and the Lazard Ltd 2008 Incentive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(the “2008 Plan”). Pursuant to such authorizations, purchases have been made in the open market or through privately negotiated transactions.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three month period ended March 31, 2012, the Company made purchases of 2,378,445 Class A common shares, at an aggregate cost of $70,540 (no Lazard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common membership interests were purchased during such three month period).</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2012, $141,603 of the current aggregate $375,000 share repurchase amount authorized as of such date remained available under the share repurchase program as follows – $16,603 of the $250,000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repurchase amount expiring December 31, 2012, and all of the $125,000 share repurchase amount expiring December 31, 2013. In addition, under the terms of the 2005 Plan and the 2008 Plan, upon the vesting of restricted stock units (“RSUs”), shares of Class A common stock may be withheld by the Company to cover the recipient’s estimated income tax liability (see Note 12 of Notes to Condensed Consolidated Financial Statements). On April 24, 2012, the Board of Directors of Lazard Ltd authorized the repurchase of up to an additional $125,000 in aggregate cost of Lazard Ltd Class A common stock and Lazard Group common membership interests through December 31, 2013.</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quarter of 2012, the Company had a written trading plan under Rule 10b5-1 of the Securities Exchange Act of 1934 in place, pursuant to which it effected stock repurchases through the open market.</w:t>
      </w:r>
    </w:p>
    <w:p>
      <w:pPr>
        <w:spacing w:after="0" w:line="13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preferred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B preferred stock. The Series A and Series B preferred shares are each non-participating securities that are or were each convertible into Class A common stock, and have no voting or dividend rights. As of both March 31, 2012 and December 31, 2011, 7,921 shares of Series A preferred stock were outstanding, and no shares of Series B preferred stock were outstanding at such respective dates.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March 31, 2012 and December 31, 2011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22,848</w:t>
            </w:r>
          </w:p>
        </w:tc>
        <w:tc>
          <w:tcPr>
            <w:tcW w:w="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(94,419)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(74,864)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(92,475)</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(2,961)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(71,903)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As of March 31, 2012 and December 31, 2011, LAZ-MD Holdings held approximately 5.1% and 5.2%,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three month periods ended March 31,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Ownership</w:t>
            </w:r>
          </w:p>
        </w:tc>
        <w:tc>
          <w:tcPr>
            <w:tcW w:w="5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119,697,936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7,652,625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127,350,561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Activity January 1, 2011 to March 31, 2011:</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w w:val="97"/>
              </w:rPr>
              <w:t>Repurchase of common membership interests from LAZ-MD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Holdings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(19,032)</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119,697,936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7,633,593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127,331,529</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0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123,009,311</w:t>
            </w:r>
          </w:p>
        </w:tc>
        <w:tc>
          <w:tcPr>
            <w:tcW w:w="38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94.8%</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6,756,779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2012 to March 31, 2012:</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(85,196)</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2012</w:t>
            </w: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94.9%</w:t>
            </w: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5.1%</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123,094,507</w:t>
            </w:r>
          </w:p>
        </w:tc>
        <w:tc>
          <w:tcPr>
            <w:tcW w:w="3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6,671,583</w:t>
            </w:r>
          </w:p>
        </w:tc>
        <w:tc>
          <w:tcPr>
            <w:tcW w:w="1140" w:type="dxa"/>
            <w:vAlign w:val="bottom"/>
            <w:gridSpan w:val="2"/>
            <w:vMerge w:val="continue"/>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periods ended March 31, 2012 and 2011 did not materially impact Lazard Ltd’s stockholders’ equity.</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2012 and 2011 and noncontrolling interests as of March 31, 2012 and December 31, 2011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22"/>
              <w:spacing w:after="0"/>
              <w:rPr>
                <w:sz w:val="20"/>
                <w:szCs w:val="20"/>
                <w:color w:val="auto"/>
              </w:rPr>
            </w:pPr>
            <w:r>
              <w:rPr>
                <w:rFonts w:ascii="Arial" w:cs="Arial" w:eastAsia="Arial" w:hAnsi="Arial"/>
                <w:sz w:val="14"/>
                <w:szCs w:val="14"/>
                <w:b w:val="1"/>
                <w:bCs w:val="1"/>
                <w:color w:val="auto"/>
                <w:w w:val="87"/>
              </w:rPr>
              <w:t>Net Income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9"/>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Attributable to Noncontrolling</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222"/>
              <w:spacing w:after="0"/>
              <w:rPr>
                <w:sz w:val="20"/>
                <w:szCs w:val="20"/>
                <w:color w:val="auto"/>
              </w:rPr>
            </w:pPr>
            <w:r>
              <w:rPr>
                <w:rFonts w:ascii="Arial" w:cs="Arial" w:eastAsia="Arial" w:hAnsi="Arial"/>
                <w:sz w:val="14"/>
                <w:szCs w:val="14"/>
                <w:b w:val="1"/>
                <w:bCs w:val="1"/>
                <w:color w:val="auto"/>
                <w:w w:val="85"/>
              </w:rPr>
              <w:t>Interests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7"/>
          </w:tcPr>
          <w:p>
            <w:pPr>
              <w:jc w:val="center"/>
              <w:ind w:left="240"/>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Edgewater</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51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3,504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9"/>
          </w:tcPr>
          <w:p>
            <w:pPr>
              <w:ind w:left="24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gridSpan w:val="5"/>
          </w:tcPr>
          <w:p>
            <w:pPr>
              <w:jc w:val="right"/>
              <w:ind w:right="100"/>
              <w:spacing w:after="0" w:line="129" w:lineRule="exact"/>
              <w:rPr>
                <w:sz w:val="20"/>
                <w:szCs w:val="20"/>
                <w:color w:val="auto"/>
              </w:rPr>
            </w:pPr>
            <w:r>
              <w:rPr>
                <w:rFonts w:ascii="Arial" w:cs="Arial" w:eastAsia="Arial" w:hAnsi="Arial"/>
                <w:sz w:val="14"/>
                <w:szCs w:val="14"/>
                <w:b w:val="1"/>
                <w:bCs w:val="1"/>
                <w:color w:val="auto"/>
                <w:w w:val="95"/>
              </w:rPr>
              <w:t>March 31,</w:t>
            </w: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CCEEFF"/>
            </w:tcBorders>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3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33,612</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Edgewater</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87,069</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1,763</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36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5360" w:type="dxa"/>
            <w:vAlign w:val="bottom"/>
            <w:gridSpan w:val="2"/>
          </w:tcPr>
          <w:p>
            <w:pPr>
              <w:spacing w:after="0"/>
              <w:rPr>
                <w:sz w:val="19"/>
                <w:szCs w:val="19"/>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122,444</w:t>
            </w:r>
          </w:p>
        </w:tc>
        <w:tc>
          <w:tcPr>
            <w:tcW w:w="10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160" w:type="dxa"/>
            <w:vAlign w:val="bottom"/>
            <w:vMerge w:val="restart"/>
          </w:tcPr>
          <w:p>
            <w:pPr>
              <w:jc w:val="right"/>
              <w:ind w:right="2772"/>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April, 2012</w:t>
      </w:r>
      <w:r>
        <w:rPr>
          <w:rFonts w:ascii="Arial" w:cs="Arial" w:eastAsia="Arial" w:hAnsi="Arial"/>
          <w:sz w:val="18"/>
          <w:szCs w:val="18"/>
          <w:color w:val="auto"/>
        </w:rPr>
        <w:t>—On April 24, 2012, the Board of Directors of Lazard Ltd declared a quarterly dividend of $0.20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totaling $24,619, payable on May 25, 2012, to stockholders of record on May 4, 2012.</w:t>
      </w:r>
    </w:p>
    <w:p>
      <w:pPr>
        <w:spacing w:after="0" w:line="2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generally determined based on the closing market price of Class A common stock on the day prior to the date of grant.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within the Company’s condensed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compensation:</w:t>
            </w:r>
          </w:p>
        </w:tc>
        <w:tc>
          <w:tcPr>
            <w:tcW w:w="3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RSUs</w:t>
            </w:r>
          </w:p>
        </w:tc>
        <w:tc>
          <w:tcPr>
            <w:tcW w:w="4340" w:type="dxa"/>
            <w:vAlign w:val="bottom"/>
            <w:gridSpan w:val="3"/>
          </w:tcPr>
          <w:p>
            <w:pPr>
              <w:jc w:val="right"/>
              <w:ind w:right="200"/>
              <w:spacing w:after="0"/>
              <w:rPr>
                <w:sz w:val="20"/>
                <w:szCs w:val="20"/>
                <w:color w:val="auto"/>
              </w:rPr>
            </w:pPr>
            <w:r>
              <w:rPr>
                <w:rFonts w:ascii="Arial" w:cs="Arial" w:eastAsia="Arial" w:hAnsi="Arial"/>
                <w:sz w:val="18"/>
                <w:szCs w:val="18"/>
                <w:color w:val="auto"/>
              </w:rPr>
              <w:t>$81,891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$84,858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units (“DSUs”)</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3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93,557</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RSUs, net of an estimated forfeiture rate, is amortized over the vesting periods or requisite service periods, and, for purposes of calculating diluted net income per share, RSUs are included in the diluted weighted average shares of Class A common stock outstanding using the “treasury stock” method.</w:t>
      </w:r>
    </w:p>
    <w:p>
      <w:pPr>
        <w:spacing w:after="0" w:line="8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2012 and 2011, issuances of RSUs pertaining to such dividend participation rights and respective charges to “retained earnings”, net of estimated forfeitures (with corresponding credits to “additional paid-in-capital”)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540" w:type="dxa"/>
            <w:vAlign w:val="bottom"/>
          </w:tcPr>
          <w:p>
            <w:pPr>
              <w:spacing w:after="0"/>
              <w:rPr>
                <w:sz w:val="14"/>
                <w:szCs w:val="14"/>
                <w:color w:val="auto"/>
              </w:rPr>
            </w:pPr>
          </w:p>
        </w:tc>
        <w:tc>
          <w:tcPr>
            <w:tcW w:w="120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101,597</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60,223</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  2,912</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$ 2,409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three month periods ended March 31, 2012 and 2011.</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2012 and 2011, 2,522 and 1,249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20,751,829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140,660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101,597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7,147,059</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(76,264)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(3,270,375)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34.28</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24,552,249</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143,182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22,108,635</w:t>
            </w:r>
          </w:p>
        </w:tc>
        <w:tc>
          <w:tcPr>
            <w:tcW w:w="2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35.67</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121,737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60,223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6,038,286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(122,774)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38.24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(6,678,444)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21,345,703</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37.15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122,986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connection with RSUs which vested during the three month periods ended March 31, 2012 and 2011, the Company satisfied certain employees’ tax obligations in lieu of issuing 802,810 and 1,947,471 shares of Class A common stock in the respective three month periods. Accordingly, 2,467,565 and 4,730,973 shares of Class A common stock held by Lazard Group were delivered during the three month periods ended March 31, 2012 and 2011, respectively.</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2012, unrecognized RSU compensation expense, adjusted for estimated forfeitures, was approximately $360,000, with such unrecognized compensation expense expected to be recognized over a weighted average period of approximately 1.6 years subsequent to March 31,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Vested/Converted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(119,552)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553,103</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183,422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(183,422)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Company satisfied certain employees’ tax obligations in lieu of delivering 25,661 and 25,220 shares of Class A common stock in connection with shares of restricted Class A common stock that vested during the three month periods ended March 31, 2012 and 2011, respectively. Accordingly, 93,891 and 158,202 shares of Class A common stock held by the Company were delivered during the respective three month periods.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March 31, 2012, unrecognized restricted stock expense was approximately $12,000, with such expense to be recognized over a weighted average period of approximately 2.1 years subsequent to March 31, 2012.</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previously described, 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and is adjusted for changes in fair value primarily related to the changes in the fair value of the underlying investments. Such changes in the fair value of the derivative liability are recorded to “compensation and benefits” expense within the Company’s consolidated statements of operations, the impact of which equally offsets the changes in fair value of the underlying investments owned, which is reported in “revenue-other” in the consolidated statement of operations (see Note 6 of Notes to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 ended March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Prepaid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Derivative</w:t>
            </w: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Liability</w:t>
            </w: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64,598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64,598</w:t>
            </w:r>
          </w:p>
        </w:tc>
      </w:tr>
      <w:tr>
        <w:trPr>
          <w:trHeight w:val="230"/>
        </w:trPr>
        <w:tc>
          <w:tcPr>
            <w:tcW w:w="20" w:type="dxa"/>
            <w:vAlign w:val="bottom"/>
          </w:tcPr>
          <w:p>
            <w:pPr>
              <w:spacing w:after="0"/>
              <w:rPr>
                <w:sz w:val="19"/>
                <w:szCs w:val="19"/>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(6,922)</w:t>
            </w: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fair value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Foreign currency translation and other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2.4 years subsequent to March 31, 2012.</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 periods ended March 31, 2012 and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$ 6,185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 compensation liability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$ 8,952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three month period ended March 31, 2012 of approximately $700.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agreements reached with the Trustees of certain U.K. pension plans in 2005, the Company 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on June 30, 2009, the Company and the Trustees concluded the December 31, 2007 triennial valuation of the U.K. pension plans discussed above, pursuant to which the Company agreed to annual future contributions to the plan through 2018. The agreement also required the Company to secure its obligations’ to the pension plans by placing in escrow 12.5 million British pounds (with the Company depositing such amount in escrow in July 2009), with a final redemption date of December 31, 2018. The terms of this agreement were subject to adjustment (see below) based on the results of the December 31, 2010 triennial valuation and subsequent triennial valuations.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2011, the Company and the Trustees of the U.K. pension plans referred to above commenced negotiations regarding the terms of the December 31, 2010 triennial valuations of the plans and potential future contributions to the plans. We currently anticipate that the valuations will be concluded during the second quarter of 2012. In addition, the Company and the Trustees agreed in principle on a tentative agreement that would supersede the June 2009 agreement described above and that provides pension funding terms whereby the Company: (i) made a contribution in December 2011 to the plans of 2.3 million British pounds ($3,687 at December 31, 2011 exchange rates) from the escrow account, (ii) will make contributions of 1 million British pounds during each year from 2012 through 2020 inclusive and (iii) will amend and extend the existing escrow arrangement into an account security arrangement covering 10.2 million British pounds from the existing escrow and additional contributions of 1 million British pounds into such account security arrangement during each year from 2014 through 2020, inclusive, with an agreement that assets from the account security arrangements will be released into the plans if and to the extent that the value of the plans’ assets falls short of the funding target for June 1, 2020 that has been agreed upon with the Trustees. The terms of the tentative agreement are subject to adjustment based on the results of subsequent triennial valuations. Additionally, the Company is discussing with the Trustees the extent to which the Company would contribute to the plans to cover their administrative expenses. The aggregate escrow balance at March 31, 2012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three month period ended March 31, 2012, no contribution to these U.K. pension plans was required, and no contributions were required to be made to other non-U.S. pension plans.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net benefit cost (credit) for the three month periods ended March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Post-Retirement</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Medical Plans</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7"/>
          </w:tcPr>
          <w:p>
            <w:pPr>
              <w:jc w:val="right"/>
              <w:ind w:right="640"/>
              <w:spacing w:after="0" w:line="142" w:lineRule="exact"/>
              <w:rPr>
                <w:sz w:val="20"/>
                <w:szCs w:val="20"/>
                <w:color w:val="auto"/>
              </w:rPr>
            </w:pPr>
            <w:r>
              <w:rPr>
                <w:rFonts w:ascii="Arial" w:cs="Arial" w:eastAsia="Arial" w:hAnsi="Arial"/>
                <w:sz w:val="14"/>
                <w:szCs w:val="14"/>
                <w:b w:val="1"/>
                <w:bCs w:val="1"/>
                <w:color w:val="auto"/>
                <w:w w:val="98"/>
              </w:rPr>
              <w:t>Three Months Ended March 31,</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2011</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7,067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(6,672)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(7,622)</w:t>
            </w: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recorded income tax provisions of $8,767 and $13,463 for the three month periods ended March 31, 2012 and 2011, respectively, representing effective tax rates of 23.2% and 18.3%, respectively. The difference between the U.S. federal statutory rate of 35.0% and the effective tax rates reflected above principally relates to (i) Lazard Group primarily operating as a limited liability company in the U.S., (ii) foreign source income (loss) not subject to U.S. income taxes, (iii) Lazard Group’s income from U.S. operations attributable to noncontrolling interests and (iv) U.S. state and local taxes (primarily UBT), which are incremental to the U.S. federal statutory tax rate.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Class A common stock may result, in increases in the tax basis of the tangible and/or intangible assets of Lazard Group. The tax receivable agreement dated as of May 10, 2005 with LFCM Holdings LLC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periods ended March 31, 2012 and 2011. If any provision is required pursuant to the tax receivable agreement, such amount would be fully offset by a reduction in the Company’s income tax expense.</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periods ended March 31, 2012 and 2011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years as in the basic net income per share calculation described above, plus,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as in the basic net income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of the Company’s basic and diluted net income per share and weighted average shares outstanding for the three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and 2011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(deduct) - adjustment associated with Class A common stock issuable on a non-contingent basis</w:t>
            </w:r>
          </w:p>
        </w:tc>
        <w:tc>
          <w:tcPr>
            <w:tcW w:w="300" w:type="dxa"/>
            <w:vAlign w:val="bottom"/>
          </w:tcPr>
          <w:p>
            <w:pPr>
              <w:spacing w:after="0"/>
              <w:rPr>
                <w:sz w:val="19"/>
                <w:szCs w:val="19"/>
                <w:color w:val="auto"/>
              </w:rPr>
            </w:pPr>
          </w:p>
        </w:tc>
        <w:tc>
          <w:tcPr>
            <w:tcW w:w="130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income relating to interest expense and changes in net income attributable to noncontrolling</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interests resulting from assumed Class A common stock issuances in connection with share-based incentive</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compensation, convertible debt in 2011, convertible preferred stock and exchangeable interests, net of tax</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 - diluted</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$ 26,742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118,679,859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111,681,448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on a non-contingent basis</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549,682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3,653,306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119,229,541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115,334,754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of Class A common stock issuable from share-based incentive</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convertible debt in 2011, convertible preferred stock and exchangeable interests</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17,364,637</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23,255,839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136,594,178</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138,590,593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$0.21</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16.   RELATED PARTIES</w:t>
            </w: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ind w:left="440"/>
              <w:spacing w:after="0"/>
              <w:rPr>
                <w:sz w:val="20"/>
                <w:szCs w:val="20"/>
                <w:color w:val="auto"/>
              </w:rPr>
            </w:pPr>
            <w:r>
              <w:rPr>
                <w:rFonts w:ascii="Arial" w:cs="Arial" w:eastAsia="Arial" w:hAnsi="Arial"/>
                <w:sz w:val="18"/>
                <w:szCs w:val="18"/>
                <w:color w:val="auto"/>
              </w:rPr>
              <w:t>Amounts receivable from, and payable to, related parties are set forth below:</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LFCM Holdings</w:t>
            </w:r>
          </w:p>
        </w:tc>
        <w:tc>
          <w:tcPr>
            <w:tcW w:w="1040" w:type="dxa"/>
            <w:vAlign w:val="bottom"/>
            <w:gridSpan w:val="3"/>
          </w:tcPr>
          <w:p>
            <w:pPr>
              <w:jc w:val="right"/>
              <w:ind w:right="92"/>
              <w:spacing w:after="0"/>
              <w:rPr>
                <w:sz w:val="20"/>
                <w:szCs w:val="20"/>
                <w:color w:val="auto"/>
              </w:rPr>
            </w:pPr>
            <w:r>
              <w:rPr>
                <w:rFonts w:ascii="Arial" w:cs="Arial" w:eastAsia="Arial" w:hAnsi="Arial"/>
                <w:sz w:val="18"/>
                <w:szCs w:val="18"/>
                <w:color w:val="auto"/>
              </w:rPr>
              <w:t>$ 11,393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$ 15,232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LFCM Holdings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$ 10,043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$ 10,988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2892"/>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certain of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the three month periods ended March 31, 2012 and 2011, amounts recorded by Lazard Group relating to the administrative services agreement amounted to $813 and $614, respectively, and net referral fees for underwriting, private placement, M&amp;A and restructuring transactions under the business alliance agreement amounted to $814 and $6,947,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Receivables from LFCM Holdings and its subsidiaries as of March 31, 2012 and December 31, 2011 primarily include $4,632 and $10,722, respectively, related to administrative and support services, sublease income and reimbursement of expenses incurred on behalf of LFCM Holdings, and $6,606 and $2,928, respectively, related to referral fees for underwriting and private placement transactions. Payables to LFCM Holdings and its subsidiaries at March 31, 2012 and December 31, 2011 consist of $7,253 and $2,060, respectively, principally relating to certain advances and referral fees for Financial Advisory transactions and obligations pursuant to the tax receivable agreement of $2,790 at each respective date (see Note 14 of Notes to Condensed Consolidated 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receivables and payables at March 31, 2012 and December 31, 2011 primarily relate to referral fees for restructuring and M&amp;A transactions with MBA Lazard Holdings S.A. and its subsidiaries and a related party loan.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2012 and 2011, such charges amounted to $188 for each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2012, LFNY’s regulatory net capital was $81,766, which exceeded the minimum requirement by $77,549.</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2012, the aggregate regulatory net capital of the U.K. Subsidiaries was $155,827, which exceeded the minimum requirement by $131,663.</w:t>
      </w:r>
    </w:p>
    <w:p>
      <w:pPr>
        <w:spacing w:after="0" w:line="140" w:lineRule="exact"/>
        <w:rPr>
          <w:sz w:val="20"/>
          <w:szCs w:val="20"/>
          <w:color w:val="auto"/>
        </w:rPr>
      </w:pPr>
    </w:p>
    <w:p>
      <w:pPr>
        <w:jc w:val="both"/>
        <w:ind w:right="24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2012, the consolidated regulatory net capital of CFLF was $178,345, which exceeded the minimum requirement set for regulatory capital levels by $80,612.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2012, for those subsidiaries with regulatory capital requirements, their aggregate net capital was $108,515, which exceeded the minimum required capital by an aggregate of $85,762.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2012, each of these subsidiaries individually was in compliance with its regulatory capital requirements.</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2012 and 2011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$277,196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249,897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3"/>
            <w:vMerge w:val="continue"/>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$214,527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226,853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160,501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54,026</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(5,684)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37,818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85"/>
              </w:rPr>
              <w:t>$ (43,502)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(19,482)</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3"/>
            <w:vMerge w:val="continue"/>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$486,039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438,023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448,216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37,823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86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6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Financial Advisory</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797,733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767,699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583,524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6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1,575,707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1,730,713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2,907,998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3,081,936</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60" w:type="dxa"/>
            <w:vAlign w:val="bottom"/>
            <w:vMerge w:val="restart"/>
          </w:tcPr>
          <w:p>
            <w:pPr>
              <w:jc w:val="right"/>
              <w:ind w:right="2712"/>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“first quarter” or “the period” refer to, as the context requires, the three month periods ended March 31, 2012 and March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to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9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Asset Management</w:t>
            </w:r>
          </w:p>
        </w:tc>
        <w:tc>
          <w:tcPr>
            <w:tcW w:w="1760" w:type="dxa"/>
            <w:vAlign w:val="bottom"/>
            <w:gridSpan w:val="2"/>
          </w:tcPr>
          <w:p>
            <w:pPr>
              <w:jc w:val="right"/>
              <w:ind w:right="101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7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7"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which has an opportunistic investment strategy focused on the Australian mid-market,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Overall, global equity market indices at March 31, 2012 increased when compared to such indices at December 31, 2011. For the same period, capital-raising and M&amp;A activity has generally declined. The announced and completed value of M&amp;A activity decreased in the first quarter of 2012 as compared to the corresponding period in 2011. The cyclical decline in restructuring volume continued in the first quarter of 2012, as compared to the corresponding period in 2011, despite an increase in the number of corporate defaults.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early 2012, the outlook for equity and credit markets appears healthier, interest rates remain low while corporate cash balances remain high, CEO confidence appears to be improving and, as such, companies may be better positioned to make acquisitions for future growth and investors may be increasingly interested in deploying capital for investment purposes. Uncertainty remains, however, with regard to the stability of the global financial system and a variety of other factors.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 We seek to leverage the power and scale of our firm-wide global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network to drive growth in both our Financial Advisory and Asset Management business segments. We believe that we are well positioned to benefit from opportunities that may result from regional or global increases in M&amp;A, restructuring, capital-raising or similar transactions, as well as increases in demand for investment management and advisory services. We continue to focus on the development of our business in this environment and on a wide variety of related factors, including the generation of stable revenue growth during periods of macroeconomic volatility, the prudent management of our costs and expenses and the return of cash to our shareholders.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Global and Trans-Atlantic completed and announced transactions for the first quarter of 2012 decreased as compared to the first quarter of 2011, as shown in the following table, which sets forth industry statistics regarding the number and value of such transactions in the respective periods: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4"/>
              <w:spacing w:after="0"/>
              <w:rPr>
                <w:sz w:val="20"/>
                <w:szCs w:val="20"/>
                <w:color w:val="auto"/>
              </w:rPr>
            </w:pPr>
            <w:r>
              <w:rPr>
                <w:rFonts w:ascii="Arial" w:cs="Arial" w:eastAsia="Arial" w:hAnsi="Arial"/>
                <w:sz w:val="14"/>
                <w:szCs w:val="14"/>
                <w:b w:val="1"/>
                <w:bCs w:val="1"/>
                <w:color w:val="auto"/>
                <w:w w:val="88"/>
              </w:rPr>
              <w:t>Three Months Ended</w:t>
            </w:r>
          </w:p>
        </w:tc>
        <w:tc>
          <w:tcPr>
            <w:tcW w:w="120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Incr /</w:t>
            </w:r>
          </w:p>
        </w:tc>
        <w:tc>
          <w:tcPr>
            <w:tcW w:w="0" w:type="dxa"/>
            <w:vAlign w:val="bottom"/>
          </w:tcPr>
          <w:p>
            <w:pPr>
              <w:spacing w:after="0"/>
              <w:rPr>
                <w:sz w:val="1"/>
                <w:szCs w:val="1"/>
                <w:color w:val="auto"/>
              </w:rPr>
            </w:pPr>
          </w:p>
        </w:tc>
      </w:tr>
      <w:tr>
        <w:trPr>
          <w:trHeight w:val="62"/>
        </w:trPr>
        <w:tc>
          <w:tcPr>
            <w:tcW w:w="4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2012</w:t>
            </w:r>
          </w:p>
        </w:tc>
        <w:tc>
          <w:tcPr>
            <w:tcW w:w="88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8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(Decr)</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48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Global: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16"/>
        </w:trPr>
        <w:tc>
          <w:tcPr>
            <w:tcW w:w="4320" w:type="dxa"/>
            <w:vAlign w:val="bottom"/>
          </w:tcPr>
          <w:p>
            <w:pPr>
              <w:ind w:left="880"/>
              <w:spacing w:after="0"/>
              <w:rPr>
                <w:sz w:val="20"/>
                <w:szCs w:val="20"/>
                <w:color w:val="auto"/>
              </w:rPr>
            </w:pPr>
            <w:r>
              <w:rPr>
                <w:rFonts w:ascii="Arial" w:cs="Arial" w:eastAsia="Arial" w:hAnsi="Arial"/>
                <w:sz w:val="18"/>
                <w:szCs w:val="18"/>
                <w:color w:val="auto"/>
              </w:rPr>
              <w:t>Number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6,408</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8,033</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880"/>
              <w:spacing w:after="0"/>
              <w:rPr>
                <w:sz w:val="20"/>
                <w:szCs w:val="20"/>
                <w:color w:val="auto"/>
              </w:rPr>
            </w:pPr>
            <w:r>
              <w:rPr>
                <w:rFonts w:ascii="Arial" w:cs="Arial" w:eastAsia="Arial" w:hAnsi="Arial"/>
                <w:sz w:val="18"/>
                <w:szCs w:val="18"/>
                <w:color w:val="auto"/>
              </w:rPr>
              <w:t>Value</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880"/>
              <w:spacing w:after="0"/>
              <w:rPr>
                <w:sz w:val="20"/>
                <w:szCs w:val="20"/>
                <w:color w:val="auto"/>
              </w:rPr>
            </w:pPr>
            <w:r>
              <w:rPr>
                <w:rFonts w:ascii="Arial" w:cs="Arial" w:eastAsia="Arial" w:hAnsi="Arial"/>
                <w:sz w:val="18"/>
                <w:szCs w:val="18"/>
                <w:color w:val="auto"/>
              </w:rPr>
              <w:t>Value</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615</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8,559</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10,611</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22"/>
        </w:trPr>
        <w:tc>
          <w:tcPr>
            <w:tcW w:w="4320" w:type="dxa"/>
            <w:vAlign w:val="bottom"/>
          </w:tcPr>
          <w:p>
            <w:pPr>
              <w:ind w:left="880"/>
              <w:spacing w:after="0"/>
              <w:rPr>
                <w:sz w:val="20"/>
                <w:szCs w:val="20"/>
                <w:color w:val="auto"/>
              </w:rPr>
            </w:pPr>
            <w:r>
              <w:rPr>
                <w:rFonts w:ascii="Arial" w:cs="Arial" w:eastAsia="Arial" w:hAnsi="Arial"/>
                <w:sz w:val="18"/>
                <w:szCs w:val="18"/>
                <w:color w:val="auto"/>
              </w:rPr>
              <w:t>Number</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387</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11, 2012.</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Global restructuring activity during the first quarter of 2012, as measured by the value of debt defaults, decreased from the corresponding period in 2011. However, the number of issuers defaulting increased to 20 in the first quarter of 2012, according to Moody’s Investors Service, Inc., as compared to 9 in the corresponding period of 2011. Our Restructuring activities include advising companies on matters relating to debt restructurings, refinancings and other on- and off-balance sheet assignments, and our assignments are generally executed over a six- to eighteen-month period.</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 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March 31, 2012 increased across all regions, when compared to such indices at December 31, 2011. However, the U.S. markets increased, while markets outside the U.S. decreased, when comparing market indices at March 31, 2012 to the corresponding equity market indices at March 31, 2011.</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March 31, 2012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800" w:type="dxa"/>
            <w:vAlign w:val="bottom"/>
          </w:tcPr>
          <w:p>
            <w:pPr>
              <w:spacing w:after="0"/>
              <w:rPr>
                <w:sz w:val="11"/>
                <w:szCs w:val="11"/>
                <w:color w:val="auto"/>
              </w:rPr>
            </w:pPr>
          </w:p>
        </w:tc>
        <w:tc>
          <w:tcPr>
            <w:tcW w:w="19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CAC 40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FTSE 100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NASDAQ</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1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reflect the changes in global market indices. Our AUM at March 31, 2012 increased 11% versus AUM at December 31, 2011 (primarily reflecting market appreciation), while our average AUM for the first quarter of 2012 decreased 5% as compared to our average AUM for the corresponding period of 2011. The lower levels of average AUM contributed to decreased management fee revenues in the 2012 period when compared to the corresponding period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Lazard’s Asset Management segment principally includes LAM, LFG, Edgewater and Lazard Wealth Management. Asset Management net revenue is derived from fees for investment management and advisory services provided to institutional and private clients. As noted above, the main driver of Asset Management net revenue is the level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and principal investments in equities and alternative asset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management funds, investments at LFB and “equity method” investments (including gains and losses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2012 represented (1)% of Lazard’s net revenue, total assets in the Corporate segment represented 54% of Lazard’s consolidated total assets as of March 31, 2012, which is attributable to investments in government bonds and money market funds, fixed income funds, alternative asset management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12 of Notes to Condensed Consolidated Financial Statements) including (a) share-based incentive compensation under the Lazard Ltd 2005 Equity Incentive Plan (the “2005 Plan”) and the Lazard Ltd 2008 Incentive Compensation Plan (the “2008 Plan”) and (b) Lazard Fund Interests and (iii) a provision for discretionary or guaranteed cash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62" w:lineRule="exact"/>
        <w:rPr>
          <w:sz w:val="20"/>
          <w:szCs w:val="20"/>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Noncontrolling interests primarily relate to the amount attributable to LAZ-MD Holdings’ ownership interest in the net income of Lazard Group and amounts related to Edgewater’s management vehicles that the Company is deemed to control but not own. See Note 11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76"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486,039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438,023</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8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338,317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108,781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448,216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364,577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37,823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13,463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29,056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25,552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40" w:type="dxa"/>
            <w:vAlign w:val="bottom"/>
            <w:vMerge w:val="restart"/>
          </w:tcPr>
          <w:p>
            <w:pPr>
              <w:jc w:val="right"/>
              <w:ind w:right="2932"/>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and related key ratios, which include non-U.S. GAAP measures used by the Company to manage total compensation and benefits expense.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6"/>
              </w:rPr>
              <w:t>($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$506,461</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$461,341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LFB interest expense (a)</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(506)</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(4,439)</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Changes in fair value pertaining to Lazard Fund Interests (c)</w:t>
            </w:r>
          </w:p>
        </w:tc>
        <w:tc>
          <w:tcPr>
            <w:tcW w:w="2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c>
          <w:tcPr>
            <w:tcW w:w="8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498,749</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3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deferred compensation arrangements are excluded because they are equally offset by the change in value of the derivative liability pertaining to such awards, which is recorded within compensation and benefits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500" w:type="dxa"/>
            <w:vAlign w:val="bottom"/>
            <w:gridSpan w:val="3"/>
          </w:tcPr>
          <w:p>
            <w:pPr>
              <w:jc w:val="right"/>
              <w:ind w:right="992"/>
              <w:spacing w:after="0"/>
              <w:rPr>
                <w:sz w:val="20"/>
                <w:szCs w:val="20"/>
                <w:color w:val="auto"/>
              </w:rPr>
            </w:pPr>
            <w:r>
              <w:rPr>
                <w:rFonts w:ascii="Arial" w:cs="Arial" w:eastAsia="Arial" w:hAnsi="Arial"/>
                <w:sz w:val="18"/>
                <w:szCs w:val="18"/>
                <w:color w:val="auto"/>
              </w:rPr>
              <w:t>$ 338,317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500" w:type="dxa"/>
            <w:vAlign w:val="bottom"/>
            <w:gridSpan w:val="3"/>
          </w:tcPr>
          <w:p>
            <w:pPr>
              <w:jc w:val="right"/>
              <w:ind w:right="992"/>
              <w:spacing w:after="0"/>
              <w:rPr>
                <w:sz w:val="20"/>
                <w:szCs w:val="20"/>
                <w:color w:val="auto"/>
              </w:rPr>
            </w:pPr>
            <w:r>
              <w:rPr>
                <w:rFonts w:ascii="Arial" w:cs="Arial" w:eastAsia="Arial" w:hAnsi="Arial"/>
                <w:sz w:val="18"/>
                <w:szCs w:val="18"/>
                <w:color w:val="auto"/>
              </w:rPr>
              <w:t>(1,080)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pertaining to Lazard Fund Interests (b)</w:t>
            </w:r>
          </w:p>
        </w:tc>
        <w:tc>
          <w:tcPr>
            <w:tcW w:w="3500" w:type="dxa"/>
            <w:vAlign w:val="bottom"/>
            <w:gridSpan w:val="3"/>
            <w:shd w:val="clear" w:color="auto" w:fill="CCEEFF"/>
          </w:tcPr>
          <w:p>
            <w:pPr>
              <w:jc w:val="right"/>
              <w:ind w:right="992"/>
              <w:spacing w:after="0"/>
              <w:rPr>
                <w:sz w:val="20"/>
                <w:szCs w:val="20"/>
                <w:color w:val="auto"/>
              </w:rPr>
            </w:pPr>
            <w:r>
              <w:rPr>
                <w:rFonts w:ascii="Arial" w:cs="Arial" w:eastAsia="Arial" w:hAnsi="Arial"/>
                <w:sz w:val="18"/>
                <w:szCs w:val="18"/>
                <w:color w:val="auto"/>
              </w:rPr>
              <w:t>(2,767)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740" w:type="dxa"/>
            <w:vAlign w:val="bottom"/>
          </w:tcPr>
          <w:p>
            <w:pPr>
              <w:spacing w:after="0"/>
              <w:rPr>
                <w:sz w:val="18"/>
                <w:szCs w:val="18"/>
                <w:color w:val="auto"/>
              </w:rPr>
            </w:pPr>
          </w:p>
        </w:tc>
        <w:tc>
          <w:tcPr>
            <w:tcW w:w="1760" w:type="dxa"/>
            <w:vAlign w:val="bottom"/>
            <w:gridSpan w:val="2"/>
          </w:tcPr>
          <w:p>
            <w:pPr>
              <w:jc w:val="right"/>
              <w:ind w:right="992"/>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4"/>
              </w:rPr>
              <w:t>$ 312,716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268,921</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3"/>
            <w:vMerge w:val="continue"/>
          </w:tcPr>
          <w:p>
            <w:pPr>
              <w:spacing w:after="0"/>
              <w:rPr>
                <w:sz w:val="18"/>
                <w:szCs w:val="18"/>
                <w:color w:val="auto"/>
              </w:rPr>
            </w:pPr>
          </w:p>
        </w:tc>
        <w:tc>
          <w:tcPr>
            <w:tcW w:w="3500" w:type="dxa"/>
            <w:vAlign w:val="bottom"/>
            <w:gridSpan w:val="3"/>
          </w:tcPr>
          <w:p>
            <w:pPr>
              <w:jc w:val="right"/>
              <w:ind w:right="832"/>
              <w:spacing w:after="0"/>
              <w:rPr>
                <w:sz w:val="20"/>
                <w:szCs w:val="20"/>
                <w:color w:val="auto"/>
              </w:rPr>
            </w:pPr>
            <w:r>
              <w:rPr>
                <w:rFonts w:ascii="Arial" w:cs="Arial" w:eastAsia="Arial" w:hAnsi="Arial"/>
                <w:sz w:val="18"/>
                <w:szCs w:val="18"/>
                <w:color w:val="auto"/>
              </w:rPr>
              <w:t>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are equally offset by a corresponding change in the fair value of the underlying investments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67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50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75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500" w:type="dxa"/>
            <w:vAlign w:val="bottom"/>
            <w:gridSpan w:val="5"/>
          </w:tcPr>
          <w:p>
            <w:pPr>
              <w:jc w:val="right"/>
              <w:ind w:right="5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500" w:type="dxa"/>
            <w:vAlign w:val="bottom"/>
            <w:gridSpan w:val="5"/>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740" w:type="dxa"/>
            <w:vAlign w:val="bottom"/>
            <w:gridSpan w:val="3"/>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75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4"/>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740" w:type="dxa"/>
            <w:vAlign w:val="bottom"/>
            <w:gridSpan w:val="3"/>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82"/>
              </w:rPr>
              <w:t>December</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March 31,</w:t>
            </w:r>
          </w:p>
        </w:tc>
        <w:tc>
          <w:tcPr>
            <w:tcW w:w="1180" w:type="dxa"/>
            <w:vAlign w:val="bottom"/>
            <w:gridSpan w:val="5"/>
          </w:tcPr>
          <w:p>
            <w:pPr>
              <w:jc w:val="right"/>
              <w:ind w:right="139"/>
              <w:spacing w:after="0" w:line="149" w:lineRule="exact"/>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132"/>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0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5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8"/>
        </w:trPr>
        <w:tc>
          <w:tcPr>
            <w:tcW w:w="754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149</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60" w:type="dxa"/>
            <w:vAlign w:val="bottom"/>
            <w:gridSpan w:val="2"/>
          </w:tcPr>
          <w:p>
            <w:pPr>
              <w:jc w:val="right"/>
              <w:ind w:right="212"/>
              <w:spacing w:after="0"/>
              <w:rPr>
                <w:sz w:val="20"/>
                <w:szCs w:val="20"/>
                <w:color w:val="auto"/>
              </w:rPr>
            </w:pPr>
            <w:r>
              <w:rPr>
                <w:rFonts w:ascii="Arial" w:cs="Arial" w:eastAsia="Arial" w:hAnsi="Arial"/>
                <w:sz w:val="18"/>
                <w:szCs w:val="18"/>
                <w:color w:val="auto"/>
              </w:rPr>
              <w:t>79</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500" w:type="dxa"/>
            <w:vAlign w:val="bottom"/>
            <w:gridSpan w:val="5"/>
          </w:tcPr>
          <w:p>
            <w:pPr>
              <w:jc w:val="right"/>
              <w:ind w:right="2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1,085</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4"/>
              </w:rPr>
              <w:t>1,204</w:t>
            </w:r>
          </w:p>
        </w:tc>
        <w:tc>
          <w:tcPr>
            <w:tcW w:w="720" w:type="dxa"/>
            <w:vAlign w:val="bottom"/>
            <w:gridSpan w:val="3"/>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1,197</w:t>
            </w:r>
          </w:p>
        </w:tc>
        <w:tc>
          <w:tcPr>
            <w:tcW w:w="120" w:type="dxa"/>
            <w:vAlign w:val="bottom"/>
          </w:tcPr>
          <w:p>
            <w:pPr>
              <w:spacing w:after="0"/>
              <w:rPr>
                <w:sz w:val="19"/>
                <w:szCs w:val="19"/>
                <w:color w:val="auto"/>
              </w:rPr>
            </w:pPr>
          </w:p>
        </w:tc>
        <w:tc>
          <w:tcPr>
            <w:tcW w:w="800" w:type="dxa"/>
            <w:vAlign w:val="bottom"/>
            <w:gridSpan w:val="4"/>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4"/>
              </w:rPr>
              <w:t>1,136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2,530</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2012 period of $26 million, as compared to net income of $55 million in the 2011 period. The changes in the Company’s operating results during these periods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 the 2012 period increased by $48 million, or 11%, with operating revenue increasing by $42 million, or 9%, respectively, as compared to the 2011 period. Fees from investment banking and other advisory activities increased $53 million, or 24%, primarily reflecting the closing of several significant restructuring, M&amp;A and sovereign and government advisory transactions during the 2012 period, as well as the strong performance of Lazard Middle Market. The number of M&amp;A transactions with fees greater than $1 million also increased as compared to the 2011 period. Restructuring fee revenues in the 2012 period increased $35 million, or 97%, driven primarily by a higher number of closings and increased average fees for assignments with completion fees greater than $1 million. Total Strategic Advisory fees in the 2012 period increased $14 million, or 7%. Money management fees decreased $10 million, or 5%, during the 2012 period primarily due to an $8 billion, or 5%, decrease in average AUM, on which management fees are earned. In the aggregate, interest income, other revenue and interest expense reflected an increase in net revenue of $5 million as compared to the corresponding period in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Compensation and benefits expense in the 2012 period was $338 million, as compared to $270 million in the corresponding prior year period. Factors contributing to the increase included higher compensation costs relating to the growth in operating revenue and a $22 million charge associated with staff reductions, representing severance costs and benefit payments, including $7 million relating to the acceleration of unrecognized amortization expense of deferred incentive compensation previously granted to individuals being terminated, as well as increased headcount. Adjusted compensation and benefits expense (which excludes certain items that management believes allows for improved comparability between interim periods, and which is described more thoroughly above), was $313 million in the 2012 period, an increase of $44 million, or 16%, when compared to $269 million in the 2011 period. The resulting ratio of adjusted compensation and benefits expense to operating revenue was 62.7% for the 2012 period, which compares to 58.9% and 62.0% for the first quarter and full year of 2011, respectively. The first quarter 2012 ratio of adjusted compensation and benefits expense to operating revenue assumed, based on current market conditions, a ratio of awarded compensation and benefits expense to operating revenue of approximately 60% for the full year of 2012, as compared to 61.7%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expect that the amortization of deferred incentive compensation awards will approximate $341 million for the full year of 2012, compared to $289 million for the comparable 2011 period, when excluding the $7 million charge in 2012 related to staff reductions. The increase of $52 million is primarily related to the amortization of the 2008 plan year deferred incentive compensation awards (the “2008 grant”). The 2008 grant is the last grant with a vesting period in excess of three years. Our amortization expense is higher in 2012, compared to 2011, in part because of the overlapping vesting periods, but is expected to revert to a lower level in 2013.</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Non-compensation expense in the 2012 period was $109 million, an increase of $16 million, or 17%, as compared to $93 million in the corresponding period in 2011. Non-compensation expense in the first quarter of 2012 included charges totaling $3 million associated with the staff reductions. When excluding such charges, as well as non-compensation costs relating to noncontrolling interests, non-compensation expense in the first quarter of 2012 increased $12 million, or 13%, primarily attributable to (i) deal-related costs, specific to transactions that closed in the 2012 period, (ii) generally higher levels of business development expenses in our Financial Advisory business and (iii) higher occupancy costs in the 2012 period as a result of our amended lease and associated build-out costs of our Rockefeller Center facility. The ratio of non-compensation expense to operating revenue was 21.1% in the 2012 period versus 20.3% for the corresponding period in 2011. We currently estimate that, on a full year basis in 2012 as compared to 2011, our occupancy-related costs associated with the amended lease at our Rockefeller Center facility will increase by approximately $11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2011 period.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Operating income in the 2012 period was $38 million, a decrease of $35 million, or 49%, as compared to operating income of $73 million in the 2011 period, and, as a percentage of net revenue, was 8% as compared to 17% in the 2011 period.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provision for income taxes was $9 million and $13 million for the 2012 and 2011 periods, respectively, representing effective tax rates of 23.2% and 18.3% for the respective periods.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income attributable to noncontrolling interests was $4 million and $5 million in the 2012 and 2011 periods, respectively. The decrease of $1 million principally reflects LAZ-MD Holdings’ reduced ownership interest in Lazard Group in the 2012 period, partially offset by an increase in the noncontrolling interest relating to Edgewater in the 2012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192,611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206,981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193,288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277,196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228,845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249,897</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213,566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3"/>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2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2012 period as compared to the corresponding period in 2011, our M&amp;A and Strategic Advisory revenue (which includes Sovereign and Government Advisory revenue) increased 18% in the 2012 period as compared to the 2011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client statistics and global industry statistics are set forth below:</w:t>
      </w:r>
    </w:p>
    <w:tbl>
      <w:tblPr>
        <w:tblLayout w:type="fixed"/>
        <w:tblInd w:w="0" w:type="dxa"/>
        <w:tblCellMar>
          <w:top w:w="0" w:type="dxa"/>
          <w:left w:w="0" w:type="dxa"/>
          <w:bottom w:w="0" w:type="dxa"/>
          <w:right w:w="0" w:type="dxa"/>
        </w:tblCellMar>
      </w:tblPr>
      <w:tr>
        <w:trPr>
          <w:trHeight w:val="153"/>
        </w:trPr>
        <w:tc>
          <w:tcPr>
            <w:tcW w:w="9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320" w:type="dxa"/>
            <w:vAlign w:val="bottom"/>
          </w:tcPr>
          <w:p>
            <w:pPr>
              <w:spacing w:after="0"/>
              <w:rPr>
                <w:sz w:val="12"/>
                <w:szCs w:val="12"/>
                <w:color w:val="auto"/>
              </w:rPr>
            </w:pP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2012</w:t>
            </w: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64</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58</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50</w:t>
            </w:r>
          </w:p>
        </w:tc>
        <w:tc>
          <w:tcPr>
            <w:tcW w:w="240" w:type="dxa"/>
            <w:vAlign w:val="bottom"/>
          </w:tcPr>
          <w:p>
            <w:pPr>
              <w:spacing w:after="0"/>
              <w:rPr>
                <w:sz w:val="18"/>
                <w:szCs w:val="18"/>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39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Financial Advisory Net Revenue from Top 10 Clients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41%</w:t>
            </w: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9"/>
              </w:rPr>
              <w:t>32%</w:t>
            </w: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11</w:t>
            </w:r>
          </w:p>
        </w:tc>
        <w:tc>
          <w:tcPr>
            <w:tcW w:w="240" w:type="dxa"/>
            <w:vAlign w:val="bottom"/>
          </w:tcPr>
          <w:p>
            <w:pPr>
              <w:spacing w:after="0"/>
              <w:rPr>
                <w:sz w:val="19"/>
                <w:szCs w:val="19"/>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11,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$14 million, or 7%, and Restructuring revenue increased $35 million, or 97%, as compared to the 2011 period.</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M&amp;A and Strategic Advisory revenue increased $29 million, or 18% as compared to the 2011 period. Capital Markets and Other Advisory revenue decreased $15 million, or 51%. The increase in M&amp;A and Strategic Advisory revenue was principally due to a higher level of fees earned from our top 10 clients and higher average fees per M&amp;A and Strategic Advisory transaction, which reflected the closing of several significant M&amp;A and sovereign and government advisory transactions, as well as the strong performance of Lazard Middle Market. Our major clients, which, in the aggregate, represented a significant portion of our M&amp;A and Strategic Advisory revenue for the first quarter of 2012, included 3b-fibreglass, 99 Cents Only Stores, Azur Pharma, Brookside Foods, European Goldfields, Hellenic Republic, ITT, Simon Property Group, Sonneborn and Western Lime.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decrease in Capital Markets and Other Advisory revenue in the 2012 period was primarily attributable to a lower level of closings by Private Fund Advisory.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increase in Restructuring revenue in the 2012 period was driven by a higher number of closings and increased average fees for assignments with completion fees greater than $1 million. Notable assignments completed in the first quarter of 2012 included A&amp;P, Eastman Kodak Company, Lehman Brothers and Spanish Broadcasting Systems.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306" w:lineRule="auto"/>
        <w:rPr>
          <w:sz w:val="20"/>
          <w:szCs w:val="20"/>
          <w:color w:val="auto"/>
        </w:rPr>
      </w:pPr>
      <w:r>
        <w:rPr>
          <w:rFonts w:ascii="Arial" w:cs="Arial" w:eastAsia="Arial" w:hAnsi="Arial"/>
          <w:sz w:val="16"/>
          <w:szCs w:val="16"/>
          <w:color w:val="auto"/>
        </w:rPr>
        <w:t>Operating expenses increased $36 million, or 17%, as compared to the 2011 period. The principal contributors to the increase were increases in compensation and deal-related costs specific to transactions which closed in the 2012 period, a higher level of business development expense and higher occupancy costs in the 2012 period as a result of our amended lease and associated build-out costs of our Rockefeller Center facility.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Advisory operating income in the 2012 period was $27 million, an increase of $12 million, or 79%, as compared to operating income of $15 million in the 2011 period and, as a percentage of net revenue, was 10% as compared to 7%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31,020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27,599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Equities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130,653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116,362</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13,744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Fixed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156,708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141,039</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68"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$ 150,315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$ 157,894</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Total AUM at March 31, 2012 increased $16 billion, or 11%, as compared to total AUM of $141 billion at December 31, 2011, primarily due to market appreciation. Average AUM however, for the three month period ended March 31, 2012 was 5% lower than that for three month period ended March 31, 2011. International, Global and U.S. equities represented 20%, 50% and 14% of total AUM at March 31, 2012, versus 20%, 49% and 14% at December 31, 2011.</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2012 and December 31, 2011,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both March 31, 2012 and December 31, 2011, AUM denominated in foreign currencies represented approximately 61% of our total AUM. Foreign denominated AUM declines in value with the strengthening of the U.S. Dollar and increases in value as the U.S. Dollar weakens.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$141,039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$155,337</w:t>
            </w:r>
          </w:p>
        </w:tc>
        <w:tc>
          <w:tcPr>
            <w:tcW w:w="100" w:type="dxa"/>
            <w:vAlign w:val="bottom"/>
            <w:shd w:val="clear" w:color="auto" w:fill="CCEEFF"/>
          </w:tcPr>
          <w:p>
            <w:pPr>
              <w:spacing w:after="0"/>
              <w:rPr>
                <w:sz w:val="18"/>
                <w:szCs w:val="18"/>
                <w:color w:val="auto"/>
              </w:rPr>
            </w:pP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(162)</w:t>
            </w: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156,708</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160,451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inflows of $6,795 and $5,813 and outflows of $6,957 and $5,118 for the 2012 and 2011 periods, respectively.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2012 period, both inflows and outflows were principally in Global and International Equities, with inflows resulting from increased investments in existing accounts, and outflows resulting from withdrawals in existing accounts and, to a lesser extent, accounts lost.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April 27, 2012, AUM was $155.7 billion, a $1.0 billion decrease since March 31, 2012. The change in AUM was due to market/foreign exchange depreciation of $1.8 billion, partially offset by net inflows of $0.8 billion. Market depreciation was approximately 1% of AUM since March 31, 2012, which was generally consistent with the decrease in global market indices during that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199,860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214,527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226,853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160,501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Asset Management net revenue decreased $12 million, or 5%, as compared to the 2011 period. Management fees decreased $7 million, or 3%, as compared to the 2011 period, driven primarily by a 5% decrease in average AUM, partially offset by a favorable change in the mix of AUM into higher margin equity products. Incentive fees, principally consisting of traditional long-only strategies, decreased $2 million, or 50%, as compared to the 2011 period, principally due to a change in fee structure on one mandate from a quarterly to an annual performance fee basis. Other income decreased $3 million, or 19%, as compared to the 2011 period, primarily due to a decline in commission and fee income from an unusually strong 2011 first quarter.</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Operating expenses increased $11 million, or 8%, as compared to the 2011 period, with such increase primarily due to an increase in compensation expense and higher occupancy costs in the 2012 period as a result of our amended lease and associated build-out costs of our Rockefeller Center facility.</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Asset Management operating income was $54 million, a decrease of $24 million, or 30%, as compared to operating income of $78 million in the 2011 period and, as a percentage of net revenue, was 25%, as compared to 34%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center"/>
              <w:ind w:left="380"/>
              <w:spacing w:after="0" w:line="142"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35"/>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(20,422)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(19,792)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14,108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37,818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(43,502)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540" w:type="dxa"/>
            <w:vAlign w:val="bottom"/>
            <w:vMerge w:val="restart"/>
          </w:tcPr>
          <w:p>
            <w:pPr>
              <w:jc w:val="right"/>
              <w:ind w:right="3512"/>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24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 million, or 6%, as compared to the 2011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increased $11 million, or 307%, principally relating to an increase in investment gains versus the 2011 period.</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Operating expenses increased $36 million, primarily due to (i) total costs of $25 million, relating to the charge in the three month period ended March 31, 2012 in compensation and benefits expense for staff reductions, including the acceleration of unrecognized amortization expense of deferred incentive compensation previously granted to individuals that were terminated, and in non-compensation expense for other expenses related to the staff reduction, (ii) higher occupancy costs in the 2012 period as a result of our amended lease and associated build-out costs of our Rockefeller Center facility and (iii) increased technology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(82.2)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(138.7)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(238.1)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8"/>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52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72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Class A common stock dividends, distributions to noncontrolling interest holders and activity relating to borrowings.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11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March 31, 2012, Lazard had approximately $766 million of cash, with such amount including approximately $270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2012, Lazard had approximately $315 million in unused lines of credit available to it, including a $150 million, three-year, senior revolving credit facility with a group of lenders that expires in April 2013 (the “Credit Facility”) (see “—Financing Activities” below) and unused lines of credit available to LFB of approximately $93 million (at March 31, 2012 exchange rates) and Edgewater of $65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2012 and December 31, 2011.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2012 Lazard Group was in compliance with such ratios, with its Consolidated Leverage Ratio being 2.11 to 1.00 and its Consolidated Interest Coverage Ratio being 7.53 to 1.00. In any event, no amounts were outstanding under the Credit Facility as of March 31, 2012.</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At March 31, 2012, total stockholders’ equity was $861 million, as compared to $867 million at December 31, 2011, including $738 million and $726 million attributable to Lazard Ltd on the respective dates. The net activity in stockholders’ equity during the three month period ended March 31,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867</w:t>
            </w:r>
          </w:p>
        </w:tc>
        <w:tc>
          <w:tcPr>
            <w:tcW w:w="0" w:type="dxa"/>
            <w:vAlign w:val="bottom"/>
          </w:tcPr>
          <w:p>
            <w:pPr>
              <w:spacing w:after="0"/>
              <w:rPr>
                <w:sz w:val="1"/>
                <w:szCs w:val="1"/>
                <w:color w:val="auto"/>
              </w:rPr>
            </w:pPr>
          </w:p>
        </w:tc>
      </w:tr>
      <w:tr>
        <w:trPr>
          <w:trHeight w:val="323"/>
        </w:trPr>
        <w:tc>
          <w:tcPr>
            <w:tcW w:w="844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dividends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 -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Equity—March 31,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861</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2011 and October 2011, the Board of Directors of Lazard Ltd authorized the repurchase of up to $250 million and $125 million, respectively, in aggregate cost of Class A common stock and Lazard Group common membership interests through December 31, 2012 and December 31, 2013, respectively. During the three month period ended March 31, 2012 the Company repurchased 2,378,445 shares of Class A common stock, at an aggregate cost of $71 million (but purchased no Lazard Group common membership interests during such three month period). As of March 31, 2012, $142 million of the current aggregate $375 million share repurchase amount authorized as of such date remained available as follows – $17 million of the $250 million share repurchase amount expiring December 31, 2012, and all of the $125 million share repurchase amount expiring December 31, 2013. Furthermore, under the terms of the 2005 Plan and the 2008 Plan, upon the vesting of RSUs,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shares of Class A common stock may be withheld by the Company to cover estimated income taxes. On April 24, 2012, the Board of Directors of Lazard Ltd authorized the repurchase of up to an additional $125 million in aggregate cost of Lazard Ltd Class A common stock and Lazard Group common membership interests through December 31, 2013.</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quarter of 2012, the Company had a written trading plan under Rule 10b5-1 of the Securities Exchange Act of 1934 in place, pursuant to which it effected stock repurchases through the open market.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repurchases of Class A common stock described above, during the three month period ended March 31, 2012, in order, among other reasons, to help neutralize the dilutive effect of our share-based incentive compensation plans, the Company utilized $26 million to satisfy certain employees’ withholding tax obligations on vested RSUs and delivery of restricted Class A common stock in lieu of issuing 828,471 shares of Class A common stock directly by Lazard Ltd or by delivery of shares held by Lazard Group or other subsidiaries of Lazard Ltd.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88"/>
              </w:rPr>
              <w:t>Contractual Obligations Due by Period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$ 1,415,236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$ 622,452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567,131</w:t>
            </w: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Operating Leases (exclusive of $167,138 of sublease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1,081,809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60,801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145,563</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132,200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743,245</w:t>
            </w: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8,569</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35,883</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$ 2,556,968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$ 164,966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$ 312,011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$ 761,046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1,318,945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10, 12, 13 and 14 of Notes to Condensed Consolidated Financial Statements regarding information in connection with commitments, incentive plans, employee benefit plans and income taxes,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and, as discussed below, any valuation allowance recorded against our deferred tax assets.</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2011, on a consolidated basis, we recorded deferred tax assets of approximately $1.3 billion.</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Subsequent to the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two year period ended December 31, 2011 and the three month period ended March 31, 2012, certain of our tax-paying entities have individually experienced pre-tax losses on a cumulative three-year basis primarily due to permanent differences between net income and taxable income at such entities. Considering these losses and the other factors listed below, we have recorded a valuation allowance of approximately $1.1 billion on our deferred tax assets as of December 31, 2011 and have not changed our assessment regarding the level of valuation allowance as of March 31,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taxable income in prior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mentioned previously, certain of our tax-paying entities have individually experienced losses on cumulative basis over the past several years. If these entities achieve sustainable levels of profitability in the future, we believe there is a reasonable possibility that the valuation allowance recorded against our deferred tax assets at such entities could be reduced significantly. If any valuation allowance reduction were to occur,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would likely have a negative effective tax rate in the period in which such reduction occurs. Included in our deferred tax assets as of December 31, 2011 are approximately $709 million related to certain basis step-ups and approximately $137 million of net operating losses generated by the amortization of such step-up assets. Under our tax receivable agreement, Lazard Group will retain 15% of the actual cash tax savings relating to such assets and will pay 85% of such savings to the former owners of Lazard.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other factors affect our provision for income taxes, including changes in the geographic mix of our business, the level of our annual pre-tax income, transfer pricing and intercompany transactions. In addition, our interpretation of complex tax laws may impact our recognition and measurement of current and deferred income taxes. Tax contingencies involve complex issues and often require an extended period of time to resolve. Tax contingencies that are resolved in a manner that is adverse to us could have a material adverse effect on our financial results. See “Risk Factors” and Note 19 of Notes to Consolidated Financial Statements in our Form 10-K for additional information related to income taxes.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9"/>
              </w:rPr>
              <w:t>March 31, 2012 (a)</w:t>
            </w:r>
          </w:p>
        </w:tc>
        <w:tc>
          <w:tcPr>
            <w:tcW w:w="14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9"/>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Equity securities (net of $2 and $4 of securities sold, not yet purchased, at March</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31, 2012 and December 31, 2011, respectively) (c)</w:t>
            </w:r>
          </w:p>
        </w:tc>
        <w:tc>
          <w:tcPr>
            <w:tcW w:w="160" w:type="dxa"/>
            <w:vAlign w:val="bottom"/>
          </w:tcPr>
          <w:p>
            <w:pPr>
              <w:spacing w:after="0"/>
              <w:rPr>
                <w:sz w:val="19"/>
                <w:szCs w:val="19"/>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 in Lazard-managed hedge funds) (d)</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1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95</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3"/>
            <w:vMerge w:val="continue"/>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$ 2,908</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w w:val="86"/>
              </w:rPr>
              <w:t>$ 3,082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Investments above include investments held in connection with Lazard Fund Interests and other similar deferred compensation arrangements granted, with an aggregate fair value of $31 and $27 million at March 31, 2012 and December 31, 2011, respectively. Market risk associated with such investments is equally offset by any changes in the fair value related to the Company’s obligation pertaining to such awards.</w:t>
      </w:r>
    </w:p>
    <w:p>
      <w:pPr>
        <w:spacing w:after="0" w:line="25" w:lineRule="exact"/>
        <w:rPr>
          <w:rFonts w:ascii="Arial" w:cs="Arial" w:eastAsia="Arial" w:hAnsi="Arial"/>
          <w:sz w:val="16"/>
          <w:szCs w:val="16"/>
          <w:color w:val="auto"/>
        </w:rPr>
      </w:pPr>
    </w:p>
    <w:p>
      <w:pPr>
        <w:ind w:left="460" w:right="7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securities primarily relate to Asset Management seed investments and U.S. government debt securities and, at December 31, 2011, non-U.S. government securities which matured during the first quarter of 2012.</w:t>
      </w:r>
    </w:p>
    <w:p>
      <w:pPr>
        <w:spacing w:after="0" w:line="50" w:lineRule="exact"/>
        <w:rPr>
          <w:rFonts w:ascii="Arial" w:cs="Arial" w:eastAsia="Arial" w:hAnsi="Arial"/>
          <w:sz w:val="18"/>
          <w:szCs w:val="18"/>
          <w:color w:val="auto"/>
        </w:rPr>
      </w:pPr>
    </w:p>
    <w:p>
      <w:pPr>
        <w:ind w:left="460" w:right="20" w:hanging="452"/>
        <w:spacing w:after="0" w:line="31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equity securities primarily relate to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 Hedging strategies are employed to attempt to reduce market risk, and, in turn, the volatility to earnings. Additional information regarding equity securities is shown below:</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26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Energy</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260" w:type="dxa"/>
            <w:vAlign w:val="bottom"/>
          </w:tcPr>
          <w:p>
            <w:pPr>
              <w:ind w:left="190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 Private equity investments primarily include (i) a mezzanine fund, which invests in mezzanine debt of a diversified selection of small- to mid-cap European companies; (ii) CP II, a private equity fund targeting significant noncontrolling investments in established public and private companies; (iii) Senior Housing, which targets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controlling interests in companies and assets in senior housing, extended stay and shopping center sectors, and (iv) Edgewater Growth Capital Partners III, L.P., a private equity fund primarily making growth equity and buyout investments in high-quality, lower middle market companies.</w:t>
      </w:r>
    </w:p>
    <w:p>
      <w:pPr>
        <w:spacing w:after="0" w:line="4" w:lineRule="exact"/>
        <w:rPr>
          <w:sz w:val="20"/>
          <w:szCs w:val="20"/>
          <w:color w:val="auto"/>
        </w:rPr>
      </w:pPr>
    </w:p>
    <w:p>
      <w:pPr>
        <w:ind w:left="460" w:right="40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Fixed income funds primarily consists of amounts seeding products of our Asset Management segment. Hedging strategies are employed to attempt to reduce market risk and, in turn, the volatility to earnings.</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March 31, 2012 and December 31, 2011, $123 million and $133 million, respectively, of our total investments at a fair value of $376 million and $374 million, respectively, or 33% and 36%, respectively, were classified as Level 3 assets. Substantially all of our Level 3 investments in both periods are priced based on a NAV or its equivalent. During the three month periods ended March 31, 2012 and 2011, gains of approximately $8 million and $0.3 million, respectively, were recognized in “revenue-other” on the condensed consolidated statements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right="20" w:hanging="446"/>
        <w:spacing w:after="0" w:line="256"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60" w:hanging="446"/>
        <w:spacing w:after="0" w:line="332" w:lineRule="auto"/>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Market and/or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2012, total receivables amounted to $523 million, net of an allowance for doubtful accounts of $21 million. As of that date, Financial Advisory and Asset Management fees, customer and related party receivables comprised 83%, 14% and 3% of total receivables, respectively. At December 31, 2011, total receivables amounted to $504 million, net of an allowance for doubtful accounts of $19 million. As of that date, Financial Advisory and Asset Management fees, customer and related party receivables comprised 80%, 16% and 4% of total receivables, respectively. At March 31, 2012 and December 31, 2011, the Company had receivables past due of approximately $22 million and $23 million, respectively. See also “Critical Accounting Policies and Estimates —Revenue Recognition” above and Note 3 of Notes to Condensed Consolidated Financial Statements for additional information regarding receivables.</w:t>
      </w:r>
    </w:p>
    <w:p>
      <w:pPr>
        <w:spacing w:after="0" w:line="10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March 31, 2012 and December 31, 2011, customer receivables included $25 million and $29 million of LFB loans, respectively. Such loans are closely monitored for counterparty creditworthiness to help minimize exposure. In addition, as of March 31, 2012, LFB had commitments to lend totaling $23 million, which are fully collateralized and generally contain requirements for the counterparty to maintain a minimum collateral level.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lending and borrowing transactions with fixed income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2012, excluding inter-bank counterparties, LFB had no exposure to an individual counterparty that exceeded $23 million, with such amount being fully collateralized.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With respect to activities outside LFB, as of March 31, 2012, the Company’s largest individual counterparty exposure was a Financial Advisory fee receivable of $33 million, which was subsequently collected.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March 31, 2012 and December 31, 2011, such derivative contracts are recorded at fair value. Derivative assets amounted to $1 million and $7 million at March 31, 2012 and December 31, 2011, respectively, and derivative liabilities, excluding the derivative liability arising from the Company’s obligation with respect to Lazard Fund Interests and other similar deferred compensation arrangements, amounted to $6 and $1 million at such respective dates.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 The primary market risks associated with LFB’s foreign currency exchange hedging and lending activities are sensitivity to changes in the general level of interest rate and foreign exchange risk. Based on account balances as of March 31, 2012, LFB’s interest rate risk as measured by a 100+/– basis point change in interest rates and its currency risk associated with its open positions, in the aggregate, as measured by a 200+/– basis point change against the U.S. Dollar, would not have a material effect on the Company’s annual operating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March 31, 2012,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2012, the Company’s cash and cash equivalents totaled approximately $766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February 17, 2012, Lazard Ltd issued 85,196 shares of Class A common stock in reliance on Section 4(2) of the Securities Act of 1933 in connection with the exchange of 85,196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Publicly</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6440" w:type="dxa"/>
            <w:vAlign w:val="bottom"/>
            <w:vMerge w:val="restart"/>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per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Purchased</w:t>
            </w:r>
          </w:p>
        </w:tc>
        <w:tc>
          <w:tcPr>
            <w:tcW w:w="920" w:type="dxa"/>
            <w:vAlign w:val="bottom"/>
            <w:gridSpan w:val="3"/>
          </w:tcPr>
          <w:p>
            <w:pPr>
              <w:jc w:val="right"/>
              <w:ind w:right="520"/>
              <w:spacing w:after="0" w:line="148" w:lineRule="exact"/>
              <w:rPr>
                <w:sz w:val="20"/>
                <w:szCs w:val="20"/>
                <w:color w:val="auto"/>
              </w:rPr>
            </w:pPr>
            <w:r>
              <w:rPr>
                <w:rFonts w:ascii="Arial" w:cs="Arial" w:eastAsia="Arial" w:hAnsi="Arial"/>
                <w:sz w:val="14"/>
                <w:szCs w:val="14"/>
                <w:b w:val="1"/>
                <w:bCs w:val="1"/>
                <w:color w:val="auto"/>
                <w:w w:val="97"/>
              </w:rPr>
              <w:t>Share</w:t>
            </w: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Programs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January 1, 2012 – January 31, 2012</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212.1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February 1, 2012 – February 29, 2012</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1,599,507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29.52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1,599,507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164.9 million</w:t>
            </w: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180,893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28.75</w:t>
            </w:r>
          </w:p>
        </w:tc>
        <w:tc>
          <w:tcPr>
            <w:tcW w:w="4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 2012 – March 31, 2012</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778,938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29.94</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778,938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141.6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647,578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30.46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2,378,445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29.66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2,378,445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141.6 million</w:t>
            </w:r>
          </w:p>
        </w:tc>
        <w:tc>
          <w:tcPr>
            <w:tcW w:w="0" w:type="dxa"/>
            <w:vAlign w:val="bottom"/>
          </w:tcPr>
          <w:p>
            <w:pPr>
              <w:spacing w:after="0"/>
              <w:rPr>
                <w:sz w:val="1"/>
                <w:szCs w:val="1"/>
                <w:color w:val="auto"/>
              </w:rPr>
            </w:pPr>
          </w:p>
        </w:tc>
      </w:tr>
      <w:tr>
        <w:trPr>
          <w:trHeight w:val="222"/>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828,471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30.09</w:t>
            </w:r>
          </w:p>
        </w:tc>
        <w:tc>
          <w:tcPr>
            <w:tcW w:w="44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February 2011 and October 2011, the Board of Directors of Lazard Ltd authorized the repurchase of up to $250 million and $125 million, respectively, in aggregate cost of Class A common stock and Lazard Group common membership interests through December 31, 2012 and December 31, 2013, respectively. The share repurchase program is used primarily to offset a portion of the shares to be issued under the 2005 Plan and the 2008 Plan. Purchases under the share repurchase program may be made in the open market or through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privately negotiated transactions. Amounts shown in this line item exclude the shares of Class A common stock withheld by the Company to cover estimated income taxes as described below. As of March 31, 2012, $141.6 million of the current aggregate $375.0 million share repurchase amount authorized as of such date remained available as follows – $16.6 million of the $250.0 million share repurchase amount expiring December 31, 2012, and all of the $125.0 million share repurchase amount expiring December 31, 2013. Additionally, amounts shown in this line item for the period March 1 through March 31, 2012 include repurchases made in the open market pursuant to the Company’s Rule 10b5-1 plan, which was then in effect. A Rule 10b5-1 plan allows the Company to make repurchases during periods when it would not otherwise be repurchasing (</w:t>
      </w:r>
      <w:r>
        <w:rPr>
          <w:rFonts w:ascii="Arial" w:cs="Arial" w:eastAsia="Arial" w:hAnsi="Arial"/>
          <w:sz w:val="16"/>
          <w:szCs w:val="16"/>
          <w:i w:val="1"/>
          <w:iCs w:val="1"/>
          <w:color w:val="auto"/>
        </w:rPr>
        <w:t>i.e.</w:t>
      </w:r>
      <w:r>
        <w:rPr>
          <w:rFonts w:ascii="Arial" w:cs="Arial" w:eastAsia="Arial" w:hAnsi="Arial"/>
          <w:sz w:val="16"/>
          <w:szCs w:val="16"/>
          <w:color w:val="auto"/>
        </w:rPr>
        <w:t xml:space="preserve"> during internal “black-out” periods). All purchases under a Rule 10b5-1 plan must be made in accordance with a predefined plan, which must have been established when the Company was not aware of material non-public information.</w:t>
      </w:r>
    </w:p>
    <w:p>
      <w:pPr>
        <w:spacing w:after="0" w:line="37" w:lineRule="exact"/>
        <w:rPr>
          <w:sz w:val="20"/>
          <w:szCs w:val="20"/>
          <w:color w:val="auto"/>
        </w:rPr>
      </w:pPr>
    </w:p>
    <w:p>
      <w:pPr>
        <w:ind w:left="460" w:right="20" w:hanging="452"/>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 the terms of the 2005 Plan and the 2008 Plan, upon the vesting of RSUs and delivery of restricted Class A common stock, shares of Class A common stock may be withheld by the Company to cover estimated income taxes. During the three month period ended March 31, 2012, the Company satisfied certain employees’ tax obligations in lieu of issuing (i) 802,810 shares of Class A common stock to cover estimated taxes upon the vesting of 3,270,375 RSUs and (ii) 25,661 shares of Class A common stock to cover estimated taxes upon the vesting of 119,552 shares of restricted Class A common stock.</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216"/>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27, 2012 to Letter Agreement regarding employment, dated as of April 21, 2010, between Lazard Group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and Gary W. Parr.</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Citibank, N.A., as Administrative Agent (incorporated by reference to Exhibit 10.51 to the Registrant’s Quarterly Report (File No. 001-32492)</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No. 3, dated as of March 31, 2012, to the Senior Revolving Credit Agreement, dated as of April 29, 2010, among Lazard Group</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LLC, the Banks from time to time parties thereto, and Citibank, N.A., as Administrative Agent.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retirement under the 2008 Incentive Compensation Plan.</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10.54*</w:t>
            </w:r>
          </w:p>
        </w:tc>
        <w:tc>
          <w:tcPr>
            <w:tcW w:w="10220" w:type="dxa"/>
            <w:vAlign w:val="bottom"/>
          </w:tcPr>
          <w:p>
            <w:pPr>
              <w:ind w:left="3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March 15, 2005, between Lazard Group LLC and Ashish Bhutani (incorporated by reference to Exhibit 10.56 to the Registrant’s Quarterly</w:t>
            </w:r>
          </w:p>
        </w:tc>
      </w:tr>
      <w:tr>
        <w:trPr>
          <w:trHeight w:val="222"/>
        </w:trPr>
        <w:tc>
          <w:tcPr>
            <w:tcW w:w="96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12.1</w:t>
            </w:r>
          </w:p>
        </w:tc>
        <w:tc>
          <w:tcPr>
            <w:tcW w:w="1022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10.46</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Gary W. Parr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Lazard Frères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Parr:</w:t>
      </w:r>
    </w:p>
    <w:p>
      <w:pPr>
        <w:spacing w:after="0" w:line="9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This letter (the “Amendment”) will confirm our understanding regarding certain terms that will be applicable to your compensation for 2011, as well as your entitlement to awards to be granted in 2012 and 2013. Reference is hereby made to the letter agreement, dated as of April 21, 2010, between you and Lazard Group LLC (“Lazard”), which amended and restated the letter agreement, dated as of September 3, 2008, between you and Lazard regarding your employment with Lazard and which set forth your right to guaranteed annual compensation of no less than $10,000,000 for each of 2009 through 2012, subject to certain terms and conditions (the 2010 letter agreement, the “Letter Agreement”). The parties desire to amend the Letter Agreement to reduce the portion of guaranteed annual compensation that is payable to you in cash and in the aggregate for 2011 under the Letter Agreement and to provide for the grant of equity awards in 2012 and 2013, as set forth below. All capitalized terms used in this Amendment but not otherwise defined herein will have the same meaning as defined in the Letter Agreement, and all section references are to a section of this Amendment, unless otherwise specified.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Accordingly, you and Lazard hereby agree that, notwithstanding anything to the contrary set forth in the Letter Agreement:</w:t>
      </w:r>
    </w:p>
    <w:p>
      <w:pPr>
        <w:spacing w:after="0" w:line="212"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2011 Annual Payment</w:t>
      </w:r>
      <w:r>
        <w:rPr>
          <w:rFonts w:ascii="Arial" w:cs="Arial" w:eastAsia="Arial" w:hAnsi="Arial"/>
          <w:sz w:val="16"/>
          <w:szCs w:val="16"/>
          <w:color w:val="auto"/>
        </w:rPr>
        <w:t>: Notwithstanding any provision of the Letter Agreement, the Annual Payment for calendar year 2011 will be</w:t>
      </w:r>
    </w:p>
    <w:p>
      <w:pPr>
        <w:spacing w:after="0" w:line="38" w:lineRule="exact"/>
        <w:rPr>
          <w:rFonts w:ascii="Arial" w:cs="Arial" w:eastAsia="Arial" w:hAnsi="Arial"/>
          <w:sz w:val="16"/>
          <w:szCs w:val="16"/>
          <w:color w:val="auto"/>
        </w:rPr>
      </w:pPr>
    </w:p>
    <w:p>
      <w:pPr>
        <w:ind w:left="1480"/>
        <w:spacing w:after="0" w:line="254" w:lineRule="auto"/>
        <w:rPr>
          <w:rFonts w:ascii="Arial" w:cs="Arial" w:eastAsia="Arial" w:hAnsi="Arial"/>
          <w:sz w:val="16"/>
          <w:szCs w:val="16"/>
          <w:color w:val="auto"/>
        </w:rPr>
      </w:pPr>
      <w:r>
        <w:rPr>
          <w:rFonts w:ascii="Arial" w:cs="Arial" w:eastAsia="Arial" w:hAnsi="Arial"/>
          <w:sz w:val="18"/>
          <w:szCs w:val="18"/>
          <w:color w:val="auto"/>
        </w:rPr>
        <w:t>$7,500,000 (the “2011 Payment”). The cash portion of the 2011 Payment, including amounts paid in 2011 as salary, shall equal $3,500,000. The remaining portion of the 2011 Payment ($4,000,000) was granted to you in restricted stock units of Lazard Ltd (the “Company”) Class A Common Stock (“Shares”) (each such restricted stock unit, a “Stock Unit”) on February 10, 2012 in accordance with the terms and conditions of section 1 of the Letter Agreement.</w:t>
      </w:r>
    </w:p>
    <w:p>
      <w:pPr>
        <w:spacing w:after="0" w:line="184" w:lineRule="exact"/>
        <w:rPr>
          <w:rFonts w:ascii="Arial" w:cs="Arial" w:eastAsia="Arial" w:hAnsi="Arial"/>
          <w:sz w:val="16"/>
          <w:szCs w:val="16"/>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Grant and Vesting of Future Equity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00" w:right="40" w:hanging="8"/>
        <w:spacing w:after="0" w:line="289" w:lineRule="auto"/>
        <w:tabs>
          <w:tab w:leader="none" w:pos="1666" w:val="left"/>
        </w:tabs>
        <w:numPr>
          <w:ilvl w:val="1"/>
          <w:numId w:val="50"/>
        </w:numPr>
        <w:rPr>
          <w:rFonts w:ascii="Arial" w:cs="Arial" w:eastAsia="Arial" w:hAnsi="Arial"/>
          <w:sz w:val="16"/>
          <w:szCs w:val="16"/>
          <w:color w:val="auto"/>
        </w:rPr>
      </w:pPr>
      <w:r>
        <w:rPr>
          <w:rFonts w:ascii="Arial" w:cs="Arial" w:eastAsia="Arial" w:hAnsi="Arial"/>
          <w:sz w:val="16"/>
          <w:szCs w:val="16"/>
          <w:color w:val="auto"/>
        </w:rPr>
        <w:t>Lazard agrees to grant you, subject to the provisions of this Amendment and to the provisions of the Company’s 2008 Incentive Compensation Plan (the “Plan”): (i) 54,745 restricted Shares on February 27, 2012, which will vest on February 11, 2013, and (ii) 36,496 Stock Units on February 11, 2013, which will vest one-third on March 3, 2014 and two-thirds on March 2, 2015 (collectively, the “Special Awards”), in each case, upon the execution of an Award Agreement, which Award Agreement shall set forth substantially the same payment, vesting and other terms as apply to the Deputy Chairmen with respect to the prior year, except that (i) in the case of the restricted Shares, the dividends shall be paid in cash, subject to vesting on the same terms and conditions as the related restricted Shares, and (ii) as otherwise set forth in this section 2(a). Notwithstanding the foregoing, Lazard will not be obligated to grant you the Special Awards described in this section 2(a) if, prior to the grant date, you resign or are terminated for Cause.</w:t>
      </w:r>
    </w:p>
    <w:p>
      <w:pPr>
        <w:spacing w:after="0" w:line="37" w:lineRule="exact"/>
        <w:rPr>
          <w:rFonts w:ascii="Arial" w:cs="Arial" w:eastAsia="Arial" w:hAnsi="Arial"/>
          <w:sz w:val="16"/>
          <w:szCs w:val="16"/>
          <w:color w:val="auto"/>
        </w:rPr>
      </w:pPr>
    </w:p>
    <w:p>
      <w:pPr>
        <w:ind w:left="1500" w:right="140" w:hanging="8"/>
        <w:spacing w:after="0" w:line="335" w:lineRule="auto"/>
        <w:tabs>
          <w:tab w:leader="none" w:pos="1675" w:val="left"/>
        </w:tabs>
        <w:numPr>
          <w:ilvl w:val="1"/>
          <w:numId w:val="50"/>
        </w:numPr>
        <w:rPr>
          <w:rFonts w:ascii="Arial" w:cs="Arial" w:eastAsia="Arial" w:hAnsi="Arial"/>
          <w:sz w:val="15"/>
          <w:szCs w:val="15"/>
          <w:color w:val="auto"/>
        </w:rPr>
      </w:pPr>
      <w:r>
        <w:rPr>
          <w:rFonts w:ascii="Arial" w:cs="Arial" w:eastAsia="Arial" w:hAnsi="Arial"/>
          <w:sz w:val="15"/>
          <w:szCs w:val="15"/>
          <w:color w:val="auto"/>
        </w:rPr>
        <w:t>In the event of a Change in Control (as defined in the Plan) prior to February 11, 2013, any Special Awards that have not been granted as of the date of such Change in Control shall automatically be granted as of the date of such Change in Control, and such Special Awards, along with any unvested but already outstanding Special Awards, shall automatically vest as of the date of such Change in Control.</w:t>
      </w:r>
    </w:p>
    <w:p>
      <w:pPr>
        <w:sectPr>
          <w:pgSz w:w="11900" w:h="16838" w:orient="portrait"/>
          <w:cols w:equalWidth="0" w:num="1">
            <w:col w:w="11420"/>
          </w:cols>
          <w:pgMar w:left="240" w:top="125" w:right="239" w:bottom="1440" w:gutter="0" w:footer="0" w:header="0"/>
        </w:sectPr>
      </w:pPr>
    </w:p>
    <w:bookmarkStart w:id="79" w:name="page80"/>
    <w:bookmarkEnd w:id="79"/>
    <w:p>
      <w:pPr>
        <w:ind w:left="1500"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In the event of a change in the Company’s capital structure of the nature described in section 3(b) of the Plan at any time following the date hereof and prior to the grant of all of the Special Awards pursuant to section 2(a), the number of ungranted Special Awards set forth in section 2(a) shall be adjusted in the same manner as the restricted Shares or Stock Units, as applicable, then outstanding under the Plan.</w:t>
      </w:r>
    </w:p>
    <w:p>
      <w:pPr>
        <w:spacing w:after="0" w:line="7" w:lineRule="exact"/>
        <w:rPr>
          <w:sz w:val="20"/>
          <w:szCs w:val="20"/>
          <w:color w:val="auto"/>
        </w:rPr>
      </w:pPr>
    </w:p>
    <w:p>
      <w:pPr>
        <w:ind w:left="1500" w:right="500"/>
        <w:spacing w:after="0" w:line="268" w:lineRule="auto"/>
        <w:rPr>
          <w:sz w:val="20"/>
          <w:szCs w:val="20"/>
          <w:color w:val="auto"/>
        </w:rPr>
      </w:pPr>
      <w:r>
        <w:rPr>
          <w:rFonts w:ascii="Arial" w:cs="Arial" w:eastAsia="Arial" w:hAnsi="Arial"/>
          <w:sz w:val="18"/>
          <w:szCs w:val="18"/>
          <w:color w:val="auto"/>
        </w:rPr>
        <w:t>d. For the avoidance of doubt, the awards referred to in this section 2 are in addition to, and shall not be credited against, your Annual Payment for calendar year 2012 under the Letter Agreement.</w:t>
      </w:r>
    </w:p>
    <w:p>
      <w:pPr>
        <w:spacing w:after="0" w:line="172" w:lineRule="exact"/>
        <w:rPr>
          <w:sz w:val="20"/>
          <w:szCs w:val="20"/>
          <w:color w:val="auto"/>
        </w:rPr>
      </w:pPr>
    </w:p>
    <w:p>
      <w:pPr>
        <w:ind w:left="1480" w:right="80" w:hanging="567"/>
        <w:spacing w:after="0" w:line="332" w:lineRule="auto"/>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Except as specifically set forth herein, this Amendment shall not, by implication or otherwise, alter, amend or modify in any way any terms of the Letter Agreement, and the Letter Agreement shall continue in full force and effect.</w:t>
      </w:r>
    </w:p>
    <w:p>
      <w:pPr>
        <w:spacing w:after="0" w:line="125" w:lineRule="exact"/>
        <w:rPr>
          <w:rFonts w:ascii="Arial" w:cs="Arial" w:eastAsia="Arial" w:hAnsi="Arial"/>
          <w:sz w:val="16"/>
          <w:szCs w:val="16"/>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Section 6 of the Letter Agreement shall apply to this Amendment.</w:t>
      </w:r>
    </w:p>
    <w:p>
      <w:pPr>
        <w:spacing w:after="0" w:line="211" w:lineRule="exact"/>
        <w:rPr>
          <w:rFonts w:ascii="Arial" w:cs="Arial" w:eastAsia="Arial" w:hAnsi="Arial"/>
          <w:sz w:val="18"/>
          <w:szCs w:val="18"/>
          <w:color w:val="auto"/>
        </w:rPr>
      </w:pPr>
    </w:p>
    <w:p>
      <w:pPr>
        <w:ind w:left="1480" w:hanging="567"/>
        <w:spacing w:after="0" w:line="310" w:lineRule="auto"/>
        <w:tabs>
          <w:tab w:leader="none" w:pos="1480"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Amendment, together with the Letter Agreement, contains the entire agreement between you and Lazard concerning the subject matter hereof and supersedes all prior agreements, understandings, discussions, negotiations and undertakings, whether written or oral, between you and Lazard with respect hereto. No provision of this Amendment may be amended unless the amendment is agreed to in writing that is duly signed by each of the parties hereto and that expressly refers to the provision being amended. No waiver by either party of any breach by the other party of any condition or provision contained in this Amendment shall be deemed a waiver of a similar or dissimilar condition or provision at the same or any prior or subsequent time. Any waiver must be in writing and signed by an authorized officer of Lazard or you, depending on which party is granting a waiver, and must expressly refer to the provision being waived. Following the date hereof, all references to the Letter Agreement shall be deemed to refer to the Letter Agreement as amended by this Amendment.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confirm your acceptance of the foregoing by executing the enclosed copy of this letter, upon which it shall become a binding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between us.</w:t>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D. Hoffman</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Managing Director and 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Gary W.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W. Parr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ectPr>
          <w:pgSz w:w="11900" w:h="16838" w:orient="portrait"/>
          <w:cols w:equalWidth="0" w:num="1">
            <w:col w:w="11380"/>
          </w:cols>
          <w:pgMar w:left="240" w:top="280" w:right="27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10.50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171"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AMENDMENT NO. 3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March 31, 2012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executing this Amendment, each of which is a party to the Credit Agreement referred to below, and Citibank,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85" w:lineRule="exact"/>
        <w:rPr>
          <w:sz w:val="20"/>
          <w:szCs w:val="20"/>
          <w:color w:val="auto"/>
        </w:rPr>
      </w:pPr>
    </w:p>
    <w:p>
      <w:pPr>
        <w:ind w:right="120" w:firstLine="913"/>
        <w:spacing w:after="0" w:line="335" w:lineRule="auto"/>
        <w:rPr>
          <w:sz w:val="20"/>
          <w:szCs w:val="20"/>
          <w:color w:val="auto"/>
        </w:rPr>
      </w:pPr>
      <w:r>
        <w:rPr>
          <w:rFonts w:ascii="Arial" w:cs="Arial" w:eastAsia="Arial" w:hAnsi="Arial"/>
          <w:sz w:val="15"/>
          <w:szCs w:val="15"/>
          <w:color w:val="auto"/>
        </w:rPr>
        <w:t>The Company, the Banks party thereto (including the Banks executing this Amendment) and the Administrative Agent are parties to a Credit Agreement dated as of April 29, 2010 (as amended by Amendment No. 1 dated as of August 12, 2010 and by Amendment No. 2 dated as of December 17, 2010,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providing, subject to the terms and conditions thereof, for extensions of credit to be made by said Banks to the Company thereunder.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parties hereto wish now to amend the Credit Agreement in certain respects and, accordingly, the parties hereto hereby agree as follows: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in this Amendment, terms defined in the Credit Agreement are used herein as defined therein.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Amendments</w:t>
      </w:r>
      <w:r>
        <w:rPr>
          <w:rFonts w:ascii="Arial" w:cs="Arial" w:eastAsia="Arial" w:hAnsi="Arial"/>
          <w:sz w:val="15"/>
          <w:szCs w:val="15"/>
          <w:color w:val="auto"/>
        </w:rPr>
        <w:t>. Subject to the satisfaction of the conditions precedent specified in Section 4 below, the Credit Agreement shall be amended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84"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References Generally</w:t>
      </w:r>
      <w:r>
        <w:rPr>
          <w:rFonts w:ascii="Arial" w:cs="Arial" w:eastAsia="Arial" w:hAnsi="Arial"/>
          <w:sz w:val="18"/>
          <w:szCs w:val="18"/>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59"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Amendments to Section 1.1 (Defined Terms)</w:t>
      </w:r>
      <w:r>
        <w:rPr>
          <w:rFonts w:ascii="Arial" w:cs="Arial" w:eastAsia="Arial" w:hAnsi="Arial"/>
          <w:sz w:val="18"/>
          <w:szCs w:val="18"/>
          <w:color w:val="auto"/>
        </w:rPr>
        <w:t>. Section 1.1 (Defined Terms) of the Credit Agreement is hereby amended by inserting the following defined term in the appropriate alphabetical order therein:</w:t>
      </w:r>
    </w:p>
    <w:p>
      <w:pPr>
        <w:spacing w:after="0" w:line="51"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Reserve Letter Agreement</w:t>
      </w:r>
      <w:r>
        <w:rPr>
          <w:rFonts w:ascii="Arial" w:cs="Arial" w:eastAsia="Arial" w:hAnsi="Arial"/>
          <w:sz w:val="18"/>
          <w:szCs w:val="18"/>
          <w:color w:val="auto"/>
        </w:rPr>
        <w:t>”: the letter agreement dated June 30, 2009, from Holdings and Lazard &amp; Co., Holdings Limited to the Staff Pension Trustees and the Directors’ Pension Trustees (in each case as defined therein), in respect of reserves to be retained by Lazard &amp; Co., Holdings Limited, Lazard &amp; Co., Limited and Lazard &amp; Co., Services Limited for certain pension obligations, and as such letter agreement is further amended, restated, modified, supplemented or replaced from time to time, in each case with respect to the same or similar such reserves.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Amendments to Section 7.3 (Limitation on Liens)</w:t>
      </w:r>
      <w:r>
        <w:rPr>
          <w:rFonts w:ascii="Arial" w:cs="Arial" w:eastAsia="Arial" w:hAnsi="Arial"/>
          <w:sz w:val="18"/>
          <w:szCs w:val="18"/>
          <w:color w:val="auto"/>
        </w:rPr>
        <w:t>. Section 7.3 of the Credit Agreement is hereby amended by:</w:t>
      </w:r>
    </w:p>
    <w:p>
      <w:pPr>
        <w:spacing w:after="0" w:line="90"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deleting the word “and” at the end of clause 7.3(m);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relabeling clause Section 7.3(n), “Section 7.3(o)”; and</w:t>
      </w:r>
    </w:p>
    <w:p>
      <w:pPr>
        <w:sectPr>
          <w:pgSz w:w="11900" w:h="16838" w:orient="portrait"/>
          <w:cols w:equalWidth="0" w:num="1">
            <w:col w:w="11420"/>
          </w:cols>
          <w:pgMar w:left="240" w:top="125" w:right="239" w:bottom="1440" w:gutter="0" w:footer="0" w:header="0"/>
        </w:sectPr>
      </w:pPr>
    </w:p>
    <w:bookmarkStart w:id="81" w:name="page82"/>
    <w:bookmarkEnd w:id="81"/>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inserting the following new clause immediately after Section 7.3(m):</w:t>
      </w:r>
    </w:p>
    <w:p>
      <w:pPr>
        <w:spacing w:after="0" w:line="90" w:lineRule="exact"/>
        <w:rPr>
          <w:sz w:val="20"/>
          <w:szCs w:val="20"/>
          <w:color w:val="auto"/>
        </w:rPr>
      </w:pPr>
    </w:p>
    <w:p>
      <w:pPr>
        <w:ind w:left="1940" w:right="120" w:firstLine="8"/>
        <w:spacing w:after="0" w:line="357" w:lineRule="auto"/>
        <w:tabs>
          <w:tab w:leader="none" w:pos="2189"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Liens on deposit accounts and securities accounts to secure certain pension obligations of Lazard &amp; Co., Services Limited,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assets in the accounts subject to such Liens shall not exceed £15,000,000 at any one time; and</w:t>
      </w:r>
    </w:p>
    <w:p>
      <w:pPr>
        <w:ind w:left="460" w:right="20" w:firstLine="438"/>
        <w:spacing w:after="0" w:line="255"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Amendments to Section 7.7 (Clauses Restricting Subsidiary Distributions)</w:t>
      </w:r>
      <w:r>
        <w:rPr>
          <w:rFonts w:ascii="Arial" w:cs="Arial" w:eastAsia="Arial" w:hAnsi="Arial"/>
          <w:sz w:val="18"/>
          <w:szCs w:val="18"/>
          <w:color w:val="auto"/>
        </w:rPr>
        <w:t xml:space="preserve">. Section 7.7 of the Credit Agreement is hereby amended by deleting the word “and” directly preceding romanette (vi) and by inserting “, and (vii) restrictions and conditions imposed by the Pension Reserve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are limited to distributable reserves to be retained by Lazard &amp; Co., Holdings Limited, Lazard &amp; Co., Limited and Lazard &amp; Co., Services Limited with an aggregate value not in excess of £18,000,000 at any one time” after the words “assignment thereof” at the end of the paragraph.</w:t>
      </w:r>
    </w:p>
    <w:p>
      <w:pPr>
        <w:spacing w:after="0" w:line="143"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the Administrative Agent and the Banks that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9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set forth in Section 2 hereof shall each become effective on the date this Amendment shall have been duly executed and delivered by the Company, the Administrative Agent and the Required Lenders.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agrees to pay the reasonable costs and expenses of the Administrative Agent in connection with this Amendment as provided in Section 12.5(a) of the Credit Agreement.</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the page intentionally left blank.</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82" w:name="page83"/>
    <w:bookmarkEnd w:id="82"/>
    <w:p>
      <w:pPr>
        <w:ind w:right="4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LAZARD GROUP LLC</w:t>
      </w:r>
    </w:p>
    <w:p>
      <w:pPr>
        <w:spacing w:after="0" w:line="231" w:lineRule="exact"/>
        <w:rPr>
          <w:sz w:val="20"/>
          <w:szCs w:val="20"/>
          <w:color w:val="auto"/>
        </w:rPr>
      </w:pPr>
    </w:p>
    <w:tbl>
      <w:tblPr>
        <w:tblLayout w:type="fixed"/>
        <w:tblInd w:w="4360" w:type="dxa"/>
        <w:tblCellMar>
          <w:top w:w="0" w:type="dxa"/>
          <w:left w:w="0" w:type="dxa"/>
          <w:bottom w:w="0" w:type="dxa"/>
          <w:right w:w="0" w:type="dxa"/>
        </w:tblCellMar>
      </w:tblPr>
      <w:tr>
        <w:trPr>
          <w:trHeight w:val="222"/>
        </w:trPr>
        <w:tc>
          <w:tcPr>
            <w:tcW w:w="3080" w:type="dxa"/>
            <w:vAlign w:val="bottom"/>
          </w:tcPr>
          <w:p>
            <w:pPr>
              <w:ind w:left="2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Matthieu Bucaille</w:t>
            </w:r>
          </w:p>
        </w:tc>
      </w:tr>
      <w:tr>
        <w:trPr>
          <w:trHeight w:val="217"/>
        </w:trPr>
        <w:tc>
          <w:tcPr>
            <w:tcW w:w="3080" w:type="dxa"/>
            <w:vAlign w:val="bottom"/>
          </w:tcPr>
          <w:p>
            <w:pPr>
              <w:ind w:left="250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3080" w:type="dxa"/>
            <w:vAlign w:val="bottom"/>
          </w:tcPr>
          <w:p>
            <w:pPr>
              <w:ind w:left="2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080" w:type="dxa"/>
            <w:vAlign w:val="bottom"/>
          </w:tcPr>
          <w:p>
            <w:pPr>
              <w:spacing w:after="0"/>
              <w:rPr>
                <w:sz w:val="20"/>
                <w:szCs w:val="20"/>
                <w:color w:val="auto"/>
              </w:rPr>
            </w:pPr>
            <w:r>
              <w:rPr>
                <w:rFonts w:ascii="Arial" w:cs="Arial" w:eastAsia="Arial" w:hAnsi="Arial"/>
                <w:sz w:val="18"/>
                <w:szCs w:val="18"/>
                <w:color w:val="auto"/>
              </w:rPr>
              <w:t>[Signature Page to Amendment No. 3]</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3" w:name="page84"/>
    <w:bookmarkEnd w:id="8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5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Maureen P. Maroney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w:t>
      </w:r>
    </w:p>
    <w:p>
      <w:pPr>
        <w:sectPr>
          <w:pgSz w:w="11900" w:h="16838" w:orient="portrait"/>
          <w:cols w:equalWidth="0" w:num="1">
            <w:col w:w="9019"/>
          </w:cols>
          <w:pgMar w:left="1440" w:top="274" w:right="1440" w:bottom="1440" w:gutter="0" w:footer="0" w:header="0"/>
        </w:sectPr>
      </w:pPr>
    </w:p>
    <w:bookmarkStart w:id="84" w:name="page85"/>
    <w:bookmarkEnd w:id="8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STREET BANK AND TRUST COMPANY</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10795</wp:posOffset>
            </wp:positionV>
            <wp:extent cx="24612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Name:</w:t>
        <w:tab/>
        <w:t>John T. Daley</w:t>
      </w:r>
    </w:p>
    <w:p>
      <w:pPr>
        <w:spacing w:after="0" w:line="15"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6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9520"/>
          </w:cols>
          <w:pgMar w:left="1440" w:top="274" w:right="939" w:bottom="1440" w:gutter="0" w:footer="0" w:header="0"/>
        </w:sectPr>
      </w:pPr>
    </w:p>
    <w:bookmarkStart w:id="85" w:name="page86"/>
    <w:bookmarkEnd w:id="8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Thomas Caruso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w:t>
      </w:r>
    </w:p>
    <w:p>
      <w:pPr>
        <w:sectPr>
          <w:pgSz w:w="11900" w:h="16838" w:orient="portrait"/>
          <w:cols w:equalWidth="0" w:num="1">
            <w:col w:w="9019"/>
          </w:cols>
          <w:pgMar w:left="1440" w:top="274"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10.53</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 UNIT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RESTRICTED STOCK AGREEMENT</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LAZARD LTD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w:t>
      </w:r>
    </w:p>
    <w:p>
      <w:pPr>
        <w:sectPr>
          <w:pgSz w:w="11900" w:h="16838" w:orient="portrait"/>
          <w:cols w:equalWidth="0" w:num="1">
            <w:col w:w="10220"/>
          </w:cols>
          <w:pgMar w:left="1440" w:top="1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2"/>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9"/>
                <w:szCs w:val="19"/>
                <w:color w:val="auto"/>
              </w:rPr>
            </w:pPr>
          </w:p>
        </w:tc>
      </w:tr>
      <w:tr>
        <w:trPr>
          <w:trHeight w:val="353"/>
        </w:trPr>
        <w:tc>
          <w:tcPr>
            <w:tcW w:w="110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410"/>
        </w:trPr>
        <w:tc>
          <w:tcPr>
            <w:tcW w:w="11060" w:type="dxa"/>
            <w:vAlign w:val="bottom"/>
          </w:tcPr>
          <w:p>
            <w:pPr>
              <w:ind w:left="4900"/>
              <w:spacing w:after="0"/>
              <w:rPr>
                <w:sz w:val="20"/>
                <w:szCs w:val="20"/>
                <w:color w:val="auto"/>
              </w:rPr>
            </w:pPr>
            <w:r>
              <w:rPr>
                <w:rFonts w:ascii="Arial" w:cs="Arial" w:eastAsia="Arial" w:hAnsi="Arial"/>
                <w:sz w:val="18"/>
                <w:szCs w:val="18"/>
                <w:color w:val="auto"/>
              </w:rPr>
              <w:t>ARTICLE I</w:t>
            </w:r>
          </w:p>
        </w:tc>
        <w:tc>
          <w:tcPr>
            <w:tcW w:w="260" w:type="dxa"/>
            <w:vAlign w:val="bottom"/>
          </w:tcPr>
          <w:p>
            <w:pPr>
              <w:spacing w:after="0"/>
              <w:rPr>
                <w:sz w:val="24"/>
                <w:szCs w:val="24"/>
                <w:color w:val="auto"/>
              </w:rPr>
            </w:pPr>
          </w:p>
        </w:tc>
      </w:tr>
      <w:tr>
        <w:trPr>
          <w:trHeight w:val="432"/>
        </w:trPr>
        <w:tc>
          <w:tcPr>
            <w:tcW w:w="11060" w:type="dxa"/>
            <w:vAlign w:val="bottom"/>
          </w:tcPr>
          <w:p>
            <w:pPr>
              <w:ind w:left="4900"/>
              <w:spacing w:after="0"/>
              <w:rPr>
                <w:sz w:val="20"/>
                <w:szCs w:val="20"/>
                <w:color w:val="auto"/>
              </w:rPr>
            </w:pPr>
            <w:r>
              <w:rPr>
                <w:rFonts w:ascii="Arial" w:cs="Arial" w:eastAsia="Arial" w:hAnsi="Arial"/>
                <w:sz w:val="18"/>
                <w:szCs w:val="18"/>
                <w:color w:val="auto"/>
              </w:rPr>
              <w:t>Stock Units</w:t>
            </w:r>
          </w:p>
        </w:tc>
        <w:tc>
          <w:tcPr>
            <w:tcW w:w="260" w:type="dxa"/>
            <w:vAlign w:val="bottom"/>
          </w:tcPr>
          <w:p>
            <w:pPr>
              <w:spacing w:after="0"/>
              <w:rPr>
                <w:sz w:val="24"/>
                <w:szCs w:val="24"/>
                <w:color w:val="auto"/>
              </w:rPr>
            </w:pPr>
          </w:p>
        </w:tc>
      </w:tr>
      <w:tr>
        <w:trPr>
          <w:trHeight w:val="426"/>
        </w:trPr>
        <w:tc>
          <w:tcPr>
            <w:tcW w:w="11060" w:type="dxa"/>
            <w:vAlign w:val="bottom"/>
          </w:tcPr>
          <w:p>
            <w:pPr>
              <w:spacing w:after="0"/>
              <w:rPr>
                <w:sz w:val="20"/>
                <w:szCs w:val="20"/>
                <w:color w:val="auto"/>
              </w:rPr>
            </w:pPr>
            <w:r>
              <w:rPr>
                <w:rFonts w:ascii="Arial" w:cs="Arial" w:eastAsia="Arial" w:hAnsi="Arial"/>
                <w:sz w:val="18"/>
                <w:szCs w:val="18"/>
                <w:color w:val="auto"/>
              </w:rPr>
              <w:t>SECTION 1.01. Grant and Vesting of Stock Units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1.02. Settlement of Units; Restrictions on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1.03. Nontransferability of Stock Units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1.04. Dividends, Dividend Equivalents, Rights as a Shareholder</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1.05. Payment of Transfer Taxes, Fees and Other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1.06. Taxes and Withholding</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8"/>
              </w:rPr>
              <w:t>ARTICLE II</w:t>
            </w:r>
          </w:p>
        </w:tc>
        <w:tc>
          <w:tcPr>
            <w:tcW w:w="260" w:type="dxa"/>
            <w:vAlign w:val="bottom"/>
          </w:tcPr>
          <w:p>
            <w:pPr>
              <w:spacing w:after="0"/>
              <w:rPr>
                <w:sz w:val="24"/>
                <w:szCs w:val="24"/>
                <w:color w:val="auto"/>
              </w:rPr>
            </w:pP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85"/>
              </w:rPr>
              <w:t>Restricted Shares</w:t>
            </w:r>
          </w:p>
        </w:tc>
        <w:tc>
          <w:tcPr>
            <w:tcW w:w="260" w:type="dxa"/>
            <w:vAlign w:val="bottom"/>
          </w:tcPr>
          <w:p>
            <w:pPr>
              <w:spacing w:after="0"/>
              <w:rPr>
                <w:sz w:val="24"/>
                <w:szCs w:val="24"/>
                <w:color w:val="auto"/>
              </w:rPr>
            </w:pPr>
          </w:p>
        </w:tc>
      </w:tr>
      <w:tr>
        <w:trPr>
          <w:trHeight w:val="412"/>
        </w:trPr>
        <w:tc>
          <w:tcPr>
            <w:tcW w:w="11060" w:type="dxa"/>
            <w:vAlign w:val="bottom"/>
          </w:tcPr>
          <w:p>
            <w:pPr>
              <w:spacing w:after="0"/>
              <w:rPr>
                <w:sz w:val="20"/>
                <w:szCs w:val="20"/>
                <w:color w:val="auto"/>
              </w:rPr>
            </w:pPr>
            <w:r>
              <w:rPr>
                <w:rFonts w:ascii="Arial" w:cs="Arial" w:eastAsia="Arial" w:hAnsi="Arial"/>
                <w:sz w:val="18"/>
                <w:szCs w:val="18"/>
                <w:color w:val="auto"/>
              </w:rPr>
              <w:t>SECTION 2.01. Issuance and Vesting of Restricted Shares; Tax Issues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2.02. Delivery of Certificates or Book Entry Credits; Restrictions on Remaining Restricted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2.03. Nontransferability of Remaining Restricted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2.04. Dividends, Rights as a Shareholder</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2.05. Disgorgement of Tax Benefits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2.06. Qualifying Termination</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7"/>
              </w:rPr>
              <w:t>ARTICLE III</w:t>
            </w:r>
          </w:p>
        </w:tc>
        <w:tc>
          <w:tcPr>
            <w:tcW w:w="260" w:type="dxa"/>
            <w:vAlign w:val="bottom"/>
          </w:tcPr>
          <w:p>
            <w:pPr>
              <w:spacing w:after="0"/>
              <w:rPr>
                <w:sz w:val="24"/>
                <w:szCs w:val="24"/>
                <w:color w:val="auto"/>
              </w:rPr>
            </w:pP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88"/>
              </w:rPr>
              <w:t>General Provisions</w:t>
            </w:r>
          </w:p>
        </w:tc>
        <w:tc>
          <w:tcPr>
            <w:tcW w:w="260" w:type="dxa"/>
            <w:vAlign w:val="bottom"/>
          </w:tcPr>
          <w:p>
            <w:pPr>
              <w:spacing w:after="0"/>
              <w:rPr>
                <w:sz w:val="24"/>
                <w:szCs w:val="24"/>
                <w:color w:val="auto"/>
              </w:rPr>
            </w:pPr>
          </w:p>
        </w:tc>
      </w:tr>
      <w:tr>
        <w:trPr>
          <w:trHeight w:val="412"/>
        </w:trPr>
        <w:tc>
          <w:tcPr>
            <w:tcW w:w="11060" w:type="dxa"/>
            <w:vAlign w:val="bottom"/>
          </w:tcPr>
          <w:p>
            <w:pPr>
              <w:spacing w:after="0"/>
              <w:rPr>
                <w:sz w:val="20"/>
                <w:szCs w:val="20"/>
                <w:color w:val="auto"/>
              </w:rPr>
            </w:pPr>
            <w:r>
              <w:rPr>
                <w:rFonts w:ascii="Arial" w:cs="Arial" w:eastAsia="Arial" w:hAnsi="Arial"/>
                <w:sz w:val="18"/>
                <w:szCs w:val="18"/>
                <w:color w:val="auto"/>
              </w:rPr>
              <w:t>SECTION 3.01. Effect of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3.02. Laws Applicable to Construction; Consent to Jurisdiction</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3.03. Conflicts and Interpretation</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3.04. Amendment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3.05. Sections 409A and 457A of the Code</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3.06. 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3.07. 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document constitutes part of a prospectus covering securities that have been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under the Securities Act of 1933.</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UNIT AGREEMENT AND RESTRICTED STOCK AGREEMENT</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STOCK UNIT AGREEMENT AND RESTRICTED STOCK AGREEMENT dated as of , between Lazard Ltd, a Bermuda exempted company (the “Company”), on behalf of its applicable Affiliate (as defined under the definitional rules of Section 1.01(a) below), and (the “Employee”).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Stock Units</w:t>
      </w:r>
    </w:p>
    <w:p>
      <w:pPr>
        <w:spacing w:after="0" w:line="171" w:lineRule="exact"/>
        <w:rPr>
          <w:sz w:val="20"/>
          <w:szCs w:val="20"/>
          <w:color w:val="auto"/>
        </w:rPr>
      </w:pPr>
    </w:p>
    <w:p>
      <w:pPr>
        <w:ind w:right="20" w:firstLine="913"/>
        <w:spacing w:after="0" w:line="305"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Grant and Vesting of Stock Units.</w:t>
      </w:r>
      <w:r>
        <w:rPr>
          <w:rFonts w:ascii="Arial" w:cs="Arial" w:eastAsia="Arial" w:hAnsi="Arial"/>
          <w:sz w:val="15"/>
          <w:szCs w:val="15"/>
          <w:color w:val="auto"/>
        </w:rPr>
        <w:t xml:space="preserve"> (a) Subject to the provisions of this Agreement and to the provisions of the Company’s 2008 Incentive Compensation Plan (the “Plan”) (all capitalized terms used herein, to the extent not defined, shall have the meaning set forth in the Plan), the Company,</w:t>
      </w:r>
    </w:p>
    <w:p>
      <w:pPr>
        <w:ind w:right="20"/>
        <w:spacing w:after="0" w:line="261" w:lineRule="auto"/>
        <w:rPr>
          <w:sz w:val="20"/>
          <w:szCs w:val="20"/>
          <w:color w:val="auto"/>
        </w:rPr>
      </w:pPr>
      <w:r>
        <w:rPr>
          <w:rFonts w:ascii="Arial" w:cs="Arial" w:eastAsia="Arial" w:hAnsi="Arial"/>
          <w:sz w:val="18"/>
          <w:szCs w:val="18"/>
          <w:color w:val="auto"/>
        </w:rPr>
        <w:t>on behalf of its applicable Affiliate, hereby grants to the Employee, as of (the “Grant Date”), Stock Units (the “Stock Units”), each with respect to one Share.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 Subject to the terms and conditions of this Agreement and to the provisions of the Plan, the Stock Units shall vest and no longer be subject to any</w:t>
      </w:r>
    </w:p>
    <w:p>
      <w:pPr>
        <w:spacing w:after="0" w:line="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restriction (such period during which restrictions apply to the Stock Units is the “Restriction Period”) in accordance with the following schedule: of the Stock Units shall vest on and of the Stock Units shall vest on . Each of and is referred to herein, as applicable, as the “Vesting Date”.</w:t>
      </w:r>
    </w:p>
    <w:p>
      <w:pPr>
        <w:spacing w:after="0" w:line="354" w:lineRule="exact"/>
        <w:rPr>
          <w:sz w:val="20"/>
          <w:szCs w:val="20"/>
          <w:color w:val="auto"/>
        </w:rPr>
      </w:pPr>
    </w:p>
    <w:p>
      <w:pPr>
        <w:ind w:right="20" w:firstLine="921"/>
        <w:spacing w:after="0" w:line="298" w:lineRule="auto"/>
        <w:tabs>
          <w:tab w:leader="none" w:pos="11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during the applicable Restriction Period for any reason not set forth in Section 1.01(d) or Section 2.01(f), all unvested Stock Units shall be forfeited by the Employee effective immediately upon such Termination of Employment. For purposes of this Section 1.01(c), the Employee will be deemed to have incurred a Termination of Employment on the date that the Employee provides notice of termination to the Company, and accordingly, all unvested Stock Units shall be forfeited by the Employee immediately upon delivery of any such notice.</w:t>
      </w:r>
    </w:p>
    <w:p>
      <w:pPr>
        <w:spacing w:after="0" w:line="112" w:lineRule="exact"/>
        <w:rPr>
          <w:rFonts w:ascii="Arial" w:cs="Arial" w:eastAsia="Arial" w:hAnsi="Arial"/>
          <w:sz w:val="16"/>
          <w:szCs w:val="16"/>
          <w:color w:val="auto"/>
        </w:rPr>
      </w:pPr>
    </w:p>
    <w:p>
      <w:pPr>
        <w:jc w:val="both"/>
        <w:ind w:right="20" w:firstLine="921"/>
        <w:spacing w:after="0" w:line="298"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In the event that the Employee incurs a Termination of Employment during the applicable Restriction Period due to the Employee’s Disability or due to a Termination of Employment by the Company other than for Cause (each, a “Qualifying Termination”), subject to Section 1.01(e) and Section 1.02, all Shares underlying the Employee’s Stock Units shall be delivered to the Employee within 30 days following the date that the Employee is no longer required to perform any additional services in order to retain such Stock Units (the date that such Shares are delivered to the Employee is the “Initial Delivery Date”).</w:t>
      </w:r>
    </w:p>
    <w:p>
      <w:pPr>
        <w:sectPr>
          <w:pgSz w:w="11900" w:h="16838" w:orient="portrait"/>
          <w:cols w:equalWidth="0" w:num="1">
            <w:col w:w="11380"/>
          </w:cols>
          <w:pgMar w:left="240" w:top="274" w:right="279" w:bottom="1440" w:gutter="0" w:footer="0" w:header="0"/>
        </w:sectPr>
      </w:pPr>
    </w:p>
    <w:bookmarkStart w:id="89" w:name="page90"/>
    <w:bookmarkEnd w:id="8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approval of the Compliance Department of the Company or an Affiliate, the Employee will be permitted to dispose of 50% of the Shares (such Shares, the “Transferable Shares”) delivered to the Employee pursuant to the preceding sentence immediately following the date that such Shares are delivered to the Employee. All Shares underlying the Employee’s Stock Units following the Initial Delivery Date that are not Transferable Shares (such Shares, the “Remaining Shares”), will remain subject to the restrictions set forth in this Agreement until the earlier of the applicable Vesting Date and the date that the Stock Units would have become vested in accordance with Section 1.01(d)(ii) or 1.01(f) (such date, the “Final Delivery Date”). Accordingly, prior to the relevant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(including, without limitation, those relating to violation of the Restrictive Covenants) until the applicable Final Delivery Date.</w:t>
      </w:r>
    </w:p>
    <w:p>
      <w:pPr>
        <w:spacing w:after="0" w:line="120" w:lineRule="exact"/>
        <w:rPr>
          <w:sz w:val="20"/>
          <w:szCs w:val="20"/>
          <w:color w:val="auto"/>
        </w:rPr>
      </w:pPr>
    </w:p>
    <w:p>
      <w:pPr>
        <w:jc w:val="both"/>
        <w:ind w:right="280" w:firstLine="921"/>
        <w:spacing w:after="0" w:line="335" w:lineRule="auto"/>
        <w:tabs>
          <w:tab w:leader="none" w:pos="1171"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event that the Employee incurs a Termination of Employment during the applicable Restriction Period due to the Employee’s death or, subject to Section 1.01(e), dies during the applicable Restriction Period subsequent to a Termination of Employment described in Section 1.01(d)(i), all Stock Units shall remain outstanding and vest and be settled within 30 days following the first to occur of (x) the applicable Vesting Date and (y) the date of death.</w:t>
      </w:r>
    </w:p>
    <w:p>
      <w:pPr>
        <w:spacing w:after="0" w:line="88" w:lineRule="exact"/>
        <w:rPr>
          <w:sz w:val="20"/>
          <w:szCs w:val="20"/>
          <w:color w:val="auto"/>
        </w:rPr>
      </w:pPr>
    </w:p>
    <w:p>
      <w:pPr>
        <w:ind w:right="20"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the Employee violates any of the provisions of Appendix A, which is incorporated herein by reference, all outstanding vested or unvested Stock Units and, if applicable, all Remaining Shares, shall be forfeited and canceled.</w:t>
      </w:r>
    </w:p>
    <w:p>
      <w:pPr>
        <w:spacing w:after="0" w:line="131" w:lineRule="exact"/>
        <w:rPr>
          <w:rFonts w:ascii="Arial" w:cs="Arial" w:eastAsia="Arial" w:hAnsi="Arial"/>
          <w:sz w:val="18"/>
          <w:szCs w:val="18"/>
          <w:color w:val="auto"/>
        </w:rPr>
      </w:pPr>
    </w:p>
    <w:p>
      <w:pPr>
        <w:ind w:right="160" w:firstLine="921"/>
        <w:spacing w:after="0" w:line="332" w:lineRule="auto"/>
        <w:tabs>
          <w:tab w:leader="none" w:pos="11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any unvested but outstanding Stock Units shall automatically vest as of the date of such Change in Control and shall be settled within 30 days following the date of such Change in Control in accordance with Section 1.02.</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Settlement of Units; Restrictions on Shares.</w:t>
      </w:r>
      <w:r>
        <w:rPr>
          <w:rFonts w:ascii="Arial" w:cs="Arial" w:eastAsia="Arial" w:hAnsi="Arial"/>
          <w:sz w:val="16"/>
          <w:szCs w:val="16"/>
          <w:color w:val="auto"/>
        </w:rPr>
        <w:t xml:space="preserve"> As soon as practicable (but in no event more than 30 days) after any Stock Unit has vested and is no longer subject to the applicable Restriction Period, the Company shall, subject to Section 1.01(d) and Section 1.06, cause its applicable Affiliate to deliver to the Employee one or more unlegended, freely-transferable stock certificates or book entry credits in respect of such Shares issued upon settlement of the vested Stock Units. Notwithstanding the foregoing, (i) the Company shall be entitled to hold the Shares or cash issuable upon settlement of Stock Units that have vested until the Company shall have received from the Employee a duly executed Form W-9 or W-8, as applicable, and (ii)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37"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“The transferability of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0" w:name="page91"/>
    <w:bookmarkEnd w:id="90"/>
    <w:p>
      <w:pPr>
        <w:ind w:right="12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with respect to the Remaining Shares, the legend set forth shall be removed from the certificates or book entry credits evidencing such Shares.</w:t>
      </w:r>
    </w:p>
    <w:p>
      <w:pPr>
        <w:spacing w:after="0" w:line="113" w:lineRule="exact"/>
        <w:rPr>
          <w:sz w:val="20"/>
          <w:szCs w:val="20"/>
          <w:color w:val="auto"/>
        </w:rPr>
      </w:pPr>
    </w:p>
    <w:p>
      <w:pPr>
        <w:jc w:val="both"/>
        <w:ind w:right="320" w:firstLine="913"/>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Nontransferability of Stock Units.</w:t>
      </w:r>
      <w:r>
        <w:rPr>
          <w:rFonts w:ascii="Arial" w:cs="Arial" w:eastAsia="Arial" w:hAnsi="Arial"/>
          <w:sz w:val="18"/>
          <w:szCs w:val="18"/>
          <w:color w:val="auto"/>
        </w:rPr>
        <w:t xml:space="preserve"> During the applicable Restriction Period and until such time as the Stock Units are ultimately settled as provided in Section 1.02, the Stock Units shall not be transferable by the Employee by means of sale, assignment, exchange, encumbrance, pledge, hedge or otherwise.</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Dividends, Dividend Equivalents, Rights as a Shareholder.</w:t>
      </w:r>
      <w:r>
        <w:rPr>
          <w:rFonts w:ascii="Arial" w:cs="Arial" w:eastAsia="Arial" w:hAnsi="Arial"/>
          <w:sz w:val="16"/>
          <w:szCs w:val="16"/>
          <w:color w:val="auto"/>
        </w:rPr>
        <w:t xml:space="preserve"> If the Company declares and pays ordinary quarterly cash dividends on the Common Stock during the applicable Restriction Period, the Employee’s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(it being understood that the provisions of this sentence shall not apply to any extraordinary dividends or distributions). Notwithstanding the foregoing, subject to Section 1.01(d)(i) and Section 1.02 and any other applicable law or agreement, from and after the Initial Delivery Date, the Employee will have all rights and privileges of a shareholder with respect to the Shares, including the right to vote the Shares and to receive dividends and other distributions with respect thereto, provided that, any dividends that are paid on the Remaining Shares prior to the applicable Final Delivery Date (whether payable in cash or in kind) will be held until the applicable Final Delivery Date by Lazard Capital Markets LLC or any other escrow agent that is subsequently designated by the Company (the “Designated Escrow Agent”), and in the event that the Remaining Shares are forfeited in accordance with Section 1.01(e), such dividends will also be forfeited.</w:t>
      </w:r>
    </w:p>
    <w:p>
      <w:pPr>
        <w:spacing w:after="0" w:line="127"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Payment of Transfer Taxes, Fees and Other Expenses.</w:t>
      </w:r>
      <w:r>
        <w:rPr>
          <w:rFonts w:ascii="Arial" w:cs="Arial" w:eastAsia="Arial" w:hAnsi="Arial"/>
          <w:sz w:val="16"/>
          <w:szCs w:val="16"/>
          <w:color w:val="auto"/>
        </w:rPr>
        <w:t xml:space="preserve"> 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 xml:space="preserve"> 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1" w:name="page92"/>
    <w:bookmarkEnd w:id="9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otherwise required by applicable law, the Company will report that the Employee will be taxed on the full value of the Shares underlying the Employee’s Stock Units on the date that the Shares (including any Remaining Shares) are delivered to the Employee pursuant to Section 1.01(d), 1.01(f) or 1.02, as applicable. The obligations of the Company under this Agreement shall be conditioned on compliance by the Employee with this Section 1.06,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may, in its sole discretion and subject to such other terms and conditions as the Company may determine, retain some or all of the Transferable Shares and have the Company or such Affiliate either (1) remit the relevant taxes on the Employee’s behalf to the appropriate taxing authorities or</w:t>
      </w:r>
    </w:p>
    <w:p>
      <w:pPr>
        <w:spacing w:after="0" w:line="5" w:lineRule="exact"/>
        <w:rPr>
          <w:sz w:val="20"/>
          <w:szCs w:val="20"/>
          <w:color w:val="auto"/>
        </w:rPr>
      </w:pPr>
    </w:p>
    <w:p>
      <w:pPr>
        <w:ind w:right="320" w:firstLine="8"/>
        <w:spacing w:after="0" w:line="302"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deposit cash equal to the value of the Shares retained by the Company or an Affiliate (as reasonably determined by the Company) into the Employee’s tax advance account. Prior to the Initial Delivery Date, the Company will notify the Employee of (i) how many Shares will be delivered to the Employee on the Initial Delivery Date and (ii) whether the Employee will be permitted to surrender any portion of the Transferable Shares to the Company or an Affiliate.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Restricted Shares</w:t>
      </w:r>
    </w:p>
    <w:p>
      <w:pPr>
        <w:spacing w:after="0" w:line="17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Issuance and Vesting of Restricted Shares; Tax Issues.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Delivery of Restricted Shares.</w:t>
      </w:r>
      <w:r>
        <w:rPr>
          <w:rFonts w:ascii="Arial" w:cs="Arial" w:eastAsia="Arial" w:hAnsi="Arial"/>
          <w:sz w:val="16"/>
          <w:szCs w:val="16"/>
          <w:color w:val="auto"/>
        </w:rPr>
        <w:t xml:space="preserve"> In the event that the Employee, prior to the relevant Vesting Date, meets all of the following retirement eligibility requirements: (i) minimum age fifty-six (56); (ii) minimum of five (5) years of service with the Company or its Affiliates; and (iii) actual age plus years of service with the Company or its Affiliates at least seventy (70), the provisions of this Article II shall govern. As soon as practicable (but in no event more than 10 days) after the later of (A) the date that you return a signed copy of this Agreement to the Company (which must be no later than 10 days following the date of this Agreement) and (B) the date the Employee meets such retirement eligibility requirements (the later of such dates, the “Retirement Eligibility Date”), the Company shall issue one Share for each then outstanding Stock Unit to its applicable Affiliate and cause such Affiliate to deliver to the Employee one or more stock certificates or book entry credits in respect of such Shares issued upon the Employee’s eligibility to retire (such Shares, the “Restricted Shares”). The date that such Restricted Shares are issued to the Employee is hereinafter referred to as the “Retirement Eligibility Issue Date”. The Restricted Shares issued pursuant to this Section 2.01(a) will be in satisfaction of all then outstanding Stock Units granted pursuant to this Agreement, and following the Retirement Eligibility Issue, such Stock Units will no longer be outstanding.</w:t>
      </w:r>
    </w:p>
    <w:p>
      <w:pPr>
        <w:spacing w:after="0" w:line="123" w:lineRule="exact"/>
        <w:rPr>
          <w:sz w:val="20"/>
          <w:szCs w:val="20"/>
          <w:color w:val="auto"/>
        </w:rPr>
      </w:pPr>
    </w:p>
    <w:p>
      <w:pPr>
        <w:ind w:right="160" w:firstLine="921"/>
        <w:spacing w:after="0" w:line="268"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 xml:space="preserve"> Except as otherwise required by applicable law, the Company will report that the Employee will be taxed on the full value of all Restricted Shares on the Retirement Eligibility Issue Date.</w:t>
      </w:r>
    </w:p>
    <w:p>
      <w:pPr>
        <w:spacing w:after="0" w:line="131" w:lineRule="exact"/>
        <w:rPr>
          <w:rFonts w:ascii="Arial" w:cs="Arial" w:eastAsia="Arial" w:hAnsi="Arial"/>
          <w:sz w:val="18"/>
          <w:szCs w:val="18"/>
          <w:color w:val="auto"/>
        </w:rPr>
      </w:pPr>
    </w:p>
    <w:p>
      <w:pPr>
        <w:ind w:right="380" w:firstLine="921"/>
        <w:spacing w:after="0" w:line="332"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xml:space="preserve"> The Employee agrees that the Employee will make an election to be taxed immediately on the value of all Restricted Shares (calculated without regard to the restrictions) on the Retirement Eligibility Issue Date. In order to do so, the Employee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2" w:name="page93"/>
    <w:bookmarkEnd w:id="9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file an election with the Internal Revenue Service pursuant to Section 83(b) of the Internal Revenue Code of 1986, as amended (the “Code”), and the applicable Treasury Regulations thereunder with respect to the Restricted Shares within 30 days following the Retirement Eligibility Date, but in no event prior to Retirement Eligibility Issue Date. The Employee agrees that such Section 83(b) election will apply to all of the Restricted Shares covered by this Agreement. The Employee further agrees that the Employee will provide a copy of such Section 83(b) election to the Company not later than ten (10) days after filing the election with the Internal Revenue Service or other governmental authority.</w:t>
      </w:r>
    </w:p>
    <w:p>
      <w:pPr>
        <w:spacing w:after="0" w:line="143" w:lineRule="exact"/>
        <w:rPr>
          <w:sz w:val="20"/>
          <w:szCs w:val="20"/>
          <w:color w:val="auto"/>
        </w:rPr>
      </w:pPr>
    </w:p>
    <w:p>
      <w:pPr>
        <w:ind w:right="120" w:firstLine="921"/>
        <w:spacing w:after="0" w:line="283" w:lineRule="auto"/>
        <w:tabs>
          <w:tab w:leader="none" w:pos="116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Disposition of Shares to Pay Taxes.</w:t>
      </w:r>
      <w:r>
        <w:rPr>
          <w:rFonts w:ascii="Arial" w:cs="Arial" w:eastAsia="Arial" w:hAnsi="Arial"/>
          <w:sz w:val="16"/>
          <w:szCs w:val="16"/>
          <w:color w:val="auto"/>
        </w:rPr>
        <w:t xml:space="preserve"> (i) Subject to approval of the Compliance Department of the Company or an Affiliate, the Employee will be permitted to dispose of 50% of the Restricted Shares (such Shares, the “Transferable Restricted Shares”) issued to the Employee pursuant to Section 2.01(a) immediately following the Retirement Eligibility Issue Date. All Restricted Shares that are not Transferable Restricted Shares (such Shares, the “Remaining Restricted Shares”), will remain subject to the restrictions set forth in this Agreement until the relevant Restricted Share Delivery Date (as defined in</w:t>
      </w:r>
    </w:p>
    <w:p>
      <w:pPr>
        <w:spacing w:after="0" w:line="2"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color w:val="auto"/>
        </w:rPr>
        <w:t>Section 2.01(g) below). Accordingly, prior to the relevant Restricted Share Delivery Date, neither the Employee nor any of the Employee’s creditors or beneficiaries shall have the right to subject the Remaining Restricted Shares to any anticipation, alienation, sale, transfer, assignment, pledge, encumbrance, hedge, exchange, attachment or garnishment or any similar transaction. For the avoidance of doubt, the Remaining Restricted Shares shall continue to be subject to the forfeiture provisions set forth in Section 2.01(g) until the relevant Restricted Share Delivery Date.</w:t>
      </w:r>
    </w:p>
    <w:p>
      <w:pPr>
        <w:spacing w:after="0" w:line="115" w:lineRule="exact"/>
        <w:rPr>
          <w:sz w:val="20"/>
          <w:szCs w:val="20"/>
          <w:color w:val="auto"/>
        </w:rPr>
      </w:pPr>
    </w:p>
    <w:p>
      <w:pPr>
        <w:ind w:firstLine="921"/>
        <w:spacing w:after="0" w:line="286" w:lineRule="auto"/>
        <w:tabs>
          <w:tab w:leader="none" w:pos="11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later than the earlier of (A) the Retirement Eligibility Issue Date and (B) the relevant Vesting Date,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the Restricted Shares. The obligations of the Company under this Agreement shall be conditioned on compliance by the Employee with this Section 2.01(d)(ii), and the Company or its applicable Affiliate shall, to the extent permitted by law, have the right to deduct any such taxes from any payment otherwise due to the Employee. Notwithstanding the foregoing, on the Retirement Eligibility Issue Date, the Company or an Affiliate may, in the Company’s sole discretion and subject to such other terms and conditions as the Company may determine, retain some or all of the Transferable Restricted Shares and have the Company or such Affiliate either (1) remit the relevant taxes on the Employee’s behalf to the appropriate taxing authorities or (2) deposit cash equal to the value of the Shares retained by the Company or an Affiliate (as reasonably determined by the Company) into the Employee’s tax advance account. Prior to the Retirement Eligibility Issue Date, the Company will notify the Employee of (x) how many Restricted Shares will be delivered to the Employee on the Retirement Eligibility Issue Date and (y) if the Company or an Affiliate will retain any portion of the Transferable Restricted Shares.</w:t>
      </w:r>
    </w:p>
    <w:p>
      <w:pPr>
        <w:spacing w:after="0" w:line="127" w:lineRule="exact"/>
        <w:rPr>
          <w:sz w:val="20"/>
          <w:szCs w:val="20"/>
          <w:color w:val="auto"/>
        </w:rPr>
      </w:pPr>
    </w:p>
    <w:p>
      <w:pPr>
        <w:ind w:right="200" w:firstLine="921"/>
        <w:spacing w:after="0" w:line="268"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 of Remaining Restricted Shares.</w:t>
      </w:r>
      <w:r>
        <w:rPr>
          <w:rFonts w:ascii="Arial" w:cs="Arial" w:eastAsia="Arial" w:hAnsi="Arial"/>
          <w:sz w:val="18"/>
          <w:szCs w:val="18"/>
          <w:color w:val="auto"/>
        </w:rPr>
        <w:t xml:space="preserve"> Subject to the terms and conditions of this Agreement, the Remaining Restricted Shares shall vest and such Shares shall no longer be subject to any restriction on the relevant Vesting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3" w:name="page94"/>
    <w:bookmarkEnd w:id="93"/>
    <w:p>
      <w:pPr>
        <w:ind w:right="280" w:firstLine="921"/>
        <w:spacing w:after="0" w:line="259" w:lineRule="auto"/>
        <w:tabs>
          <w:tab w:leader="none" w:pos="11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w:t>
      </w:r>
      <w:r>
        <w:rPr>
          <w:rFonts w:ascii="Arial" w:cs="Arial" w:eastAsia="Arial" w:hAnsi="Arial"/>
          <w:sz w:val="18"/>
          <w:szCs w:val="18"/>
          <w:color w:val="auto"/>
        </w:rPr>
        <w:t xml:space="preserve"> On and after the Retirement Eligibility Date, the Employee will be permitted to retire from the Company and its Subsidiaries and, subject to the restrictions set forth in this Agreement, the Remaining Restricted Shares issued pursuant to Section 2.01(a) will continue to vest following retirement.</w:t>
      </w:r>
    </w:p>
    <w:p>
      <w:pPr>
        <w:spacing w:after="0" w:line="140" w:lineRule="exact"/>
        <w:rPr>
          <w:rFonts w:ascii="Arial" w:cs="Arial" w:eastAsia="Arial" w:hAnsi="Arial"/>
          <w:sz w:val="18"/>
          <w:szCs w:val="18"/>
          <w:color w:val="auto"/>
        </w:rPr>
      </w:pPr>
    </w:p>
    <w:p>
      <w:pPr>
        <w:ind w:right="180" w:firstLine="921"/>
        <w:spacing w:after="0" w:line="289" w:lineRule="auto"/>
        <w:tabs>
          <w:tab w:leader="none" w:pos="116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Forfeiture of Remaining Restricted Shares.</w:t>
      </w:r>
      <w:r>
        <w:rPr>
          <w:rFonts w:ascii="Arial" w:cs="Arial" w:eastAsia="Arial" w:hAnsi="Arial"/>
          <w:sz w:val="16"/>
          <w:szCs w:val="16"/>
          <w:color w:val="auto"/>
        </w:rPr>
        <w:t xml:space="preserve"> In the event that the Employee violates any of the provisions of Appendix A, which is incorporated herein by reference, all outstanding vested or unvested Restricted Shares shall be forfeited and canceled. Notwithstanding that certain Restrictive Covenants in Appendix A apply for only a limited period following Termination of Employment, in the event that the Employee’s employment with the Company terminates by reason of retirement in accordance with Section 2.01(f) above, the Employee will forfeit any outstanding Remaining Restricted Shares that were issued pursuant to Section 2.01(a) if the Employee does not comply with all Restrictive Covenants in Appendix A until the earlier of the relevant Vesting Date and the date the Remaining Restricted Shares otherwise become vested in accordance with Section 2.01(h) (such date, the “Restricted Share Delivery Date”). Furthermore, in the event that the Employee incurs a Termination of Employment for Cause, the Employee will forfeit all outstanding Remaining Restricted Shares that were issued pursuant to Section 2.01(a).</w:t>
      </w:r>
    </w:p>
    <w:p>
      <w:pPr>
        <w:spacing w:after="0" w:line="118" w:lineRule="exact"/>
        <w:rPr>
          <w:rFonts w:ascii="Arial" w:cs="Arial" w:eastAsia="Arial" w:hAnsi="Arial"/>
          <w:sz w:val="16"/>
          <w:szCs w:val="16"/>
          <w:color w:val="auto"/>
        </w:rPr>
      </w:pPr>
    </w:p>
    <w:p>
      <w:pPr>
        <w:ind w:right="180" w:firstLine="921"/>
        <w:spacing w:after="0" w:line="256" w:lineRule="auto"/>
        <w:tabs>
          <w:tab w:leader="none" w:pos="116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Accelerated Vesting Events.</w:t>
      </w:r>
      <w:r>
        <w:rPr>
          <w:rFonts w:ascii="Arial" w:cs="Arial" w:eastAsia="Arial" w:hAnsi="Arial"/>
          <w:sz w:val="18"/>
          <w:szCs w:val="18"/>
          <w:color w:val="auto"/>
        </w:rPr>
        <w:t xml:space="preserve"> Notwithstanding the foregoing, in the event of a Change in Control, any unvested but outstanding Remaining Restricted Shares shall automatically vest as of the date of such Change in Control. Furthermore, in the event that the Employee dies following the Retirement Eligibility Issue Date but prior to the end of the Restriction Period, any unvested but outstanding Remaining Restricted Shares shall automatically vest as of the date of death.</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Delivery of Certificates or Book Entry Credits; Restrictions on Remaining Restricted Shares.</w:t>
      </w:r>
      <w:r>
        <w:rPr>
          <w:rFonts w:ascii="Arial" w:cs="Arial" w:eastAsia="Arial" w:hAnsi="Arial"/>
          <w:sz w:val="16"/>
          <w:szCs w:val="16"/>
          <w:color w:val="auto"/>
        </w:rPr>
        <w:t xml:space="preserve"> The Remaining Restricted Shares shall be evidenced in such manner as the Committee may deem appropriate, including book-entry registration or issuance of one or more stock certificates. Any certificate or book entry credit issued or entered in respect of the Remaining Restricted Shares shall be registered in the Employee’s name and shall bear an appropriate legend referring to the terms, conditions and restrictions applicable to the Remaining Restricted Shares, substantially in the following form:</w:t>
      </w:r>
    </w:p>
    <w:p>
      <w:pPr>
        <w:spacing w:after="0" w:line="32"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“The transferability of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Employee agrees that the certificates or book entry credits evidencing title of the Remaining Restricted Shares shall be held in escrow by the Designated Escrow Agent until the relevant Restricted Share Delivery Date and that, as a condition of the Company’s issuance of the Remaining Restricted Shares, the Employee shall have delivered to the Company a stock power, endorsed in blank, relating to such Remaining Restricted Shares. If and when the relevant Restricted Share Delivery Date occurs with respect to the Remaining Restricted Shares, provided that the Remaining Restricted Shares have not been forfeited pursuant to Section 2.01(g),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4" w:name="page95"/>
    <w:bookmarkEnd w:id="9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 shall be removed from the certificates or book entry credits evidencing such Shares. As soon as practicable (but in no event more than 30 days) after the relevant Restricted Share Delivery Date, the Company shall, subject to Section 2.01(d), cause the Designated Escrow Agent to transfer to the Employee one or more unlegended, freely-transferable stock certificates or book entry credits in respect of such Remaining Restricted Shares. Notwithstanding the foregoing, the Company shall be entitled to hold the Remaining Restricted Shares until the Company shall have received from the Employee a duly executed Form W-9 or W-8, as applicable.</w:t>
      </w:r>
    </w:p>
    <w:p>
      <w:pPr>
        <w:spacing w:after="0" w:line="14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Nontransferability of Remaining Restricted Shares.</w:t>
      </w:r>
      <w:r>
        <w:rPr>
          <w:rFonts w:ascii="Arial" w:cs="Arial" w:eastAsia="Arial" w:hAnsi="Arial"/>
          <w:sz w:val="18"/>
          <w:szCs w:val="18"/>
          <w:color w:val="auto"/>
        </w:rPr>
        <w:t xml:space="preserve"> All Remaining Restricted Shares shall remain subject to the restrictions set forth in this Agreement, including the forfeiture provisions set forth in Section 2.01(g), until the relevant Restricted Share Delivery Date. Prior to the relevant Restricted Share Delivery Date, the Remaining Restricted Shares shall not be transferable by the Employee, and neither the Employee nor its creditors shall have the right to subject the Remaining Restricted Shares to any anticipation, alienation, sale, transfer, assignment, pledge, encumbrance, hedge, exchange, attachment or garnishment or any similar transaction.</w:t>
      </w:r>
    </w:p>
    <w:p>
      <w:pPr>
        <w:spacing w:after="0" w:line="14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Dividends, Rights as a Shareholder.</w:t>
      </w:r>
      <w:r>
        <w:rPr>
          <w:rFonts w:ascii="Arial" w:cs="Arial" w:eastAsia="Arial" w:hAnsi="Arial"/>
          <w:sz w:val="16"/>
          <w:szCs w:val="16"/>
          <w:color w:val="auto"/>
        </w:rPr>
        <w:t xml:space="preserve"> Subject to Section 2.01(g) and Section 2.03 and any other applicable law or agreement, from and after the Retirement Eligibility Issue Date, the Employee will have all rights and privileges of a shareholder with respect to the Restricted Shares (including the Remaining Restricted Shares), including the right to vote the Restricted Shares and to receive dividends and other distributions with respect thereto, provided that, any dividends or other distributions that are paid on the Remaining Restricted Shares prior to the relevant Restricted Share Delivery Date (whether payable in cash or in kind) will be held by the Designated Escrow Agent until the relevant Restricted Share Delivery Date. In the event that any Remaining Restricted Shares are forfeited in accordance with Section 2.01(g), all dividends and other distributions held by the Designated Escrow Agent with respect to such Remaining Restricted Shares will also be forfeited.</w:t>
      </w:r>
    </w:p>
    <w:p>
      <w:pPr>
        <w:spacing w:after="0" w:line="118"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Disgorgement of Tax Benefits.</w:t>
      </w:r>
      <w:r>
        <w:rPr>
          <w:rFonts w:ascii="Arial" w:cs="Arial" w:eastAsia="Arial" w:hAnsi="Arial"/>
          <w:sz w:val="16"/>
          <w:szCs w:val="16"/>
          <w:color w:val="auto"/>
        </w:rPr>
        <w:t xml:space="preserve"> In the event that the Employee retires from the Company in accordance with Section 2.01(f) and, after the Employee’s retirement, the Employee forfeits the Remaining Restricted Shares and the dividends held by the Designated Escrow Agent, the Employee shall disgorge to the Company any current or future tax benefit the Employee may derive from the forfeiture of any Restricted Shares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2.05 shall not apply in the event of a Qualifying Termination, a Change in Control or a Termination of Employment due to death.</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xml:space="preserve"> In the event of a Qualifying Termination following the Retirement Eligibility Issue Date, the Restrictive Covenants set forth in Appendix A that apply for only a limited period following Termination of Employment shall apply for such limited period, rather than until the relevant Restricted Share Delivery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 of Agreement.</w:t>
      </w:r>
      <w:r>
        <w:rPr>
          <w:rFonts w:ascii="Arial" w:cs="Arial" w:eastAsia="Arial" w:hAnsi="Arial"/>
          <w:sz w:val="18"/>
          <w:szCs w:val="18"/>
          <w:color w:val="auto"/>
        </w:rPr>
        <w:t xml:space="preserve"> 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144"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Laws Applicable to Construction; Consent to Jurisdiction.</w:t>
      </w:r>
      <w:r>
        <w:rPr>
          <w:rFonts w:ascii="Arial" w:cs="Arial" w:eastAsia="Arial" w:hAnsi="Arial"/>
          <w:sz w:val="16"/>
          <w:szCs w:val="16"/>
          <w:color w:val="auto"/>
        </w:rPr>
        <w:t xml:space="preserve"> (a) 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Appendix A, the Stock Units and Restricted Shares are subject to the terms and conditions of the Plan, which is hereby incorporated by reference. By signing this Agreement, the Employee agrees to and is bound by the Plan and the restrictive covenants set forth in Appendix A.</w:t>
      </w:r>
    </w:p>
    <w:p>
      <w:pPr>
        <w:spacing w:after="0" w:line="116" w:lineRule="exact"/>
        <w:rPr>
          <w:sz w:val="20"/>
          <w:szCs w:val="20"/>
          <w:color w:val="auto"/>
        </w:rPr>
      </w:pPr>
    </w:p>
    <w:p>
      <w:pPr>
        <w:ind w:right="260" w:firstLine="921"/>
        <w:spacing w:after="0" w:line="25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firstLine="921"/>
        <w:spacing w:after="0" w:line="287" w:lineRule="auto"/>
        <w:tabs>
          <w:tab w:leader="none" w:pos="11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3.02(b). This includes any suit, action or proceeding to compel arbitration or to enforce an arbitration award. The Employee and the Company acknowledge that the forum designated by this Section 3.02(c)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 3.02(a), 3.02(b) or this Section 3.02(c).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3.02(c).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6" w:name="page97"/>
    <w:bookmarkEnd w:id="96"/>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and the Company undertake not to commence any action arising out of or relating to or concerning this Agreement in any forum other than a forum described in this Section 3.02(c), or, to the extent applicable, Section 3.02(b).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4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Conflicts and Interpretation.</w:t>
      </w:r>
      <w:r>
        <w:rPr>
          <w:rFonts w:ascii="Arial" w:cs="Arial" w:eastAsia="Arial" w:hAnsi="Arial"/>
          <w:sz w:val="16"/>
          <w:szCs w:val="16"/>
          <w:color w:val="auto"/>
        </w:rPr>
        <w:t xml:space="preserve">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Any modification, amendment or waiver to this Agreement that shall materially impair the rights of the Employee with respect to the Stock Units or the Restricted Shares shall require an instrument in writing to be signed by both parties hereto, except such a modification, amendment or waiver made to cause the Plan or the Stock Units or the Restricted Shares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1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Sections 409A and 457A of the Code.</w:t>
      </w:r>
      <w:r>
        <w:rPr>
          <w:rFonts w:ascii="Arial" w:cs="Arial" w:eastAsia="Arial" w:hAnsi="Arial"/>
          <w:sz w:val="18"/>
          <w:szCs w:val="18"/>
          <w:color w:val="auto"/>
        </w:rPr>
        <w:t xml:space="preserve"> It is intended that the Stock Units and the Restricted Shares shall be exempt from Sections 409A and 457A of the Code pursuant to the “short-term deferral” rule applicable to each such section, as set forth in the regulations or other guidance published by the Internal Revenue Service thereunder.</w:t>
      </w:r>
    </w:p>
    <w:p>
      <w:pPr>
        <w:spacing w:after="0" w:line="14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left="420" w:right="740"/>
        <w:spacing w:after="0" w:line="440"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counterparts, which together shall constitute one and the same original. 9</w:t>
      </w:r>
    </w:p>
    <w:p>
      <w:pPr>
        <w:sectPr>
          <w:pgSz w:w="11900" w:h="16838" w:orient="portrait"/>
          <w:cols w:equalWidth="0" w:num="1">
            <w:col w:w="11420"/>
          </w:cols>
          <w:pgMar w:left="240" w:top="280" w:right="239" w:bottom="1440" w:gutter="0" w:footer="0" w:header="0"/>
        </w:sectPr>
      </w:pPr>
    </w:p>
    <w:bookmarkStart w:id="97" w:name="page98"/>
    <w:bookmarkEnd w:id="9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281305</wp:posOffset>
            </wp:positionV>
            <wp:extent cx="23152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280" w:right="6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Employee acknowledges that the grant of the Stock Units and/or Restricted Shares pursuant to the Stock Unit and Restricted Stock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Sections 1.01(e) and 2.01(g) of the Agreement, all outstanding vested or unvested Stock Units and, if applicable, all Remaining Shares or Remaining Restricted Shares, will be forfeited upon a violation by the Employee of the following covenants:</w:t>
      </w:r>
    </w:p>
    <w:p>
      <w:pPr>
        <w:spacing w:after="0" w:line="12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Section 1,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w:t>
      </w:r>
    </w:p>
    <w:p>
      <w:pPr>
        <w:sectPr>
          <w:pgSz w:w="11900" w:h="16838" w:orient="portrait"/>
          <w:cols w:equalWidth="0" w:num="1">
            <w:col w:w="11420"/>
          </w:cols>
          <w:pgMar w:left="240" w:top="280" w:right="239" w:bottom="1440" w:gutter="0" w:footer="0" w:header="0"/>
        </w:sectPr>
      </w:pPr>
    </w:p>
    <w:bookmarkStart w:id="99" w:name="page100"/>
    <w:bookmarkEnd w:id="99"/>
    <w:p>
      <w:pPr>
        <w:ind w:firstLine="8"/>
        <w:spacing w:after="0" w:line="285" w:lineRule="auto"/>
        <w:tabs>
          <w:tab w:leader="none" w:pos="210"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three months after the Employee’s date of Termination of Employment for any 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Section 2 shall be applicable to each jurisdiction, foreign country, state, possession or territory in which the Firm may be engaged in business while the Employee is providing services to the Firm.</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Section 2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0" w:name="page101"/>
    <w:bookmarkEnd w:id="100"/>
    <w:p>
      <w:pPr>
        <w:ind w:right="8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6"/>
          <w:szCs w:val="16"/>
          <w:u w:val="single" w:color="auto"/>
          <w:color w:val="auto"/>
        </w:rPr>
        <w:t>No Hire of Employees.</w:t>
      </w:r>
      <w:r>
        <w:rPr>
          <w:rFonts w:ascii="Arial" w:cs="Arial" w:eastAsia="Arial" w:hAnsi="Arial"/>
          <w:sz w:val="16"/>
          <w:szCs w:val="16"/>
          <w:color w:val="auto"/>
        </w:rPr>
        <w:t xml:space="preserve"> The Employee hereby agrees that while employed by the Firm and thereafter until (i) six months after the Date of the Termination of Employment for any reason or (ii) the end of any longer period during which any similar covenants would be applicable to the Employee pursuant to any other agreement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Employee shall not at any time (whether prior to or following the Employee’s Termination of Employment), and shall instruct the Employee’s spouse,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xml:space="preserve"> The Employee agrees to provide a period of advance written notice to the Firm prior to the Employee’s Termination of Employment equal to (i) three months or (ii) any longer notice period required pursuant to any other agreement between the Employee and the Firm. The Employee hereby agrees that, if, during the three-month period after the Employee has provided notice of termination to the Firm or prior thereto, the Employee enters (or has entered into) a written agreement to provide services or perform activities for a Competitive Enterprise that would violate Section 2 if performed during the Noncompete Restriction Period, such action shall be deemed a violation of this Section 6.</w:t>
      </w:r>
    </w:p>
    <w:p>
      <w:pPr>
        <w:spacing w:after="0" w:line="116"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Covenants Generally.</w:t>
      </w:r>
      <w:r>
        <w:rPr>
          <w:rFonts w:ascii="Arial" w:cs="Arial" w:eastAsia="Arial" w:hAnsi="Arial"/>
          <w:sz w:val="16"/>
          <w:szCs w:val="16"/>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1" w:name="page102"/>
    <w:bookmarkEnd w:id="101"/>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w:t>
      </w:r>
    </w:p>
    <w:p>
      <w:pPr>
        <w:spacing w:after="0" w:line="2" w:lineRule="exact"/>
        <w:rPr>
          <w:sz w:val="20"/>
          <w:szCs w:val="20"/>
          <w:color w:val="auto"/>
        </w:rPr>
      </w:pPr>
    </w:p>
    <w:p>
      <w:pPr>
        <w:jc w:val="both"/>
        <w:ind w:right="100" w:firstLine="8"/>
        <w:spacing w:after="0" w:line="254" w:lineRule="auto"/>
        <w:tabs>
          <w:tab w:leader="none" w:pos="2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not injurious to the public. The Employee acknowledges and agrees that the Employee’s breach of the Covenants will cause the Firm irreparable harm, which cannot be adequately compensated by money damages.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2" w:name="page103"/>
    <w:bookmarkEnd w:id="102"/>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Ended</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March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(182,234)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$418,295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580" w:type="dxa"/>
            <w:vAlign w:val="bottom"/>
          </w:tcPr>
          <w:p>
            <w:pPr>
              <w:jc w:val="right"/>
              <w:spacing w:after="0"/>
              <w:rPr>
                <w:sz w:val="20"/>
                <w:szCs w:val="20"/>
                <w:color w:val="auto"/>
              </w:rPr>
            </w:pPr>
            <w:r>
              <w:rPr>
                <w:rFonts w:ascii="Arial" w:cs="Arial" w:eastAsia="Arial" w:hAnsi="Arial"/>
                <w:sz w:val="18"/>
                <w:szCs w:val="18"/>
                <w:color w:val="auto"/>
              </w:rPr>
              <w:t>25,837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117,119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127,398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160,154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63,660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(54,836)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185,294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573,669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107,890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139,899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$ 137,110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580" w:type="dxa"/>
            <w:vAlign w:val="bottom"/>
          </w:tcPr>
          <w:p>
            <w:pPr>
              <w:jc w:val="right"/>
              <w:spacing w:after="0"/>
              <w:rPr>
                <w:sz w:val="20"/>
                <w:szCs w:val="20"/>
                <w:color w:val="auto"/>
              </w:rPr>
            </w:pPr>
            <w:r>
              <w:rPr>
                <w:rFonts w:ascii="Arial" w:cs="Arial" w:eastAsia="Arial" w:hAnsi="Arial"/>
                <w:sz w:val="18"/>
                <w:szCs w:val="18"/>
                <w:color w:val="auto"/>
              </w:rPr>
              <w:t>5,415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19,508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20,255</w:t>
            </w:r>
          </w:p>
        </w:tc>
        <w:tc>
          <w:tcPr>
            <w:tcW w:w="660" w:type="dxa"/>
            <w:vAlign w:val="bottom"/>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117,119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127,398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160,154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3.08(d)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1.16(f)</w:t>
            </w: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 before</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182,234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jc w:val="both"/>
        <w:ind w:left="460" w:right="220" w:hanging="452"/>
        <w:spacing w:after="0" w:line="306"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pacing w:after="0" w:line="25"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2"/>
    </w:lvl>
  </w:abstractNum>
  <w:abstractNum w:abstractNumId="7">
    <w:nsid w:val="2463B9EA"/>
    <w:multiLevelType w:val="hybridMultilevel"/>
    <w:lvl w:ilvl="0">
      <w:lvlJc w:val="left"/>
      <w:lvlText w:val="%1."/>
      <w:numFmt w:val="decimal"/>
      <w:start w:val="3"/>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decimal"/>
      <w:start w:val="5"/>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decimal"/>
      <w:start w:val="6"/>
    </w:lvl>
  </w:abstractNum>
  <w:abstractNum w:abstractNumId="13">
    <w:nsid w:val="3855585C"/>
    <w:multiLevelType w:val="hybridMultilevel"/>
    <w:lvl w:ilvl="0">
      <w:lvlJc w:val="left"/>
      <w:lvlText w:val="%1."/>
      <w:numFmt w:val="decimal"/>
      <w:start w:val="7"/>
    </w:lvl>
  </w:abstractNum>
  <w:abstractNum w:abstractNumId="14">
    <w:nsid w:val="70A64E2A"/>
    <w:multiLevelType w:val="hybridMultilevel"/>
    <w:lvl w:ilvl="0">
      <w:lvlJc w:val="left"/>
      <w:lvlText w:val="%1."/>
      <w:numFmt w:val="decimal"/>
      <w:start w:val="8"/>
    </w:lvl>
  </w:abstractNum>
  <w:abstractNum w:abstractNumId="15">
    <w:nsid w:val="6A2342EC"/>
    <w:multiLevelType w:val="hybridMultilevel"/>
    <w:lvl w:ilvl="0">
      <w:lvlJc w:val="left"/>
      <w:lvlText w:val="%1"/>
      <w:numFmt w:val="decimal"/>
      <w:start w:val="1"/>
    </w:lvl>
    <w:lvl w:ilvl="1">
      <w:lvlJc w:val="left"/>
      <w:lvlText w:val="(%2)"/>
      <w:numFmt w:val="lowerLetter"/>
      <w:start w:val="1"/>
    </w:lvl>
  </w:abstractNum>
  <w:abstractNum w:abstractNumId="16">
    <w:nsid w:val="2A487CB0"/>
    <w:multiLevelType w:val="hybridMultilevel"/>
    <w:lvl w:ilvl="0">
      <w:lvlJc w:val="left"/>
      <w:lvlText w:val="%1."/>
      <w:numFmt w:val="decimal"/>
      <w:start w:val="9"/>
    </w:lvl>
    <w:lvl w:ilvl="1">
      <w:lvlJc w:val="left"/>
      <w:lvlText w:val="%2"/>
      <w:numFmt w:val="lowerLetter"/>
      <w:start w:val="1"/>
    </w:lvl>
  </w:abstractNum>
  <w:abstractNum w:abstractNumId="17">
    <w:nsid w:val="1D4ED43B"/>
    <w:multiLevelType w:val="hybridMultilevel"/>
    <w:lvl w:ilvl="0">
      <w:lvlJc w:val="left"/>
      <w:lvlText w:val="%1."/>
      <w:numFmt w:val="decimal"/>
      <w:start w:val="10"/>
    </w:lvl>
  </w:abstractNum>
  <w:abstractNum w:abstractNumId="18">
    <w:nsid w:val="725A06FB"/>
    <w:multiLevelType w:val="hybridMultilevel"/>
    <w:lvl w:ilvl="0">
      <w:lvlJc w:val="left"/>
      <w:lvlText w:val="%1."/>
      <w:numFmt w:val="decimal"/>
      <w:start w:val="11"/>
    </w:lvl>
  </w:abstractNum>
  <w:abstractNum w:abstractNumId="19">
    <w:nsid w:val="2CD89A32"/>
    <w:multiLevelType w:val="hybridMultilevel"/>
    <w:lvl w:ilvl="0">
      <w:lvlJc w:val="left"/>
      <w:lvlText w:val="%1."/>
      <w:numFmt w:val="decimal"/>
      <w:start w:val="12"/>
    </w:lvl>
  </w:abstractNum>
  <w:abstractNum w:abstractNumId="20">
    <w:nsid w:val="57E4CCAF"/>
    <w:multiLevelType w:val="hybridMultilevel"/>
    <w:lvl w:ilvl="0">
      <w:lvlJc w:val="left"/>
      <w:lvlText w:val="%1."/>
      <w:numFmt w:val="decimal"/>
      <w:start w:val="13"/>
    </w:lvl>
  </w:abstractNum>
  <w:abstractNum w:abstractNumId="21">
    <w:nsid w:val="7A6D8D3C"/>
    <w:multiLevelType w:val="hybridMultilevel"/>
    <w:lvl w:ilvl="0">
      <w:lvlJc w:val="left"/>
      <w:lvlText w:val="%1."/>
      <w:numFmt w:val="decimal"/>
      <w:start w:val="14"/>
    </w:lvl>
  </w:abstractNum>
  <w:abstractNum w:abstractNumId="22">
    <w:nsid w:val="4B588F54"/>
    <w:multiLevelType w:val="hybridMultilevel"/>
    <w:lvl w:ilvl="0">
      <w:lvlJc w:val="left"/>
      <w:lvlText w:val="%1."/>
      <w:numFmt w:val="decimal"/>
      <w:start w:val="15"/>
    </w:lvl>
  </w:abstractNum>
  <w:abstractNum w:abstractNumId="23">
    <w:nsid w:val="542289EC"/>
    <w:multiLevelType w:val="hybridMultilevel"/>
    <w:lvl w:ilvl="0">
      <w:lvlJc w:val="left"/>
      <w:lvlText w:val="%1."/>
      <w:numFmt w:val="decimal"/>
      <w:start w:val="17"/>
    </w:lvl>
  </w:abstractNum>
  <w:abstractNum w:abstractNumId="24">
    <w:nsid w:val="6DE91B18"/>
    <w:multiLevelType w:val="hybridMultilevel"/>
    <w:lvl w:ilvl="0">
      <w:lvlJc w:val="left"/>
      <w:lvlText w:val="%1."/>
      <w:numFmt w:val="decimal"/>
      <w:start w:val="18"/>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lowerRoman"/>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2"/>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4"/>
    </w:lvl>
  </w:abstractNum>
  <w:abstractNum w:abstractNumId="44">
    <w:nsid w:val="1CF10FD8"/>
    <w:multiLevelType w:val="hybridMultilevel"/>
    <w:lvl w:ilvl="0">
      <w:lvlJc w:val="left"/>
      <w:lvlText w:val="(%1)"/>
      <w:numFmt w:val="lowerLetter"/>
      <w:start w:val="6"/>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2"/>
    </w:lvl>
  </w:abstractNum>
  <w:abstractNum w:abstractNumId="49">
    <w:nsid w:val="15B5AF5C"/>
    <w:multiLevelType w:val="hybridMultilevel"/>
    <w:lvl w:ilvl="0">
      <w:lvlJc w:val="left"/>
      <w:lvlText w:val="%1."/>
      <w:numFmt w:val="decimal"/>
      <w:start w:val="1"/>
    </w:lvl>
    <w:lvl w:ilvl="1">
      <w:lvlJc w:val="left"/>
      <w:lvlText w:val="%2."/>
      <w:numFmt w:val="lowerLetter"/>
      <w:start w:val="1"/>
    </w:lvl>
  </w:abstractNum>
  <w:abstractNum w:abstractNumId="50">
    <w:nsid w:val="741226BB"/>
    <w:multiLevelType w:val="hybridMultilevel"/>
    <w:lvl w:ilvl="0">
      <w:lvlJc w:val="left"/>
      <w:lvlText w:val="%1."/>
      <w:numFmt w:val="decimal"/>
      <w:start w:val="3"/>
    </w:lvl>
  </w:abstractNum>
  <w:abstractNum w:abstractNumId="51">
    <w:nsid w:val="D34B6A8"/>
    <w:multiLevelType w:val="hybridMultilevel"/>
    <w:lvl w:ilvl="0">
      <w:lvlJc w:val="left"/>
      <w:lvlText w:val="(%1)"/>
      <w:numFmt w:val="lowerRoman"/>
      <w:start w:val="1"/>
    </w:lvl>
  </w:abstractNum>
  <w:abstractNum w:abstractNumId="52">
    <w:nsid w:val="10233C99"/>
    <w:multiLevelType w:val="hybridMultilevel"/>
    <w:lvl w:ilvl="0">
      <w:lvlJc w:val="left"/>
      <w:lvlText w:val="(%1)"/>
      <w:numFmt w:val="lowerRoman"/>
      <w:start w:val="3"/>
    </w:lvl>
  </w:abstractNum>
  <w:abstractNum w:abstractNumId="53">
    <w:nsid w:val="3F6AB60F"/>
    <w:multiLevelType w:val="hybridMultilevel"/>
    <w:lvl w:ilvl="0">
      <w:lvlJc w:val="left"/>
      <w:lvlText w:val="(%1)"/>
      <w:numFmt w:val="lowerLetter"/>
      <w:start w:val="14"/>
    </w:lvl>
  </w:abstractNum>
  <w:abstractNum w:abstractNumId="54">
    <w:nsid w:val="61574095"/>
    <w:multiLevelType w:val="hybridMultilevel"/>
    <w:lvl w:ilvl="0">
      <w:lvlJc w:val="left"/>
      <w:lvlText w:val="(%1)"/>
      <w:numFmt w:val="lowerLetter"/>
      <w:start w:val="3"/>
    </w:lvl>
  </w:abstractNum>
  <w:abstractNum w:abstractNumId="55">
    <w:nsid w:val="7E0C57B1"/>
    <w:multiLevelType w:val="hybridMultilevel"/>
    <w:lvl w:ilvl="0">
      <w:lvlJc w:val="left"/>
      <w:lvlText w:val="(%1)"/>
      <w:numFmt w:val="lowerRoman"/>
      <w:start w:val="2"/>
    </w:lvl>
  </w:abstractNum>
  <w:abstractNum w:abstractNumId="56">
    <w:nsid w:val="77AE35EB"/>
    <w:multiLevelType w:val="hybridMultilevel"/>
    <w:lvl w:ilvl="0">
      <w:lvlJc w:val="left"/>
      <w:lvlText w:val="(%1)"/>
      <w:numFmt w:val="lowerLetter"/>
      <w:start w:val="5"/>
    </w:lvl>
  </w:abstractNum>
  <w:abstractNum w:abstractNumId="57">
    <w:nsid w:val="579BE4F1"/>
    <w:multiLevelType w:val="hybridMultilevel"/>
    <w:lvl w:ilvl="0">
      <w:lvlJc w:val="left"/>
      <w:lvlText w:val="(%1)"/>
      <w:numFmt w:val="decimal"/>
      <w:start w:val="2"/>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4"/>
    </w:lvl>
  </w:abstractNum>
  <w:abstractNum w:abstractNumId="60">
    <w:nsid w:val="2F305DEF"/>
    <w:multiLevelType w:val="hybridMultilevel"/>
    <w:lvl w:ilvl="0">
      <w:lvlJc w:val="left"/>
      <w:lvlText w:val="(%1)"/>
      <w:numFmt w:val="lowerRoman"/>
      <w:start w:val="2"/>
    </w:lvl>
  </w:abstractNum>
  <w:abstractNum w:abstractNumId="61">
    <w:nsid w:val="25A70BF7"/>
    <w:multiLevelType w:val="hybridMultilevel"/>
    <w:lvl w:ilvl="0">
      <w:lvlJc w:val="left"/>
      <w:lvlText w:val="(%1)"/>
      <w:numFmt w:val="lowerLetter"/>
      <w:start w:val="5"/>
    </w:lvl>
  </w:abstractNum>
  <w:abstractNum w:abstractNumId="62">
    <w:nsid w:val="1DBABF00"/>
    <w:multiLevelType w:val="hybridMultilevel"/>
    <w:lvl w:ilvl="0">
      <w:lvlJc w:val="left"/>
      <w:lvlText w:val="(%1)"/>
      <w:numFmt w:val="lowerLetter"/>
      <w:start w:val="6"/>
    </w:lvl>
  </w:abstractNum>
  <w:abstractNum w:abstractNumId="63">
    <w:nsid w:val="4AD084E9"/>
    <w:multiLevelType w:val="hybridMultilevel"/>
    <w:lvl w:ilvl="0">
      <w:lvlJc w:val="left"/>
      <w:lvlText w:val="(%1)"/>
      <w:numFmt w:val="lowerLetter"/>
      <w:start w:val="2"/>
    </w:lvl>
  </w:abstractNum>
  <w:abstractNum w:abstractNumId="64">
    <w:nsid w:val="1F48EAA1"/>
    <w:multiLevelType w:val="hybridMultilevel"/>
    <w:lvl w:ilvl="0">
      <w:lvlJc w:val="left"/>
      <w:lvlText w:val="(%1)"/>
      <w:numFmt w:val="lowerRoman"/>
      <w:start w:val="1"/>
    </w:lvl>
  </w:abstractNum>
  <w:abstractNum w:abstractNumId="65">
    <w:nsid w:val="1381823A"/>
    <w:multiLevelType w:val="hybridMultilevel"/>
    <w:lvl w:ilvl="0">
      <w:lvlJc w:val="left"/>
      <w:lvlText w:val="(%1)"/>
      <w:numFmt w:val="lowerRoman"/>
      <w:start w:val="4"/>
    </w:lvl>
  </w:abstractNum>
  <w:abstractNum w:abstractNumId="66">
    <w:nsid w:val="5DB70AE5"/>
    <w:multiLevelType w:val="hybridMultilevel"/>
    <w:lvl w:ilvl="0">
      <w:lvlJc w:val="left"/>
      <w:lvlText w:val="(%1)"/>
      <w:numFmt w:val="lowerLetter"/>
      <w:start w:val="1"/>
    </w:lvl>
    <w:lvl w:ilvl="1">
      <w:lvlJc w:val="left"/>
      <w:lvlText w:val="•"/>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2019-12-09T17:20:38Z</dcterms:created>
  <dcterms:modified xsi:type="dcterms:W3CDTF">2019-12-09T17:20:38Z</dcterms:modified>
</cp:coreProperties>
</file>